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10" w:lineRule="atLeast"/>
        <w:ind w:left="0" w:right="0" w:firstLine="0"/>
        <w:jc w:val="center"/>
        <w:rPr>
          <w:rFonts w:ascii="Arial" w:hAnsi="Arial" w:cs="Arial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Arial" w:hAnsi="Arial" w:cs="Arial"/>
          <w:caps w:val="0"/>
          <w:color w:val="000000"/>
          <w:spacing w:val="0"/>
          <w:sz w:val="44"/>
          <w:szCs w:val="44"/>
          <w:lang w:val="en-US" w:eastAsia="zh-CN"/>
        </w:rPr>
        <w:t>大宁县</w:t>
      </w:r>
      <w:r>
        <w:rPr>
          <w:rFonts w:hint="default" w:ascii="Arial" w:hAnsi="Arial" w:cs="Arial"/>
          <w:caps w:val="0"/>
          <w:color w:val="000000"/>
          <w:spacing w:val="0"/>
          <w:sz w:val="44"/>
          <w:szCs w:val="44"/>
        </w:rPr>
        <w:t>非税收入负面清单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20" w:lineRule="atLeast"/>
        <w:ind w:left="0" w:right="0" w:firstLine="0"/>
        <w:jc w:val="center"/>
        <w:rPr>
          <w:rFonts w:hint="default" w:ascii="Arial" w:hAnsi="Arial" w:cs="Arial"/>
          <w:caps w:val="0"/>
          <w:color w:val="999999"/>
          <w:spacing w:val="0"/>
          <w:sz w:val="14"/>
          <w:szCs w:val="14"/>
        </w:rPr>
      </w:pPr>
      <w:r>
        <w:rPr>
          <w:rFonts w:hint="default" w:ascii="Arial" w:hAnsi="Arial" w:eastAsia="宋体" w:cs="Arial"/>
          <w:caps w:val="0"/>
          <w:color w:val="999999"/>
          <w:spacing w:val="0"/>
          <w:kern w:val="0"/>
          <w:sz w:val="14"/>
          <w:szCs w:val="14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hAnsi="Arial" w:eastAsia="仿宋_GB2312" w:cs="仿宋_GB2312"/>
          <w:caps w:val="0"/>
          <w:color w:val="000000"/>
          <w:spacing w:val="0"/>
          <w:sz w:val="21"/>
          <w:szCs w:val="21"/>
        </w:rPr>
        <w:t>    </w:t>
      </w:r>
      <w:r>
        <w:rPr>
          <w:rFonts w:hint="eastAsia" w:ascii="仿宋_GB2312" w:hAnsi="Arial" w:eastAsia="仿宋_GB2312" w:cs="仿宋_GB2312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一、违规变更收费项目。具体为擅自设立、撤销收费项目，擅自改变收费范围、收费环节、收费对象、收费期限。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二、违规变更收费标准。具体为擅自提高、降低收费标准。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三、不执行取消、停征、免征、降标等降费政策。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四、公益一类事业单位从事经营活动并收费。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五、强制或变相向市场主体购买服务并收费，特别是对应免费开放的电子政务平台变相收费。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六、只收取费用而未提供相应服务。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七、向市场主体摊派建设任务和资金。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八、以赞助、捐赠、无偿借款等名义变相摊派。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九、为违法违规收费开具财政票据。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十、将违法违规收费确认为财政收入。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十一、通过与单位预算安排挂钩方式以费促收。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十二、未按规定及时、足额收费并缴库。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十三、未在收费场所公示收费项目、收费对象、收费标准、依据文件及监督电话等内容。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  <w:t>十四、市场主体反映强烈的其他违法违规收费问题。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B457F"/>
    <w:rsid w:val="0BDB457F"/>
    <w:rsid w:val="0C477524"/>
    <w:rsid w:val="EF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416</Characters>
  <Lines>0</Lines>
  <Paragraphs>0</Paragraphs>
  <TotalTime>2</TotalTime>
  <ScaleCrop>false</ScaleCrop>
  <LinksUpToDate>false</LinksUpToDate>
  <CharactersWithSpaces>420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2025-08-28T09:44:00Z</dcterms:created>
  <dc:creator>妍妍</dc:creator>
  <cp:lastModifiedBy>greatwall</cp:lastModifiedBy>
  <dcterms:modified xsi:type="dcterms:W3CDTF">2025-08-28T16:49:58Z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6856BF99A03E4D1DABBAD10883689B29_11</vt:lpwstr>
  </property>
  <property fmtid="{D5CDD505-2E9C-101B-9397-08002B2CF9AE}" pid="4" name="KSOTemplateDocerSaveRecord">
    <vt:lpwstr>eyJoZGlkIjoiZGIyMjE2NDdkMTc2N2VkZDA2NTFjNjVhMTAxZDkwNTciLCJ1c2VySWQiOiI0MTM4NTM2NzgifQ==</vt:lpwstr>
  </property>
</Properties>
</file>