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21" w:name="_GoBack"/>
      <w:bookmarkEnd w:id="21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乡村医生缴纳工伤保险、意外险经费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_Toc24649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_Toc27920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_Toc5898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_Toc11933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_Toc21514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_Toc22850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_Toc31565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_Toc2434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_Toc9621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_Toc21051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_Toc2780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_Toc8620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_Toc26066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649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7920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为保障村医正常工作，维护村医权益，根据</w:t>
      </w:r>
      <w:r>
        <w:rPr>
          <w:lang w:val="en"/>
        </w:rPr>
        <w:t>国家卫生健康委</w:t>
      </w:r>
      <w:r>
        <w:t>、人力资源和社会保障部、财政部《关于建立保护关心爱护医务人员长效机制的指导意见》（国卫人发〔2021〕13号）精神，医疗集团现有83名村医，符合缴纳工伤保险的村医66名，符合缴纳意外保险16名。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县长办公会研究确定。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保障村医正常工作，维护村医权益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保障一线人员生命安全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rPr>
          <w:lang w:val="en"/>
        </w:rPr>
        <w:t>国家卫生健康委</w:t>
      </w:r>
      <w:r>
        <w:t>、人力资源和社会保障部、财政部《关于建立保护关心爱护医务人员长效机制的指导意见》（国卫人发〔2021〕13号）精神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1、缴纳工伤保险村医66人，每人每月14.44元，每年11437元。 2、缴纳意外险村医16名（其中：60-70岁为14人，每人每年200元，每年合计2800元。71-75岁，每人每年365元，每年合计730元）。</w:t>
      </w:r>
    </w:p>
    <w:p>
      <w:pPr>
        <w:pStyle w:val="46"/>
        <w:ind w:left="560"/>
        <w:rPr>
          <w:rFonts w:hint="eastAsia"/>
        </w:rPr>
      </w:pPr>
      <w:bookmarkStart w:id="2" w:name="_Toc589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45.5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45.5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45.5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1933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  <w:rPr>
          <w:rFonts w:hint="default" w:eastAsia="仿宋_GB2312"/>
          <w:lang w:val="en-US" w:eastAsia="zh-CN"/>
        </w:rPr>
      </w:pPr>
      <w:r>
        <w:t>为保障村医正常工作，维护村医权益，根据</w:t>
      </w:r>
      <w:r>
        <w:rPr>
          <w:lang w:val="en"/>
        </w:rPr>
        <w:t>国家卫生健康委</w:t>
      </w:r>
      <w:r>
        <w:t>、人力资源和社会保障部、财政部《关于建立保护关心爱护医务人员长效机制的指导意见》（国卫人发〔2021〕13号）精神。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财务管理制度健全，资金使用合规、项目制度健全、项目制度执行有效、项目立项规范，依据充分，项目配备人员及时到位，绩效目标合理。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1514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乡村医生缴纳工伤保险、意外险经费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88.48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2850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45.49%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4.55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村医工伤保险参保人数和意外保险（人）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82人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村医工伤保险和意外保险投保率（%）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全部投保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工伤保险及意外保险投保的时效性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12个月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11436.48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6809.58元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8.93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31565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投保险产生的效益（人）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保障村医正常工作，更好的服务于人民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村医满意率%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7" w:name="_Toc2434"/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7"/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项目资金总额11436.48元，实际支付6809.58元，项目预算执行率达到45.49%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项目涉及村医工伤保险参保人数和意外保险82人；村医工伤保险和意外保险投保率达到100%；工伤保险及意外保险投保的时效性达到100%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项目设立保障村医正常工作，更好的服务于人民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项目涉及村医满意率达到100%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31691"/>
      <w:bookmarkStart w:id="12" w:name="_Toc962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21051"/>
      <w:bookmarkStart w:id="14" w:name="_Toc19853"/>
      <w:bookmarkStart w:id="15" w:name="_Toc2740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18567"/>
      <w:bookmarkStart w:id="17" w:name="_Toc2780"/>
      <w:bookmarkStart w:id="18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  <w:bookmarkEnd w:id="18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ind w:firstLine="848" w:firstLineChars="303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</w:pPr>
      <w:bookmarkStart w:id="19" w:name="_Toc862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9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2222"/>
        <w:gridCol w:w="690"/>
        <w:gridCol w:w="1680"/>
        <w:gridCol w:w="1000"/>
        <w:gridCol w:w="1260"/>
        <w:gridCol w:w="108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45.49%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45.49%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4.55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项目拨付资金为一整年，实际缴纳村医保险是9-12月开始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村医工伤保险参保人数和意外保险（人）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82人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村医工伤保险和意外保险投保率（%）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全部投保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工伤保险及意外保险投保的时效性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12个月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村医工伤保险成本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11436.48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6809.58元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59.54%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8.93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项目拨付资金为一整年，实际缴纳村医保险是9-12月开始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投保险产生的效益（人）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保障村医正常工作，更好的服务于人民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村医满意率%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2606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0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true"/>
  <w:bordersDoNotSurroundFooter w:val="true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F394DC0"/>
    <w:rsid w:val="519F5621"/>
    <w:rsid w:val="F9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2020-07-13T15:59:00Z</dcterms:created>
  <dc:creator>qq</dc:creator>
  <cp:lastModifiedBy>greatwall</cp:lastModifiedBy>
  <dcterms:modified xsi:type="dcterms:W3CDTF">2023-09-26T15:44:09Z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8FD69C38F74443539B97E8BDC33B64CD</vt:lpwstr>
  </property>
</Properties>
</file>