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大宁县交通运输事业发展中心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2021年度整体支出绩效自评报告</w:t>
      </w:r>
    </w:p>
    <w:p>
      <w:pPr>
        <w:spacing w:line="520" w:lineRule="exact"/>
        <w:jc w:val="center"/>
        <w:rPr>
          <w:b/>
          <w:sz w:val="36"/>
          <w:szCs w:val="36"/>
        </w:rPr>
      </w:pPr>
    </w:p>
    <w:p>
      <w:pPr>
        <w:pStyle w:val="18"/>
        <w:numPr>
          <w:ilvl w:val="0"/>
          <w:numId w:val="1"/>
        </w:numPr>
        <w:spacing w:line="520" w:lineRule="exact"/>
        <w:ind w:firstLineChars="0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>单位概况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（一）主要职责职能，组织架构、人员及资产等基本情况</w:t>
      </w:r>
    </w:p>
    <w:p>
      <w:pPr>
        <w:spacing w:line="520" w:lineRule="exact"/>
        <w:ind w:firstLineChars="200" w:firstLine="640"/>
        <w:rPr>
          <w:rFonts w:ascii="宋体" w:eastAsia="宋体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1、主要职能：负责县政府各类会议的组织实施工作，协助县领导组织会议决定事项的落实。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（2）督导和协调治超领导小组各成员单位的治超工作。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（3）建立治超信息台账制度，认真、准确、及时地收集数据，并及时向市治超办和县领导上报。</w:t>
      </w:r>
    </w:p>
    <w:p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2．根据部门职责分工，本部门内设2个办公室；事业编制为3人，其中主任1名，专职副主任1名，办公室主任1人，公益性岗位2人，本部门无下属单位。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3.资产情况：</w:t>
      </w:r>
    </w:p>
    <w:p>
      <w:pPr>
        <w:pStyle w:val="17"/>
        <w:widowControl/>
        <w:spacing w:line="560" w:lineRule="exact"/>
        <w:ind w:firstLineChars="200" w:firstLine="640"/>
        <w:rPr>
          <w:rFonts w:ascii="仿宋" w:eastAsia="仿宋" w:cs="黑体"/>
          <w:bCs/>
          <w:sz w:val="32"/>
          <w:szCs w:val="32"/>
        </w:rPr>
      </w:pPr>
      <w:r>
        <w:rPr>
          <w:rFonts w:ascii="仿宋" w:eastAsia="仿宋" w:cs="黑体"/>
          <w:bCs/>
          <w:sz w:val="32"/>
          <w:szCs w:val="32"/>
        </w:rPr>
        <w:t>房屋情况</w:t>
      </w:r>
      <w:r>
        <w:rPr>
          <w:rFonts w:ascii="仿宋" w:eastAsia="仿宋" w:cs="黑体" w:hint="eastAsia"/>
          <w:bCs/>
          <w:sz w:val="32"/>
          <w:szCs w:val="32"/>
        </w:rPr>
        <w:t>：</w:t>
      </w:r>
      <w:r>
        <w:rPr>
          <w:rFonts w:ascii="仿宋" w:eastAsia="仿宋" w:cs="黑体"/>
          <w:bCs/>
          <w:sz w:val="32"/>
          <w:szCs w:val="32"/>
        </w:rPr>
        <w:t>我单位使用的办公房为政府综合办公大楼</w:t>
      </w:r>
    </w:p>
    <w:p>
      <w:pPr>
        <w:pStyle w:val="17"/>
        <w:widowControl/>
        <w:spacing w:line="560" w:lineRule="exact"/>
        <w:rPr>
          <w:rFonts w:ascii="仿宋_GB2312" w:eastAsia="仿宋" w:hAnsi="仿宋_GB2312"/>
          <w:b/>
          <w:bCs/>
          <w:sz w:val="32"/>
          <w:szCs w:val="32"/>
        </w:rPr>
      </w:pPr>
      <w:r>
        <w:rPr>
          <w:rFonts w:ascii="仿宋" w:eastAsia="仿宋" w:cs="黑体"/>
          <w:bCs/>
          <w:sz w:val="32"/>
          <w:szCs w:val="32"/>
        </w:rPr>
        <w:t>其他固定资产情况</w:t>
      </w:r>
      <w:r>
        <w:rPr>
          <w:rFonts w:ascii="仿宋" w:eastAsia="仿宋" w:cs="黑体"/>
          <w:color w:val="333333"/>
          <w:sz w:val="32"/>
          <w:szCs w:val="32"/>
        </w:rPr>
        <w:t>：通用设备</w:t>
      </w:r>
      <w:r>
        <w:rPr>
          <w:rFonts w:ascii="仿宋" w:eastAsia="仿宋" w:cs="黑体" w:hint="eastAsia"/>
          <w:color w:val="333333"/>
          <w:sz w:val="32"/>
          <w:szCs w:val="32"/>
        </w:rPr>
        <w:t>10</w:t>
      </w:r>
      <w:r>
        <w:rPr>
          <w:rFonts w:ascii="仿宋" w:eastAsia="仿宋" w:cs="黑体"/>
          <w:color w:val="333333"/>
          <w:sz w:val="32"/>
          <w:szCs w:val="32"/>
        </w:rPr>
        <w:t>件，价值</w:t>
      </w:r>
      <w:r>
        <w:rPr>
          <w:rFonts w:ascii="仿宋" w:eastAsia="仿宋" w:cs="黑体" w:hint="eastAsia"/>
          <w:color w:val="333333"/>
          <w:sz w:val="32"/>
          <w:szCs w:val="32"/>
        </w:rPr>
        <w:t>2.65</w:t>
      </w:r>
      <w:r>
        <w:rPr>
          <w:rFonts w:ascii="仿宋" w:eastAsia="仿宋" w:cs="黑体"/>
          <w:color w:val="333333"/>
          <w:sz w:val="32"/>
          <w:szCs w:val="32"/>
        </w:rPr>
        <w:t>万元。专用设备</w:t>
      </w:r>
      <w:r>
        <w:rPr>
          <w:rFonts w:ascii="仿宋" w:eastAsia="仿宋" w:cs="黑体" w:hint="eastAsia"/>
          <w:color w:val="333333"/>
          <w:sz w:val="32"/>
          <w:szCs w:val="32"/>
        </w:rPr>
        <w:t>2</w:t>
      </w:r>
      <w:r>
        <w:rPr>
          <w:rFonts w:ascii="仿宋" w:eastAsia="仿宋" w:cs="黑体"/>
          <w:color w:val="333333"/>
          <w:sz w:val="32"/>
          <w:szCs w:val="32"/>
        </w:rPr>
        <w:t>件，价值</w:t>
      </w:r>
      <w:r>
        <w:rPr>
          <w:rFonts w:ascii="仿宋" w:eastAsia="仿宋" w:cs="黑体" w:hint="eastAsia"/>
          <w:color w:val="333333"/>
          <w:sz w:val="32"/>
          <w:szCs w:val="32"/>
        </w:rPr>
        <w:t>18.76</w:t>
      </w:r>
      <w:r>
        <w:rPr>
          <w:rFonts w:ascii="仿宋" w:eastAsia="仿宋" w:cs="黑体"/>
          <w:color w:val="333333"/>
          <w:sz w:val="32"/>
          <w:szCs w:val="32"/>
        </w:rPr>
        <w:t>万元</w:t>
      </w:r>
      <w:r>
        <w:rPr>
          <w:rFonts w:ascii="仿宋" w:eastAsia="仿宋" w:cs="黑体" w:hint="eastAsia"/>
          <w:color w:val="333333"/>
          <w:sz w:val="32"/>
          <w:szCs w:val="32"/>
        </w:rPr>
        <w:t>。</w:t>
      </w:r>
    </w:p>
    <w:p>
      <w:pPr>
        <w:spacing w:line="52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(二)履职总体目标、工作任务</w:t>
      </w:r>
    </w:p>
    <w:p>
      <w:pPr>
        <w:widowControl/>
        <w:spacing w:line="600" w:lineRule="exact"/>
        <w:ind w:firstLine="635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1.负责组织、协调全县治理非法超限超载车辆各项具体工作的贯彻落实，开展治超宣传工作。</w:t>
      </w:r>
    </w:p>
    <w:p>
      <w:pPr>
        <w:widowControl/>
        <w:spacing w:line="600" w:lineRule="exact"/>
        <w:ind w:firstLine="635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2.开展经常性的监督检查，严格责任追究制和倒查制，做好相关证据、材行动，协调周边地区联动治超。</w:t>
      </w:r>
    </w:p>
    <w:p>
      <w:pPr>
        <w:widowControl/>
        <w:spacing w:line="600" w:lineRule="exact"/>
        <w:ind w:firstLine="635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3.我县辖区内非法超限超载率控制在0.02%，49吨以上非法超限超载率控制在0.02%以下。</w:t>
      </w:r>
    </w:p>
    <w:p>
      <w:pPr>
        <w:widowControl/>
        <w:spacing w:line="600" w:lineRule="exact"/>
        <w:ind w:firstLine="635"/>
        <w:rPr>
          <w:rFonts w:ascii="黑体" w:eastAsia="黑体" w:cs="FZHTK--GBK1-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4.在申办相关证件与车辆检查时，严格把好车辆改型准入和出场上路关，确实做好超限超载人员的登记、建档、公示，充分认识治超工作的重要性</w:t>
      </w:r>
      <w:r>
        <w:rPr>
          <w:rFonts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治理超限超载工作只有其起点无终点，要做到常抓不懈。</w:t>
      </w:r>
    </w:p>
    <w:p>
      <w:pPr>
        <w:spacing w:line="52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(三)年度整体支出绩效目标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1.负责全县治超领导小组的日常工作和省、市治超政策的传达与落实；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2.督导和协调治超领导小组各成员单位的治超工作；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3.及时了解掌握全县治超工作的开展情况，不断推进和深化治超工作，向县市治超领导小组及市治超办提供治超信息，汇报治超工作；</w:t>
      </w:r>
      <w:r>
        <w:rPr>
          <w:rFonts w:ascii="仿宋" w:eastAsia="仿宋"/>
          <w:sz w:val="32"/>
          <w:szCs w:val="32"/>
        </w:rPr>
        <w:br/>
      </w:r>
      <w:r>
        <w:rPr>
          <w:rFonts w:ascii="仿宋" w:eastAsia="仿宋" w:hint="eastAsia"/>
          <w:sz w:val="32"/>
          <w:szCs w:val="32"/>
        </w:rPr>
        <w:t xml:space="preserve">  4.建立治超信息台台账制度，认真、准确、及时地收集数据，并及时向市治超办和县领导上报。</w:t>
      </w:r>
    </w:p>
    <w:p>
      <w:pPr>
        <w:spacing w:line="52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(四)预算绩效管理开展情况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部门整体支出预算绩效项目共</w:t>
      </w:r>
      <w:r>
        <w:rPr>
          <w:rFonts w:ascii="仿宋" w:eastAsia="仿宋" w:hint="eastAsia"/>
          <w:sz w:val="32"/>
          <w:szCs w:val="32"/>
        </w:rPr>
        <w:t>4个，资金总量221.27   万元，覆盖了我单位所有的财政基本支出。</w:t>
      </w:r>
    </w:p>
    <w:p>
      <w:pPr>
        <w:spacing w:line="52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(五)预算及执行情况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1，预算下达资金共  万元，已全部支出，其中:人员经费   万元，公用支出   万元。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2.追加项目资金201.27 万元，其中机关运行经费5万元，建设治超非现场监测点196.27万元。</w:t>
      </w:r>
    </w:p>
    <w:p>
      <w:pPr>
        <w:spacing w:line="520" w:lineRule="exact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二、单位整体支出绩效实现情况</w:t>
      </w:r>
    </w:p>
    <w:p>
      <w:pPr>
        <w:spacing w:line="600" w:lineRule="exact"/>
        <w:ind w:firstLineChars="200" w:firstLine="640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2021年，我单位积极履职，强化管理，较好的完成了年度工作目标。根据部门整体支出绩效评价体系，我单位2021年度评价得分为97.5分。部门整体支出绩效情况如下：</w:t>
      </w:r>
    </w:p>
    <w:p>
      <w:pPr>
        <w:spacing w:line="520" w:lineRule="exact"/>
        <w:rPr>
          <w:rFonts w:ascii="仿宋" w:eastAsia="仿宋" w:hint="eastAsia"/>
          <w:sz w:val="32"/>
          <w:szCs w:val="32"/>
        </w:rPr>
      </w:pPr>
    </w:p>
    <w:p>
      <w:pPr>
        <w:spacing w:line="520" w:lineRule="exact"/>
        <w:rPr>
          <w:rFonts w:ascii="仿宋" w:eastAsia="仿宋" w:cs="Times New Roman"/>
          <w:sz w:val="32"/>
          <w:szCs w:val="32"/>
          <w:shd w:val="clear" w:color="auto" w:fill="FFFFFF"/>
        </w:rPr>
      </w:pPr>
      <w:r>
        <w:rPr>
          <w:rFonts w:ascii="仿宋" w:eastAsia="仿宋" w:hint="eastAsia"/>
          <w:sz w:val="32"/>
          <w:szCs w:val="32"/>
        </w:rPr>
        <w:t>(一)履职完成情况:</w:t>
      </w:r>
      <w:r>
        <w:rPr>
          <w:rFonts w:ascii="仿宋" w:eastAsia="仿宋" w:cs="Times New Roman" w:hint="eastAsia"/>
          <w:sz w:val="32"/>
          <w:szCs w:val="32"/>
          <w:shd w:val="clear" w:color="auto" w:fill="FFFFFF"/>
        </w:rPr>
        <w:t xml:space="preserve"> </w:t>
      </w: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 w:hint="eastAsia"/>
          <w:sz w:val="32"/>
          <w:szCs w:val="32"/>
          <w:shd w:val="clear" w:color="auto" w:fill="FFFFFF"/>
        </w:rPr>
        <w:t>1.全年累计投入执法人员 4650人次，检查货运车辆32000余辆次，劝返380余辆次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</w:rPr>
        <w:t>有效的打击超限违法行为，净化了公路交通运输环境；</w:t>
      </w: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</w:rPr>
        <w:t>2.每月按时发放治超执法人员的工资，按时缴纳了工作人员的各类保险，保证了单位的日常运转；</w:t>
      </w:r>
    </w:p>
    <w:p>
      <w:pPr>
        <w:spacing w:line="52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</w:rPr>
        <w:t>3.严格按照相关规章制度，加强单位财务管理，厉行节约，科学合理有计划的安排各项经费支出。</w:t>
      </w:r>
    </w:p>
    <w:p>
      <w:pPr>
        <w:spacing w:line="520" w:lineRule="exact"/>
        <w:rPr>
          <w:rFonts w:ascii="宋体" w:eastAsia="宋体"/>
          <w:b/>
          <w:sz w:val="28"/>
          <w:szCs w:val="36"/>
        </w:rPr>
      </w:pPr>
      <w:r>
        <w:rPr>
          <w:rFonts w:ascii="宋体" w:eastAsia="宋体" w:hint="eastAsia"/>
          <w:b/>
          <w:sz w:val="28"/>
          <w:szCs w:val="36"/>
        </w:rPr>
        <w:t xml:space="preserve"> (二)履职效果情况:</w:t>
      </w:r>
    </w:p>
    <w:p>
      <w:pPr>
        <w:spacing w:line="600" w:lineRule="exact"/>
        <w:ind w:firstLineChars="200" w:firstLine="64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</w:rPr>
        <w:t>把宣传教育贯穿治超工作全过程，通过微信公众号以及发放宣传单、悬挂条幅、张贴标语等多重形式，深入宣传治超工作的意义，跟踪报道治超工作进展、做法和经验。充分利用重大宣传日，特别是在12月4日全国法制宣传日，向过往司机分发宣传册，组织机关干部进企进厂，广泛宣传国家关于货运治超的政策和非法超限超载的危害性。通过多角度的开展宣传活动，保持舆论声势，使广大群众和运输企业增强了对超限运输危害性的认识，赢得社会各界的理解和支持，营造了良好的治超工作氛围。</w:t>
      </w:r>
    </w:p>
    <w:p>
      <w:pPr>
        <w:spacing w:line="520" w:lineRule="exact"/>
        <w:rPr>
          <w:rFonts w:ascii="宋体" w:eastAsia="宋体"/>
          <w:b/>
          <w:sz w:val="28"/>
          <w:szCs w:val="36"/>
        </w:rPr>
      </w:pPr>
      <w:r>
        <w:rPr>
          <w:rFonts w:ascii="宋体" w:eastAsia="宋体" w:hint="eastAsia"/>
          <w:b/>
          <w:sz w:val="28"/>
          <w:szCs w:val="36"/>
        </w:rPr>
        <w:t xml:space="preserve"> (三)社会满意度: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我县全年无一例因超限超载引发的道路损毁、桥梁坍塌事故，社会满意度良好。</w:t>
      </w:r>
    </w:p>
    <w:p>
      <w:pPr>
        <w:spacing w:line="520" w:lineRule="exact"/>
        <w:rPr>
          <w:rFonts w:ascii="宋体" w:eastAsia="宋体"/>
          <w:b/>
          <w:sz w:val="32"/>
          <w:szCs w:val="32"/>
        </w:rPr>
      </w:pPr>
      <w:r>
        <w:rPr>
          <w:rFonts w:ascii="宋体" w:eastAsia="宋体" w:hint="eastAsia"/>
          <w:b/>
          <w:sz w:val="32"/>
          <w:szCs w:val="32"/>
        </w:rPr>
        <w:t>三、整体支出绩效中存在问题及改进措施</w:t>
      </w:r>
    </w:p>
    <w:p>
      <w:pPr>
        <w:spacing w:line="52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(一)主要问题及原因分析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1.绩效管理不够科学，部门整体绩效目标与产出的数量指标、质量指标缺乏对应性；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2.绩效目标设定不够合理</w:t>
      </w:r>
    </w:p>
    <w:p>
      <w:pPr>
        <w:spacing w:line="52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(二)改进的方向和具体措施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1.提高对绩效管理的认识充分理解财政绩效评价指标体系，更加科学合理地确定部门绩效目标和评价目标。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2.设立合理的预算绩效目标，依据预设的绩效目标数量、质量指标全面评价预算实施效果。</w:t>
      </w:r>
    </w:p>
    <w:p>
      <w:pPr>
        <w:spacing w:line="520" w:lineRule="exact"/>
        <w:ind w:left="640" w:hangingChars="200" w:hanging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四、绩效自评结果拟应用和公开情况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1．我单位逐步建立绩效评价与部门预算相结合的结果应用机制，采取项目预期绩效目标申报制度，强化评价结果在部门预算编制和执行中的应用，促进财政资金的合理分配与有效应用。</w:t>
      </w:r>
    </w:p>
    <w:p>
      <w:pPr>
        <w:spacing w:line="52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2.公开情况：部门整体申报情况随同2021年财政决算公开，部门整体自评价结果将随同决算一并公开。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variable"/>
    <w:sig w:usb0="00000000" w:usb1="0000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_GB2312">
    <w:altName w:val="永中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4F3626E"/>
    <w:multiLevelType w:val="multilevel"/>
    <w:tmpl w:val="44F3626E"/>
    <w:lvl w:ilvl="0">
      <w:start w:val="1"/>
      <w:numFmt w:val="japaneseCounting"/>
      <w:lvlRestart w:val="0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YzdhOTZmNTAwOTk5MDdhMDQyNWE3YmQzNGVhY2ZmY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rPr>
      <w:rFonts w:ascii="Calibri" w:eastAsia="宋体" w:cs="Times New Roman" w:hAnsi="Calibri"/>
      <w:kern w:val="0"/>
      <w:sz w:val="24"/>
      <w:szCs w:val="22"/>
    </w:rPr>
  </w:style>
  <w:style w:type="paragraph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4</Pages>
  <Words>1662</Words>
  <Characters>1737</Characters>
  <Lines>89</Lines>
  <Paragraphs>45</Paragraphs>
  <CharactersWithSpaces>1758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张张</dc:creator>
  <cp:lastModifiedBy>greatwall</cp:lastModifiedBy>
  <cp:revision>2</cp:revision>
  <dcterms:created xsi:type="dcterms:W3CDTF">2022-05-07T03:37:00Z</dcterms:created>
  <dcterms:modified xsi:type="dcterms:W3CDTF">2023-05-26T02:44:21Z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D8E778099A174A8E89405401DA9E1F40</vt:lpwstr>
  </property>
</Properties>
</file>