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  <w:bookmarkStart w:id="0" w:name="_GoBack"/>
      <w:bookmarkEnd w:id="0"/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Chars="0" w:firstLine="0"/>
        <w:jc w:val="center"/>
        <w:outlineLvl w:val="0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0"/>
          <w:szCs w:val="30"/>
        </w:rPr>
      </w:pPr>
    </w:p>
    <w:p>
      <w:pPr>
        <w:spacing w:line="480" w:lineRule="auto"/>
        <w:ind w:firstLineChars="300" w:firstLine="96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项目名称：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基本公共卫生服务（市级配套第二批）</w:t>
      </w:r>
    </w:p>
    <w:p>
      <w:pPr>
        <w:spacing w:line="480" w:lineRule="auto"/>
        <w:ind w:firstLineChars="300" w:firstLine="96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项目单位：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firstLineChars="300" w:firstLine="96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主管部门：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/>
          <w:kern w:val="0"/>
          <w:sz w:val="32"/>
          <w:szCs w:val="32"/>
        </w:rPr>
        <w:t>2022</w:t>
      </w:r>
      <w:r>
        <w:rPr>
          <w:rFonts w:ascii="仿宋_GB2312" w:cs="Times New Roman" w:hint="eastAsia"/>
          <w:kern w:val="0"/>
          <w:sz w:val="32"/>
          <w:szCs w:val="32"/>
        </w:rPr>
        <w:t>年</w:t>
      </w:r>
      <w:r>
        <w:rPr>
          <w:rFonts w:ascii="仿宋_GB2312" w:cs="Times New Roman"/>
          <w:kern w:val="0"/>
          <w:sz w:val="32"/>
          <w:szCs w:val="32"/>
        </w:rPr>
        <w:t>2</w:t>
      </w:r>
      <w:r>
        <w:rPr>
          <w:rFonts w:ascii="仿宋_GB2312" w:cs="Times New Roman" w:hint="eastAsia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Chars="0" w:firstLine="0"/>
        <w:rPr>
          <w:rFonts w:ascii="Calibri" w:eastAsia="仿宋_GB2312" w:cs="黑体" w:hAnsi="Calibri"/>
          <w:kern w:val="2"/>
          <w:sz w:val="28"/>
          <w:szCs w:val="44"/>
          <w:lang w:val="en-US" w:eastAsia="zh-CN" w:bidi="ar-SA"/>
        </w:rPr>
      </w:pPr>
      <w:r>
        <w:rPr>
          <w:rFonts w:ascii="仿宋_GB2312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27"/>
        <w:tabs>
          <w:tab w:val="right" w:leader="dot" w:pos="8306"/>
        </w:tabs>
        <w:ind w:left="0" w:firstLineChars="0" w:firstLine="0"/>
        <w:jc w:val="center"/>
        <w:rPr>
          <w:rFonts w:ascii="仿宋" w:eastAsia="仿宋" w:cs="仿宋" w:hint="eastAsia"/>
          <w:bCs w:val="0"/>
          <w:sz w:val="44"/>
          <w:szCs w:val="44"/>
          <w:lang w:val="en-US" w:eastAsia="zh-CN"/>
        </w:rPr>
      </w:pPr>
      <w:r>
        <w:rPr>
          <w:rFonts w:ascii="仿宋" w:eastAsia="仿宋" w:cs="仿宋" w:hint="eastAsia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_Toc25659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_Toc32174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_Toc30547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_Toc8405 \h </w:instrText>
      </w:r>
      <w:r>
        <w:fldChar w:fldCharType="separate"/>
      </w:r>
      <w:r>
        <w:t>2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_Toc26537 \h </w:instrText>
      </w:r>
      <w:r>
        <w:fldChar w:fldCharType="separate"/>
      </w:r>
      <w:r>
        <w:t>2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_Toc29968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_Toc25448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_Toc24619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_Toc12335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_Toc21547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_Toc14157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lang w:val="en-US" w:eastAsia="zh-CN"/>
        </w:rPr>
        <w:t>附件</w:t>
      </w:r>
      <w:r>
        <w:rPr>
          <w:rFonts w:ascii="仿宋" w:eastAsia="仿宋" w:cs="仿宋"/>
          <w:bCs w:val="0"/>
        </w:rPr>
        <w:t>1.</w:t>
      </w:r>
      <w:r>
        <w:rPr>
          <w:rFonts w:ascii="仿宋" w:eastAsia="仿宋" w:cs="仿宋" w:hint="eastAsia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_Toc16153 \h </w:instrText>
      </w:r>
      <w:r>
        <w:fldChar w:fldCharType="separate"/>
      </w:r>
      <w:r>
        <w:t>1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附件</w:t>
      </w:r>
      <w:r>
        <w:rPr>
          <w:rFonts w:ascii="仿宋" w:eastAsia="仿宋" w:cs="仿宋"/>
          <w:bCs w:val="0"/>
        </w:rPr>
        <w:t>2.</w:t>
      </w:r>
      <w:r>
        <w:rPr>
          <w:rFonts w:ascii="仿宋" w:eastAsia="仿宋" w:cs="仿宋" w:hint="eastAsia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_Toc30929 \h </w:instrText>
      </w:r>
      <w:r>
        <w:fldChar w:fldCharType="separate"/>
      </w:r>
      <w:r>
        <w:t>2</w:t>
      </w:r>
      <w:r>
        <w:fldChar w:fldCharType="end"/>
      </w:r>
    </w:p>
    <w:p>
      <w:pPr>
        <w:pStyle w:val="27"/>
        <w:tabs>
          <w:tab w:val="right" w:leader="dot" w:pos="8296"/>
        </w:tabs>
        <w:ind w:firstLineChars="137" w:firstLine="274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rPr>
          <w:szCs w:val="44"/>
        </w:rPr>
      </w:pPr>
    </w:p>
    <w:p>
      <w:pPr>
        <w:rPr>
          <w:szCs w:val="44"/>
        </w:rPr>
      </w:pPr>
    </w:p>
    <w:p>
      <w:pPr>
        <w:rPr>
          <w:szCs w:val="44"/>
        </w:rPr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1" w:name="_Toc25659"/>
      <w:r>
        <w:rPr>
          <w:rFonts w:ascii="仿宋" w:eastAsia="仿宋" w:cs="仿宋" w:hint="eastAsia"/>
          <w:b/>
          <w:bCs w:val="0"/>
        </w:rPr>
        <w:t>一、项目的基本情况</w:t>
      </w:r>
      <w:bookmarkEnd w:id="1"/>
    </w:p>
    <w:p>
      <w:pPr>
        <w:pStyle w:val="38"/>
      </w:pPr>
      <w:bookmarkStart w:id="2" w:name="_Toc32174"/>
      <w:r>
        <w:rPr>
          <w:rFonts w:hint="eastAsia"/>
        </w:rPr>
        <w:t>（一）项目概况</w:t>
      </w:r>
      <w:bookmarkEnd w:id="2"/>
    </w:p>
    <w:p>
      <w:pPr>
        <w:pStyle w:val="37"/>
        <w:ind w:left="280"/>
      </w:pPr>
      <w:r>
        <w:rPr>
          <w:rFonts w:hint="eastAsia"/>
          <w:b/>
          <w:bCs/>
        </w:rPr>
        <w:t>项目概况：</w:t>
      </w:r>
      <w:r>
        <w:t>基本公共卫生市级配套资金保障公民基本公共卫生服务，按照文件要求执行，确保资金专款专用。</w:t>
      </w:r>
    </w:p>
    <w:p>
      <w:pPr>
        <w:pStyle w:val="37"/>
        <w:ind w:left="280"/>
      </w:pPr>
      <w:r>
        <w:rPr>
          <w:rFonts w:hint="eastAsia"/>
          <w:b/>
          <w:bCs/>
        </w:rPr>
        <w:t>立项依据：</w:t>
      </w:r>
      <w:r>
        <w:t>大财社二（2021）75号</w:t>
      </w:r>
    </w:p>
    <w:p>
      <w:pPr>
        <w:pStyle w:val="37"/>
        <w:ind w:left="280"/>
        <w:rPr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项目资金主要用于基层医疗卫生机构日常药品款支出，确保基本医疗机构日常工作运转，提高乡镇卫生院医疗服务水平，强化医疗服务能力，更好地为我县人民群众服务。</w:t>
      </w:r>
    </w:p>
    <w:p>
      <w:pPr>
        <w:pStyle w:val="37"/>
        <w:ind w:left="280"/>
      </w:pPr>
      <w:r>
        <w:rPr>
          <w:rFonts w:hint="eastAsia"/>
          <w:b/>
          <w:bCs/>
        </w:rPr>
        <w:t>保证项目实施的措施与制度：</w:t>
      </w:r>
      <w:r>
        <w:t>严格执行财务管理制度，项目管理制度，严格按照文件要求执行，结合工作实际，按照要求制度方案尽快报送绩效目标，确保项目有效进行。</w:t>
      </w:r>
    </w:p>
    <w:p>
      <w:pPr>
        <w:pStyle w:val="37"/>
        <w:ind w:left="280"/>
        <w:rPr>
          <w:rFonts w:ascii="Times New Roman" w:cs="Times New Roman" w:hAnsi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严格按照大财社二（2021）75号文件精神，合理编制预算，规划基金安排，做到尽收尽支。</w:t>
      </w:r>
    </w:p>
    <w:p>
      <w:pPr>
        <w:pStyle w:val="38"/>
      </w:pPr>
      <w:bookmarkStart w:id="3" w:name="_Toc30547"/>
      <w:r>
        <w:rPr>
          <w:rFonts w:hint="eastAsia"/>
        </w:rPr>
        <w:t>（二）预算执行情况</w:t>
      </w:r>
      <w:bookmarkEnd w:id="3"/>
    </w:p>
    <w:p>
      <w:pPr>
        <w:ind w:firstLineChars="0" w:firstLine="0"/>
        <w:jc w:val="left"/>
        <w:rPr>
          <w:b/>
          <w:szCs w:val="28"/>
        </w:rPr>
      </w:pPr>
    </w:p>
    <w:tbl>
      <w:tblPr>
        <w:jc w:val="left"/>
        <w:tblInd w:w="172" w:type="dxa"/>
        <w:tblW w:w="13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8.33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38"/>
      </w:pPr>
      <w:bookmarkStart w:id="4" w:name="_Toc8405"/>
      <w:r>
        <w:rPr>
          <w:rFonts w:hint="eastAsia"/>
        </w:rPr>
        <w:t>（三）项目绩效目标</w:t>
      </w:r>
      <w:bookmarkEnd w:id="4"/>
    </w:p>
    <w:p>
      <w:pPr>
        <w:pStyle w:val="39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37"/>
        <w:ind w:left="280"/>
      </w:pPr>
      <w:r>
        <w:t>严格执行财务管理制度，项目管理制度，严格按照文件要求执行，结合工作实际，按照要求制度方案尽快报送绩效目标，确保项目有效进行。</w:t>
      </w:r>
    </w:p>
    <w:p>
      <w:pPr>
        <w:pStyle w:val="39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37"/>
        <w:ind w:left="280"/>
      </w:pPr>
      <w:r>
        <w:t>严格执行财务管理制度，项目管理制度，严格按照文件要求执行，结合工作实际，按照要求制度方案尽快报送绩效目标，确保项目有效进行。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5" w:name="_Toc26537"/>
      <w:r>
        <w:rPr>
          <w:rFonts w:ascii="仿宋" w:eastAsia="仿宋" w:cs="仿宋" w:hint="eastAsia"/>
          <w:b/>
          <w:bCs w:val="0"/>
        </w:rPr>
        <w:t>二、项目绩效情况</w:t>
      </w:r>
      <w:bookmarkEnd w:id="5"/>
    </w:p>
    <w:p>
      <w:pPr>
        <w:pStyle w:val="37"/>
        <w:ind w:leftChars="50" w:left="14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基本公共卫生服务（市级配套第二批）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38"/>
        <w:ind w:leftChars="0" w:left="0" w:firstLine="0"/>
      </w:pPr>
      <w:bookmarkStart w:id="6" w:name="_Toc29968"/>
      <w:r>
        <w:rPr>
          <w:rFonts w:hint="eastAsia"/>
        </w:rPr>
        <w:t>（一）预算执行情况</w:t>
      </w:r>
      <w:bookmarkEnd w:id="6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38"/>
        <w:ind w:leftChars="0" w:left="0" w:firstLine="0"/>
      </w:pPr>
      <w:bookmarkStart w:id="7" w:name="_Toc25448"/>
      <w:r>
        <w:rPr>
          <w:rFonts w:hint="eastAsia"/>
        </w:rPr>
        <w:t>（二）项目产出情况</w:t>
      </w:r>
      <w:bookmarkEnd w:id="7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基本公共卫生涉及乡镇数量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8.33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8.33万元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38"/>
        <w:ind w:leftChars="0" w:left="0" w:firstLine="0"/>
      </w:pPr>
      <w:bookmarkStart w:id="8" w:name="_Toc24619"/>
      <w:r>
        <w:rPr>
          <w:rFonts w:hint="eastAsia"/>
        </w:rPr>
        <w:t>（三）项目效益情况</w:t>
      </w:r>
      <w:bookmarkEnd w:id="8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基本公共卫生产生的社会效益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稳定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widowControl/>
        <w:numPr>
          <w:ilvl w:val="0"/>
          <w:numId w:val="1"/>
        </w:numPr>
        <w:ind w:left="0" w:firstLineChars="0" w:firstLine="0"/>
        <w:jc w:val="left"/>
        <w:rPr>
          <w:rFonts w:hint="eastAsia"/>
        </w:rPr>
      </w:pPr>
      <w:r>
        <w:rPr>
          <w:rFonts w:ascii="Times New Roman" w:eastAsia="仿宋_GB2312" w:cs="Times New Roman" w:hAnsi="Times New Roman" w:hint="eastAsia"/>
          <w:b/>
          <w:bCs/>
          <w:kern w:val="0"/>
          <w:sz w:val="28"/>
          <w:szCs w:val="32"/>
          <w:lang w:val="en-US" w:eastAsia="zh-CN" w:bidi="ar-SA"/>
        </w:rPr>
        <w:t>项目满意度情况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Chars="0" w:firstLine="0"/>
        <w:rPr>
          <w:szCs w:val="44"/>
        </w:rPr>
      </w:pPr>
    </w:p>
    <w:p>
      <w:pPr>
        <w:widowControl/>
        <w:ind w:firstLineChars="0" w:firstLine="0"/>
        <w:jc w:val="left"/>
        <w:rPr>
          <w:rFonts w:ascii="仿宋" w:eastAsia="仿宋" w:cs="仿宋"/>
          <w:b/>
          <w:bCs w:val="0"/>
          <w:sz w:val="32"/>
          <w:szCs w:val="32"/>
        </w:rPr>
      </w:pPr>
      <w:r>
        <w:rPr>
          <w:rFonts w:ascii="仿宋" w:eastAsia="仿宋" w:cs="仿宋" w:hint="eastAsia"/>
          <w:b/>
          <w:bCs w:val="0"/>
          <w:sz w:val="32"/>
          <w:szCs w:val="32"/>
        </w:rPr>
        <w:t>三、</w:t>
      </w:r>
      <w:bookmarkStart w:id="9" w:name="_Toc17451"/>
      <w:bookmarkStart w:id="10" w:name="_Toc23655"/>
      <w:r>
        <w:rPr>
          <w:rFonts w:ascii="仿宋" w:eastAsia="仿宋" w:cs="仿宋" w:hint="eastAsia"/>
          <w:b/>
          <w:bCs w:val="0"/>
          <w:sz w:val="32"/>
          <w:szCs w:val="32"/>
        </w:rPr>
        <w:t>项目绩效分析</w:t>
      </w:r>
      <w:bookmarkEnd w:id="9"/>
      <w:bookmarkEnd w:id="10"/>
    </w:p>
    <w:p>
      <w:pPr>
        <w:pStyle w:val="37"/>
        <w:numPr>
          <w:ilvl w:val="0"/>
          <w:numId w:val="2"/>
        </w:numPr>
        <w:ind w:leftChars="250" w:left="700"/>
        <w:rPr>
          <w:rFonts w:ascii="仿宋_GB2312"/>
          <w:bCs/>
        </w:rPr>
      </w:pPr>
      <w:r>
        <w:rPr>
          <w:rFonts w:ascii="仿宋_GB2312" w:hint="eastAsia"/>
          <w:b/>
        </w:rPr>
        <w:t>项目实施和预算执行情况及分析</w:t>
      </w:r>
    </w:p>
    <w:p>
      <w:pPr>
        <w:pStyle w:val="37"/>
        <w:ind w:leftChars="250" w:left="700" w:firstLineChars="0" w:firstLine="0"/>
        <w:rPr>
          <w:rFonts w:ascii="仿宋_GB2312" w:eastAsia="仿宋_GB2312"/>
          <w:bCs/>
          <w:lang w:val="en-US" w:eastAsia="zh-CN"/>
        </w:rPr>
      </w:pPr>
      <w:r>
        <w:rPr>
          <w:rFonts w:ascii="仿宋_GB2312" w:hint="eastAsia"/>
          <w:bCs/>
          <w:lang w:val="en-US" w:eastAsia="zh-CN"/>
        </w:rPr>
        <w:t>项目资金总额8.33万元，实际支付资金总额8.33万元，预算执行率达到100%</w:t>
      </w:r>
    </w:p>
    <w:p>
      <w:pPr>
        <w:pStyle w:val="37"/>
        <w:numPr>
          <w:ilvl w:val="0"/>
          <w:numId w:val="2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>
      <w:pPr>
        <w:pStyle w:val="37"/>
        <w:ind w:leftChars="250" w:left="700" w:firstLineChars="0" w:firstLine="0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项目涉及基本公共卫生涉及乡镇数量6个；项目资金质量合格率达到100%；项目资金成本8.33万元。</w:t>
      </w:r>
    </w:p>
    <w:p>
      <w:pPr>
        <w:pStyle w:val="37"/>
        <w:numPr>
          <w:ilvl w:val="0"/>
          <w:numId w:val="2"/>
        </w:numPr>
        <w:ind w:leftChars="250" w:left="700"/>
        <w:rPr>
          <w:rFonts w:ascii="仿宋_GB2312"/>
          <w:bCs/>
        </w:rPr>
      </w:pPr>
      <w:r>
        <w:rPr>
          <w:rFonts w:ascii="仿宋_GB2312" w:hint="eastAsia"/>
          <w:b/>
        </w:rPr>
        <w:t>效益情况及分析</w:t>
      </w:r>
    </w:p>
    <w:p>
      <w:pPr>
        <w:pStyle w:val="37"/>
        <w:ind w:leftChars="250" w:left="700" w:firstLineChars="0" w:firstLine="0"/>
        <w:rPr>
          <w:rFonts w:ascii="仿宋_GB2312"/>
          <w:bCs/>
          <w:lang w:val="en-US" w:eastAsia="zh-CN"/>
        </w:rPr>
      </w:pPr>
      <w:r>
        <w:rPr>
          <w:rFonts w:ascii="仿宋_GB2312" w:hint="eastAsia"/>
          <w:bCs/>
          <w:lang w:val="en-US" w:eastAsia="zh-CN"/>
        </w:rPr>
        <w:t>基本公共卫生产生的社会效益达到100%</w:t>
      </w:r>
    </w:p>
    <w:p>
      <w:pPr>
        <w:pStyle w:val="37"/>
        <w:numPr>
          <w:ilvl w:val="0"/>
          <w:numId w:val="2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>
      <w:pPr>
        <w:pStyle w:val="37"/>
        <w:ind w:leftChars="250" w:left="700" w:firstLineChars="0" w:firstLine="0"/>
        <w:rPr>
          <w:rFonts w:ascii="仿宋_GB2312"/>
          <w:bCs/>
          <w:lang w:val="en-US" w:eastAsia="zh-CN"/>
        </w:rPr>
      </w:pPr>
      <w:r>
        <w:rPr>
          <w:rFonts w:ascii="仿宋_GB2312" w:hint="eastAsia"/>
          <w:bCs/>
          <w:lang w:val="en-US" w:eastAsia="zh-CN"/>
        </w:rPr>
        <w:t>项目实施，基本公共卫生群众满意度达到98%</w:t>
      </w:r>
    </w:p>
    <w:p>
      <w:pPr>
        <w:pStyle w:val="41"/>
        <w:rPr>
          <w:caps w:val="0"/>
          <w:smallCaps w:val="0"/>
          <w:vanish w:val="0"/>
        </w:rPr>
      </w:pPr>
      <w:bookmarkStart w:id="11" w:name="_Toc23145"/>
      <w:bookmarkStart w:id="12" w:name="_Toc12335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37"/>
        <w:ind w:left="0" w:firstLineChars="200" w:firstLine="56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37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37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41"/>
        <w:rPr>
          <w:rFonts w:asci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21547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37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41"/>
        <w:rPr>
          <w:rFonts w:ascii="仿宋" w:eastAsia="仿宋" w:cs="仿宋" w:hint="eastAsia"/>
          <w:b/>
          <w:bCs w:val="0"/>
          <w:caps w:val="0"/>
          <w:smallCaps w:val="0"/>
          <w:vanish w:val="0"/>
        </w:rPr>
      </w:pPr>
      <w:bookmarkStart w:id="15" w:name="_Toc8253"/>
      <w:bookmarkStart w:id="16" w:name="_Toc14157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37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37"/>
        <w:sectPr>
          <w:footerReference w:type="default" r:id="rId3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17" w:name="_Toc16153"/>
      <w:r>
        <w:rPr>
          <w:rFonts w:ascii="仿宋" w:eastAsia="仿宋" w:cs="仿宋" w:hint="eastAsia"/>
          <w:b/>
          <w:bCs w:val="0"/>
          <w:lang w:val="en-US" w:eastAsia="zh-CN"/>
        </w:rPr>
        <w:t>附件</w:t>
      </w:r>
      <w:r>
        <w:rPr>
          <w:rFonts w:ascii="仿宋" w:eastAsia="仿宋" w:cs="仿宋"/>
          <w:b/>
          <w:bCs w:val="0"/>
        </w:rPr>
        <w:t>1.</w:t>
      </w:r>
      <w:r>
        <w:rPr>
          <w:rFonts w:ascii="仿宋" w:eastAsia="仿宋" w:cs="仿宋" w:hint="eastAsia"/>
          <w:b/>
          <w:bCs w:val="0"/>
        </w:rPr>
        <w:t>项目支出绩效自评表</w:t>
      </w:r>
      <w:bookmarkEnd w:id="17"/>
    </w:p>
    <w:p/>
    <w:tbl>
      <w:tblPr>
        <w:jc w:val="left"/>
        <w:tblInd w:w="5" w:type="dxa"/>
        <w:tblW w:w="14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</w:rPr>
              <w:t>附件</w:t>
            </w:r>
            <w:r>
              <w:rPr>
                <w:rFonts w:ascii="仿宋" w:eastAsia="仿宋" w:cs="仿宋"/>
                <w:b/>
              </w:rPr>
              <w:t>1.</w:t>
            </w:r>
            <w:r>
              <w:rPr>
                <w:rFonts w:ascii="仿宋" w:eastAsia="仿宋" w:cs="仿宋" w:hint="eastAsia"/>
                <w:b/>
              </w:rPr>
              <w:t>项目支出绩效自评表</w:t>
            </w:r>
          </w:p>
        </w:tc>
      </w:tr>
      <w:tr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基本公共卫生涉及乡镇数量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项目资金质量合格率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8.33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8.33万元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基本公共卫生产生的社会效益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稳定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</w:tr>
    </w:tbl>
    <w:p>
      <w:pPr>
        <w:pStyle w:val="37"/>
        <w:sectPr>
          <w:footerReference w:type="default" r:id="rId4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18" w:name="_Toc30929"/>
      <w:r>
        <w:rPr>
          <w:rFonts w:ascii="仿宋" w:eastAsia="仿宋" w:cs="仿宋" w:hint="eastAsia"/>
          <w:b/>
          <w:bCs w:val="0"/>
        </w:rPr>
        <w:t>附件</w:t>
      </w:r>
      <w:r>
        <w:rPr>
          <w:rFonts w:ascii="仿宋" w:eastAsia="仿宋" w:cs="仿宋"/>
          <w:b/>
          <w:bCs w:val="0"/>
        </w:rPr>
        <w:t>2.</w:t>
      </w:r>
      <w:r>
        <w:rPr>
          <w:rFonts w:ascii="仿宋" w:eastAsia="仿宋" w:cs="仿宋" w:hint="eastAsia"/>
          <w:b/>
          <w:bCs w:val="0"/>
        </w:rPr>
        <w:t>绩效自评相关资料</w:t>
      </w:r>
      <w:bookmarkEnd w:id="18"/>
    </w:p>
    <w:tbl>
      <w:tblPr>
        <w:jc w:val="center"/>
        <w:tblW w:w="12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cs="仿宋" w:hint="eastAsia"/>
                <w:b/>
                <w:bCs/>
                <w:szCs w:val="28"/>
              </w:rPr>
              <w:t>绩效自评相关资料</w:t>
            </w:r>
          </w:p>
        </w:tc>
      </w:tr>
      <w:tr>
        <w:trPr>
          <w:trHeight w:val="5267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Chars="0" w:firstLine="0"/>
      </w:pPr>
    </w:p>
    <w:sectPr>
      <w:headerReference w:type="default" r:id="rId5"/>
      <w:headerReference w:type="even" r:id="rId6"/>
      <w:headerReference w:type="first" r:id="rId7"/>
      <w:footerReference w:type="default" r:id="rId8"/>
      <w:footerReference w:type="even" r:id="rId9"/>
      <w:footerReference w:type="first" r:id="rId10"/>
      <w:pgSz w:w="16838" w:h="11906" w:orient="landscape"/>
      <w:pgMar w:top="1800" w:right="1440" w:bottom="1800" w:left="1440" w:header="851" w:footer="992" w:gutter="0"/>
      <w:docGrid w:type="line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8E087598"/>
    <w:multiLevelType w:val="singleLevel"/>
    <w:tmpl w:val="8E087598"/>
    <w:lvl w:ilvl="0">
      <w:start w:val="4"/>
      <w:numFmt w:val="chineseCounting"/>
      <w:lvlRestart w:val="0"/>
      <w:suff w:val="nothing"/>
      <w:lvlText w:val="（%1）"/>
      <w:lvlJc w:val="left"/>
      <w:pPr>
        <w:ind w:left="0" w:hanging="0"/>
      </w:pPr>
      <w:rPr>
        <w:rFonts w:hint="eastAsia"/>
      </w:rPr>
    </w:lvl>
  </w:abstractNum>
  <w:abstractNum w:abstractNumId="1">
    <w:nsid w:val="E3B53022"/>
    <w:multiLevelType w:val="singleLevel"/>
    <w:tmpl w:val="E3B53022"/>
    <w:lvl w:ilvl="0">
      <w:start w:val="1"/>
      <w:numFmt w:val="decimal"/>
      <w:lvlRestart w:val="0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Calibri" w:eastAsia="仿宋_GB2312" w:cs="黑体" w:hAnsi="Calibri"/>
      <w:kern w:val="2"/>
      <w:sz w:val="28"/>
      <w:szCs w:val="22"/>
      <w:lang w:val="en-US" w:eastAsia="zh-CN" w:bidi="ar-SA"/>
    </w:rPr>
  </w:style>
  <w:style w:type="paragraph" w:styleId="1">
    <w:name w:val="heading 1"/>
    <w:basedOn w:val="0"/>
    <w:next w:val="16"/>
    <w:pPr>
      <w:keepNext/>
      <w:keepLines/>
      <w:widowControl w:val="0"/>
      <w:spacing w:before="340" w:after="330" w:line="578" w:lineRule="auto"/>
      <w:jc w:val="left"/>
      <w:outlineLvl w:val="0"/>
    </w:pPr>
    <w:rPr>
      <w:rFonts w:ascii="Times New Roman" w:cs="Times New Roman" w:hAnsi="Times New Roman"/>
      <w:b/>
      <w:bCs/>
      <w:kern w:val="44"/>
      <w:sz w:val="32"/>
      <w:szCs w:val="44"/>
    </w:rPr>
  </w:style>
  <w:style w:type="paragraph" w:styleId="2">
    <w:name w:val="heading 2"/>
    <w:basedOn w:val="0"/>
    <w:next w:val="17"/>
    <w:pPr>
      <w:keepNext/>
      <w:keepLines/>
      <w:widowControl w:val="0"/>
      <w:spacing w:before="260" w:after="260" w:line="415" w:lineRule="auto"/>
      <w:jc w:val="left"/>
      <w:outlineLvl w:val="1"/>
    </w:pPr>
    <w:rPr>
      <w:rFonts w:ascii="Cambria" w:cs="Times New Roman" w:hAnsi="Cambria"/>
      <w:b/>
      <w:bCs/>
      <w:kern w:val="0"/>
      <w:sz w:val="30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eastAsia="宋体" w:cs="Times New Roman" w:hAnsi="Cambria"/>
      <w:b/>
      <w:bCs/>
      <w:kern w:val="0"/>
      <w:szCs w:val="28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  <w:rPr>
      <w:rFonts w:cs="Times New Roman"/>
      <w:kern w:val="0"/>
      <w:szCs w:val="20"/>
    </w:rPr>
  </w:style>
  <w:style w:type="paragraph" w:styleId="16">
    <w:name w:val="Body Text First Indent 2"/>
    <w:basedOn w:val="15"/>
  </w:style>
  <w:style w:type="paragraph" w:styleId="17">
    <w:name w:val="No Spacing"/>
    <w:pPr>
      <w:widowControl w:val="0"/>
      <w:ind w:firstLineChars="200" w:firstLine="200"/>
      <w:jc w:val="both"/>
    </w:pPr>
    <w:rPr>
      <w:rFonts w:ascii="Calibri" w:eastAsia="仿宋_GB2312" w:cs="Times New Roman" w:hAnsi="Calibri"/>
      <w:kern w:val="0"/>
      <w:sz w:val="28"/>
      <w:szCs w:val="22"/>
      <w:lang w:val="en-US" w:eastAsia="zh-CN" w:bidi="ar-SA"/>
    </w:rPr>
  </w:style>
  <w:style w:type="paragraph" w:styleId="18">
    <w:name w:val="toc 7"/>
    <w:basedOn w:val="0"/>
    <w:next w:val="0"/>
    <w:pPr>
      <w:ind w:left="1680"/>
      <w:jc w:val="left"/>
    </w:pPr>
    <w:rPr>
      <w:rFonts w:cs="Calibri"/>
      <w:sz w:val="18"/>
      <w:szCs w:val="18"/>
    </w:rPr>
  </w:style>
  <w:style w:type="paragraph" w:styleId="19">
    <w:name w:val="Document Map"/>
    <w:basedOn w:val="0"/>
    <w:rPr>
      <w:rFonts w:ascii="宋体" w:eastAsia="宋体" w:cs="Times New Roman"/>
      <w:kern w:val="0"/>
      <w:sz w:val="18"/>
      <w:szCs w:val="18"/>
    </w:rPr>
  </w:style>
  <w:style w:type="paragraph" w:styleId="20">
    <w:name w:val="annotation text"/>
    <w:basedOn w:val="0"/>
    <w:rPr>
      <w:rFonts w:cs="Times New Roman"/>
      <w:kern w:val="0"/>
      <w:sz w:val="20"/>
      <w:szCs w:val="20"/>
    </w:rPr>
  </w:style>
  <w:style w:type="paragraph" w:styleId="21">
    <w:name w:val="toc 5"/>
    <w:basedOn w:val="0"/>
    <w:next w:val="0"/>
    <w:pPr>
      <w:ind w:left="1120"/>
      <w:jc w:val="left"/>
    </w:pPr>
    <w:rPr>
      <w:rFonts w:cs="Calibri"/>
      <w:sz w:val="18"/>
      <w:szCs w:val="18"/>
    </w:rPr>
  </w:style>
  <w:style w:type="paragraph" w:styleId="22">
    <w:name w:val="toc 3"/>
    <w:basedOn w:val="0"/>
    <w:next w:val="0"/>
    <w:pPr>
      <w:ind w:left="560"/>
      <w:jc w:val="left"/>
    </w:pPr>
    <w:rPr>
      <w:rFonts w:cs="Calibri"/>
      <w:i/>
      <w:iCs/>
      <w:sz w:val="20"/>
      <w:szCs w:val="20"/>
    </w:rPr>
  </w:style>
  <w:style w:type="paragraph" w:styleId="23">
    <w:name w:val="toc 8"/>
    <w:basedOn w:val="0"/>
    <w:next w:val="0"/>
    <w:pPr>
      <w:ind w:left="1960"/>
      <w:jc w:val="left"/>
    </w:pPr>
    <w:rPr>
      <w:rFonts w:cs="Calibri"/>
      <w:sz w:val="18"/>
      <w:szCs w:val="18"/>
    </w:rPr>
  </w:style>
  <w:style w:type="paragraph" w:styleId="24">
    <w:name w:val="Balloon Text"/>
    <w:basedOn w:val="0"/>
    <w:rPr>
      <w:rFonts w:cs="Times New Roman"/>
      <w:kern w:val="0"/>
      <w:sz w:val="18"/>
      <w:szCs w:val="18"/>
    </w:rPr>
  </w:style>
  <w:style w:type="paragraph" w:styleId="2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0"/>
    <w:next w:val="0"/>
    <w:pPr>
      <w:spacing w:before="120" w:after="120"/>
      <w:jc w:val="left"/>
    </w:pPr>
    <w:rPr>
      <w:rFonts w:cs="Calibri"/>
      <w:b/>
      <w:bCs/>
      <w:caps/>
      <w:smallCaps w:val="0"/>
      <w:sz w:val="20"/>
      <w:szCs w:val="20"/>
    </w:rPr>
  </w:style>
  <w:style w:type="paragraph" w:styleId="28">
    <w:name w:val="toc 4"/>
    <w:basedOn w:val="0"/>
    <w:next w:val="0"/>
    <w:pPr>
      <w:ind w:left="840"/>
      <w:jc w:val="left"/>
    </w:pPr>
    <w:rPr>
      <w:rFonts w:cs="Calibri"/>
      <w:sz w:val="18"/>
      <w:szCs w:val="18"/>
    </w:rPr>
  </w:style>
  <w:style w:type="paragraph" w:styleId="29">
    <w:name w:val="toc 6"/>
    <w:basedOn w:val="0"/>
    <w:next w:val="0"/>
    <w:pPr>
      <w:ind w:left="1400"/>
      <w:jc w:val="left"/>
    </w:pPr>
    <w:rPr>
      <w:rFonts w:cs="Calibri"/>
      <w:sz w:val="18"/>
      <w:szCs w:val="18"/>
    </w:rPr>
  </w:style>
  <w:style w:type="paragraph" w:styleId="30">
    <w:name w:val="toc 2"/>
    <w:basedOn w:val="0"/>
    <w:next w:val="0"/>
    <w:pPr>
      <w:ind w:left="280"/>
      <w:jc w:val="left"/>
    </w:pPr>
    <w:rPr>
      <w:rFonts w:cs="Calibri"/>
      <w:caps w:val="0"/>
      <w:smallCaps/>
      <w:sz w:val="20"/>
      <w:szCs w:val="20"/>
    </w:rPr>
  </w:style>
  <w:style w:type="paragraph" w:styleId="31">
    <w:name w:val="toc 9"/>
    <w:basedOn w:val="0"/>
    <w:next w:val="0"/>
    <w:pPr>
      <w:ind w:left="2240"/>
      <w:jc w:val="left"/>
    </w:pPr>
    <w:rPr>
      <w:rFonts w:cs="Calibri"/>
      <w:sz w:val="18"/>
      <w:szCs w:val="18"/>
    </w:rPr>
  </w:style>
  <w:style w:type="paragraph" w:styleId="32">
    <w:name w:val="annotation subject"/>
    <w:basedOn w:val="20"/>
    <w:next w:val="20"/>
    <w:rPr>
      <w:b/>
      <w:bCs/>
    </w:rPr>
  </w:style>
  <w:style w:type="character" w:styleId="33">
    <w:name w:val="Hyperlink"/>
    <w:basedOn w:val="10"/>
    <w:rPr>
      <w:rFonts w:cs="Times New Roman"/>
      <w:color w:val="0000FF"/>
      <w:u w:val="single"/>
    </w:rPr>
  </w:style>
  <w:style w:type="character" w:styleId="34">
    <w:name w:val="annotation reference"/>
    <w:basedOn w:val="10"/>
    <w:rPr>
      <w:rFonts w:cs="Times New Roman"/>
      <w:sz w:val="16"/>
    </w:rPr>
  </w:style>
  <w:style w:type="character" w:customStyle="1" w:styleId="35">
    <w:name w:val="Intense Reference"/>
    <w:basedOn w:val="10"/>
    <w:rPr>
      <w:b/>
      <w:caps w:val="0"/>
      <w:smallCaps/>
      <w:color w:val="C0504D"/>
      <w:spacing w:val="5"/>
      <w:u w:val="single"/>
    </w:rPr>
  </w:style>
  <w:style w:type="paragraph" w:styleId="36">
    <w:name w:val="List Paragraph"/>
    <w:basedOn w:val="0"/>
  </w:style>
  <w:style w:type="paragraph" w:customStyle="1" w:styleId="37">
    <w:name w:val="闻政-正文段落文字"/>
    <w:basedOn w:val="0"/>
    <w:pPr>
      <w:spacing w:line="500" w:lineRule="exact"/>
    </w:pPr>
    <w:rPr>
      <w:rFonts w:ascii="Times New Roman" w:cs="Times New Roman" w:hAnsi="Times New Roman"/>
      <w:kern w:val="0"/>
      <w:szCs w:val="28"/>
    </w:rPr>
  </w:style>
  <w:style w:type="paragraph" w:customStyle="1" w:styleId="38">
    <w:name w:val="闻政-正文二级标题"/>
    <w:basedOn w:val="2"/>
    <w:next w:val="37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paragraph" w:customStyle="1" w:styleId="39">
    <w:name w:val="闻政-正文三级标题"/>
    <w:basedOn w:val="0"/>
    <w:next w:val="37"/>
    <w:pPr>
      <w:widowControl/>
      <w:spacing w:before="120" w:after="60" w:line="500" w:lineRule="exact"/>
      <w:ind w:leftChars="200" w:left="200" w:firstLineChars="0" w:firstLine="0"/>
    </w:pPr>
    <w:rPr>
      <w:rFonts w:ascii="Times New Roman" w:cs="Times New Roman" w:hAnsi="Times New Roman"/>
      <w:b/>
      <w:kern w:val="0"/>
      <w:szCs w:val="28"/>
    </w:rPr>
  </w:style>
  <w:style w:type="paragraph" w:customStyle="1" w:styleId="40">
    <w:name w:val="闻政-正文四级标题"/>
    <w:basedOn w:val="39"/>
    <w:next w:val="37"/>
    <w:rPr>
      <w:b w:val="0"/>
    </w:rPr>
  </w:style>
  <w:style w:type="paragraph" w:customStyle="1" w:styleId="41">
    <w:name w:val="闻政-正文一级标题"/>
    <w:basedOn w:val="3"/>
    <w:next w:val="37"/>
    <w:pPr>
      <w:spacing w:before="120" w:after="60" w:line="500" w:lineRule="exact"/>
      <w:ind w:firstLineChars="0" w:firstLine="0"/>
      <w:outlineLvl w:val="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styles" Target="styles.xml"/><Relationship Id="rId12" Type="http://schemas.openxmlformats.org/officeDocument/2006/relationships/numbering" Target="numbering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9</Pages>
  <Words>1752</Words>
  <Characters>2006</Characters>
  <Lines>328</Lines>
  <Paragraphs>248</Paragraphs>
  <CharactersWithSpaces>2028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qq</dc:creator>
  <cp:lastModifiedBy>greatwall</cp:lastModifiedBy>
  <cp:revision>94</cp:revision>
  <dcterms:created xsi:type="dcterms:W3CDTF">2020-07-13T07:59:00Z</dcterms:created>
  <dcterms:modified xsi:type="dcterms:W3CDTF">2023-05-26T02:39:30Z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D132BF35B97D42E4B14C0DE9A3412E6F</vt:lpwstr>
  </property>
</Properties>
</file>