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  <w:bookmarkStart w:id="0" w:name="_GoBack"/>
      <w:bookmarkEnd w:id="0"/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Chars="0" w:firstLine="0"/>
        <w:jc w:val="center"/>
        <w:outlineLvl w:val="0"/>
        <w:rPr>
          <w:rFonts w:ascii="仿宋_GB2312"/>
          <w:b/>
          <w:sz w:val="44"/>
          <w:szCs w:val="44"/>
        </w:rPr>
      </w:pPr>
      <w:r>
        <w:rPr>
          <w:rFonts w:ascii="仿宋_GB2312" w:hint="eastAsia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Times New Roman" w:eastAsia="黑体" w:cs="Times New Roman" w:hAnsi="Times New Roman"/>
          <w:b/>
          <w:kern w:val="0"/>
          <w:sz w:val="50"/>
          <w:szCs w:val="50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0"/>
          <w:szCs w:val="30"/>
        </w:rPr>
      </w:pPr>
    </w:p>
    <w:p>
      <w:pPr>
        <w:spacing w:line="480" w:lineRule="auto"/>
        <w:ind w:firstLineChars="400" w:firstLine="128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项目名称：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文化市场管理及网络运营保障经费</w:t>
      </w:r>
    </w:p>
    <w:p>
      <w:pPr>
        <w:spacing w:line="480" w:lineRule="auto"/>
        <w:ind w:firstLineChars="400" w:firstLine="128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项目单位：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firstLineChars="400" w:firstLine="1280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 w:hint="eastAsia"/>
          <w:kern w:val="0"/>
          <w:sz w:val="32"/>
          <w:szCs w:val="32"/>
        </w:rPr>
        <w:t>主管部门：</w:t>
      </w:r>
      <w:r>
        <w:rPr>
          <w:rFonts w:ascii="仿宋_GB2312" w:cs="Times New Roman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rPr>
          <w:rFonts w:ascii="黑体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Chars="0" w:firstLine="0"/>
        <w:jc w:val="center"/>
        <w:rPr>
          <w:rFonts w:ascii="仿宋_GB2312" w:cs="Times New Roman"/>
          <w:kern w:val="0"/>
          <w:sz w:val="32"/>
          <w:szCs w:val="32"/>
        </w:rPr>
      </w:pPr>
      <w:r>
        <w:rPr>
          <w:rFonts w:ascii="仿宋_GB2312" w:cs="Times New Roman"/>
          <w:kern w:val="0"/>
          <w:sz w:val="32"/>
          <w:szCs w:val="32"/>
        </w:rPr>
        <w:t>2022</w:t>
      </w:r>
      <w:r>
        <w:rPr>
          <w:rFonts w:ascii="仿宋_GB2312" w:cs="Times New Roman" w:hint="eastAsia"/>
          <w:kern w:val="0"/>
          <w:sz w:val="32"/>
          <w:szCs w:val="32"/>
        </w:rPr>
        <w:t>年</w:t>
      </w:r>
      <w:r>
        <w:rPr>
          <w:rFonts w:ascii="仿宋_GB2312" w:cs="Times New Roman"/>
          <w:kern w:val="0"/>
          <w:sz w:val="32"/>
          <w:szCs w:val="32"/>
        </w:rPr>
        <w:t>2</w:t>
      </w:r>
      <w:r>
        <w:rPr>
          <w:rFonts w:ascii="仿宋_GB2312" w:cs="Times New Roman" w:hint="eastAsia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Chars="0" w:firstLine="0"/>
        <w:rPr>
          <w:rFonts w:ascii="Calibri" w:eastAsia="仿宋_GB2312" w:cs="黑体" w:hAnsi="Calibri"/>
          <w:kern w:val="2"/>
          <w:sz w:val="28"/>
          <w:szCs w:val="44"/>
          <w:lang w:val="en-US" w:eastAsia="zh-CN" w:bidi="ar-SA"/>
        </w:rPr>
      </w:pPr>
      <w:r>
        <w:rPr>
          <w:rFonts w:ascii="仿宋_GB2312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_Toc27670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_Toc12325 </w:instrText>
      </w:r>
      <w:r>
        <w:fldChar w:fldCharType="separate"/>
      </w:r>
      <w:r>
        <w:t>1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_Toc8661 </w:instrText>
      </w:r>
      <w:r>
        <w:fldChar w:fldCharType="separate"/>
      </w:r>
      <w:r>
        <w:t>3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_Toc31640 </w:instrText>
      </w:r>
      <w:r>
        <w:fldChar w:fldCharType="separate"/>
      </w:r>
      <w:r>
        <w:t>4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_Toc26763 </w:instrText>
      </w:r>
      <w:r>
        <w:fldChar w:fldCharType="separate"/>
      </w:r>
      <w:r>
        <w:t>4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_Toc24307 </w:instrText>
      </w:r>
      <w:r>
        <w:fldChar w:fldCharType="separate"/>
      </w:r>
      <w:r>
        <w:t>5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_Toc38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_Toc6842 </w:instrText>
      </w:r>
      <w:r>
        <w:fldChar w:fldCharType="separate"/>
      </w:r>
      <w:r>
        <w:t>6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_Toc28201 </w:instrText>
      </w:r>
      <w:r>
        <w:fldChar w:fldCharType="separate"/>
      </w:r>
      <w:r>
        <w:t>7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_Toc28996 </w:instrText>
      </w:r>
      <w:r>
        <w:fldChar w:fldCharType="separate"/>
      </w:r>
      <w:r>
        <w:t>7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_Toc31464 </w:instrText>
      </w:r>
      <w:r>
        <w:fldChar w:fldCharType="separate"/>
      </w:r>
      <w:r>
        <w:t>7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_Toc17295 </w:instrText>
      </w:r>
      <w:r>
        <w:fldChar w:fldCharType="separate"/>
      </w:r>
      <w:r>
        <w:t>7</w:t>
      </w:r>
      <w:r>
        <w:fldChar w:fldCharType="end"/>
      </w:r>
    </w:p>
    <w:p>
      <w:pPr>
        <w:pStyle w:val="30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_Toc7574 </w:instrText>
      </w:r>
      <w:r>
        <w:fldChar w:fldCharType="separate"/>
      </w:r>
      <w:r>
        <w:t>7</w:t>
      </w:r>
      <w:r>
        <w:fldChar w:fldCharType="end"/>
      </w:r>
    </w:p>
    <w:p>
      <w:pPr>
        <w:pStyle w:val="27"/>
        <w:tabs>
          <w:tab w:val="right" w:leader="dot" w:pos="8306"/>
        </w:tabs>
      </w:pPr>
      <w:r>
        <w:rPr>
          <w:rFonts w:ascii="仿宋" w:eastAsia="仿宋" w:cs="仿宋" w:hint="eastAsia"/>
          <w:bCs w:val="0"/>
        </w:rPr>
        <w:t>附件</w:t>
      </w:r>
      <w:r>
        <w:rPr>
          <w:rFonts w:ascii="仿宋" w:eastAsia="仿宋" w:cs="仿宋"/>
          <w:bCs w:val="0"/>
        </w:rPr>
        <w:t>1.</w:t>
      </w:r>
      <w:r>
        <w:rPr>
          <w:rFonts w:ascii="仿宋" w:eastAsia="仿宋" w:cs="仿宋" w:hint="eastAsia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_Toc1406 </w:instrText>
      </w:r>
      <w:r>
        <w:fldChar w:fldCharType="separate"/>
      </w:r>
      <w:r>
        <w:t>1</w:t>
      </w:r>
      <w:r>
        <w:fldChar w:fldCharType="end"/>
      </w:r>
    </w:p>
    <w:p>
      <w:pPr>
        <w:pStyle w:val="27"/>
        <w:tabs>
          <w:tab w:val="right" w:leader="dot" w:pos="8296"/>
        </w:tabs>
        <w:ind w:firstLineChars="137" w:firstLine="274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rPr>
          <w:szCs w:val="44"/>
        </w:rPr>
      </w:pPr>
    </w:p>
    <w:p>
      <w:pPr>
        <w:rPr>
          <w:szCs w:val="44"/>
        </w:rPr>
      </w:pPr>
    </w:p>
    <w:p>
      <w:pPr>
        <w:rPr>
          <w:szCs w:val="44"/>
        </w:rPr>
        <w:sectPr>
          <w:footerReference w:type="default" r:id="rId2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1" w:name="_Toc27670"/>
      <w:r>
        <w:rPr>
          <w:rFonts w:ascii="仿宋" w:eastAsia="仿宋" w:cs="仿宋" w:hint="eastAsia"/>
          <w:b/>
          <w:bCs w:val="0"/>
        </w:rPr>
        <w:t>一、项目的基本情况</w:t>
      </w:r>
      <w:bookmarkEnd w:id="1"/>
    </w:p>
    <w:p>
      <w:pPr>
        <w:pStyle w:val="38"/>
      </w:pPr>
      <w:bookmarkStart w:id="2" w:name="_Toc12325"/>
      <w:r>
        <w:rPr>
          <w:rFonts w:hint="eastAsia"/>
        </w:rPr>
        <w:t>（一）项目概况</w:t>
      </w:r>
      <w:bookmarkEnd w:id="2"/>
    </w:p>
    <w:p>
      <w:pPr>
        <w:pStyle w:val="37"/>
        <w:ind w:left="280"/>
      </w:pPr>
      <w:r>
        <w:rPr>
          <w:rFonts w:hint="eastAsia"/>
          <w:b/>
          <w:bCs/>
        </w:rPr>
        <w:t>项目概况：</w:t>
      </w:r>
      <w:r>
        <w:t>县文化市场综合行政执法队坚持贯彻落实党中央、省委、市委、县委关于文化市场、旅游市场工作的方针政策和决策部署，在履行职责过程中坚持加强党对文化、旅游、工作的集中统一领导，2020年继续加强对公共文化市场的管理和维护，促进公共文化市场建设。 加强执法队伍建设，积极参加省市县组织的各类法律法规培训，提高执法队员的执法技能和依法行政能力。 严格查处娱乐场所、网吧、KTV、互联网、图书、音像制品、电子游戏、印刷、旅游景点、旅行社等文化旅游市场中存在的问题。严格查处美术品销售、文物经营、私自安装卫星地面设施安装、私自传送境外卫星节目等违法违规行为。大力推动、指导互联网上网服务行业、娱乐行业转型升级，大力推进上网服务行业和娱乐行业创新经营模式、拓宽消费群体、提升管理和服务水平。</w:t>
      </w:r>
    </w:p>
    <w:p>
      <w:pPr>
        <w:pStyle w:val="37"/>
        <w:ind w:left="280"/>
      </w:pPr>
      <w:r>
        <w:rPr>
          <w:rFonts w:hint="eastAsia"/>
          <w:b/>
          <w:bCs/>
        </w:rPr>
        <w:t>立项依据：</w:t>
      </w:r>
      <w:r>
        <w:t>年初预算。根据县文化市场综合行政执法队需严格查处娱乐场所、网吧、KTV、互联网、图书、音像制品、电子游戏、印刷、旅游景点、旅行社等文化旅游市场中存在的问题。严格查处美术品销售、文物经营、私自安装卫星地面设施安装、私自传送境外卫星节目等违法违规行为。因此在维护文化市场管理及网络运营方面需要相关保障保障</w:t>
      </w:r>
    </w:p>
    <w:p>
      <w:pPr>
        <w:pStyle w:val="37"/>
        <w:ind w:left="280"/>
      </w:pPr>
      <w:r>
        <w:rPr>
          <w:rFonts w:hint="eastAsia"/>
          <w:b/>
          <w:bCs/>
        </w:rPr>
        <w:t>设立的必要性：</w:t>
      </w:r>
      <w:r>
        <w:t>维护文化市场管理及网络运营方面需要相关保障保障</w:t>
      </w:r>
    </w:p>
    <w:p>
      <w:pPr>
        <w:pStyle w:val="37"/>
        <w:ind w:left="280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37"/>
        <w:ind w:left="280"/>
      </w:pPr>
      <w:r>
        <w:rPr>
          <w:rFonts w:hint="eastAsia"/>
          <w:b/>
          <w:bCs/>
        </w:rPr>
        <w:t>项目实施计划：</w:t>
      </w:r>
      <w:r>
        <w:t>全年严格查处娱乐场所、网吧、KTV、互联网、图书、音像制品、电子游戏、印刷、旅游景点、旅行社等文化旅游市场中存在的问题。严格查处美术品销售、文物经营、私自安装卫星地面设施安装、私自传送境外卫星节目等违法违规行为。大力推动、指导互联网上网服务行业、娱乐行业转型升级，大力推进上网服务行业和娱乐行业创新经营模式、拓宽消费群体、提升管理和服务水平。</w:t>
      </w:r>
    </w:p>
    <w:p>
      <w:pPr>
        <w:widowControl/>
        <w:ind w:firstLineChars="0" w:firstLine="0"/>
        <w:jc w:val="left"/>
      </w:pPr>
      <w:r>
        <w:rPr>
          <w:rFonts w:hint="eastAsia"/>
        </w:rPr>
        <w:t>（二）预算执行情况</w:t>
      </w:r>
    </w:p>
    <w:p>
      <w:pPr>
        <w:ind w:firstLineChars="0" w:firstLine="0"/>
        <w:jc w:val="left"/>
        <w:rPr>
          <w:b/>
          <w:szCs w:val="28"/>
        </w:rPr>
      </w:pPr>
    </w:p>
    <w:tbl>
      <w:tblPr>
        <w:jc w:val="left"/>
        <w:tblInd w:w="172" w:type="dxa"/>
        <w:tblW w:w="13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noWrap/>
            <w:vAlign w:val="center"/>
          </w:tcPr>
          <w:p/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4.33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4.33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0.67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86.6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86.6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86.6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38"/>
      </w:pPr>
      <w:bookmarkStart w:id="3" w:name="_Toc8661"/>
      <w:r>
        <w:rPr>
          <w:rFonts w:hint="eastAsia"/>
        </w:rPr>
        <w:t>（三）项目绩效目标</w:t>
      </w:r>
      <w:bookmarkEnd w:id="3"/>
    </w:p>
    <w:p>
      <w:pPr>
        <w:pStyle w:val="39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37"/>
        <w:ind w:left="280"/>
      </w:pPr>
      <w:r>
        <w:t>严格查处娱乐场所、网吧、KTV、互联网、图书、音像制品、电子游戏、印刷、旅游景点、旅行社等文化旅游市场中存在的问题。严格查处美术品销售、文物经营、私自安装卫星地面设施安装、私自传送境外卫星节目等违法违规行为。大力推动、指导互联网上网服务行业、娱乐行业转型升级，大力推进上网服务行业和娱乐行业创新经营模式、拓宽消费群体、提升管理和服务水平。</w:t>
        <w:tab/>
      </w:r>
    </w:p>
    <w:p>
      <w:pPr>
        <w:pStyle w:val="39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37"/>
        <w:ind w:left="280"/>
      </w:pPr>
      <w:r>
        <w:t>严格查处娱乐场所、网吧、KTV、互联网、图书、音像制品、电子游戏、印刷、旅游景点、旅行社等文化旅游市场中存在的问题。严格查处美术品销售、文物经营、私自安装卫星地面设施安装、私自传送境外卫星节目等违法违规行为。大力推动、指导互联网上网服务行业、娱乐行业转型升级，大力推进上网服务行业和娱乐行业创新经营模式、拓宽消费群体、提升管理和服务水平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4" w:name="_Toc31640"/>
      <w:r>
        <w:rPr>
          <w:rFonts w:ascii="仿宋" w:eastAsia="仿宋" w:cs="仿宋" w:hint="eastAsia"/>
          <w:b/>
          <w:bCs w:val="0"/>
        </w:rPr>
        <w:t>二、项目绩效情况</w:t>
      </w:r>
      <w:bookmarkEnd w:id="4"/>
    </w:p>
    <w:p>
      <w:pPr>
        <w:pStyle w:val="37"/>
        <w:ind w:leftChars="50" w:left="14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文化市场管理及网络运营保障经费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98.66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38"/>
      </w:pPr>
      <w:bookmarkStart w:id="5" w:name="_Toc26763"/>
      <w:r>
        <w:rPr>
          <w:rFonts w:hint="eastAsia"/>
        </w:rPr>
        <w:t>（一）预算执行情况</w:t>
      </w:r>
      <w:bookmarkEnd w:id="5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86.6%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cs="Times New Roman" w:hAnsi="Times New Roman"/>
                <w:bCs/>
                <w:kern w:val="0"/>
                <w:sz w:val="21"/>
                <w:szCs w:val="21"/>
              </w:rPr>
              <w:t>8.66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</w:pPr>
      <w:r>
        <w:rPr>
          <w:rFonts w:hint="eastAsia"/>
        </w:rPr>
        <w:t>（二）项目产出情况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执法检查次数（次）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5次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检查达标率（%）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检查成本（元）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4.33万元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pStyle w:val="38"/>
      </w:pPr>
      <w:bookmarkStart w:id="6" w:name="_Toc24307"/>
      <w:r>
        <w:rPr>
          <w:rFonts w:hint="eastAsia"/>
        </w:rPr>
        <w:t>（三）项目效益情况</w:t>
      </w:r>
      <w:bookmarkEnd w:id="6"/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网吧接纳未成年人发生数降低率（%）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15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15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</w:pPr>
      <w:r>
        <w:rPr>
          <w:rFonts w:hint="eastAsia"/>
        </w:rPr>
        <w:t>（四）项目满意度情况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cs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10</w:t>
            </w:r>
          </w:p>
        </w:tc>
      </w:tr>
    </w:tbl>
    <w:p>
      <w:pPr>
        <w:ind w:firstLineChars="0" w:firstLine="0"/>
        <w:rPr>
          <w:szCs w:val="44"/>
        </w:rPr>
      </w:pPr>
    </w:p>
    <w:p>
      <w:pPr>
        <w:widowControl/>
        <w:ind w:firstLineChars="0" w:firstLine="0"/>
        <w:jc w:val="left"/>
        <w:rPr>
          <w:szCs w:val="44"/>
        </w:rPr>
      </w:pPr>
    </w:p>
    <w:p>
      <w:pPr>
        <w:pStyle w:val="41"/>
        <w:rPr>
          <w:rFonts w:ascii="仿宋" w:eastAsia="仿宋" w:cs="仿宋"/>
          <w:b/>
          <w:bCs w:val="0"/>
        </w:rPr>
      </w:pPr>
      <w:bookmarkStart w:id="7" w:name="_Toc38"/>
      <w:r>
        <w:rPr>
          <w:rFonts w:ascii="仿宋" w:eastAsia="仿宋" w:cs="仿宋" w:hint="eastAsia"/>
          <w:b/>
          <w:bCs w:val="0"/>
        </w:rPr>
        <w:t>三、</w:t>
      </w:r>
      <w:bookmarkStart w:id="8" w:name="_Toc23655"/>
      <w:bookmarkStart w:id="9" w:name="_Toc17451"/>
      <w:r>
        <w:rPr>
          <w:rFonts w:ascii="仿宋" w:eastAsia="仿宋" w:cs="仿宋" w:hint="eastAsia"/>
          <w:b/>
          <w:bCs w:val="0"/>
        </w:rPr>
        <w:t>项目绩效分析</w:t>
      </w:r>
      <w:bookmarkEnd w:id="7"/>
      <w:bookmarkEnd w:id="8"/>
      <w:bookmarkEnd w:id="9"/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>
      <w:pPr>
        <w:pStyle w:val="37"/>
        <w:ind w:left="0" w:firstLineChars="200" w:firstLine="560"/>
        <w:rPr>
          <w:rFonts w:ascii="仿宋_GB2312"/>
          <w:bCs/>
        </w:rPr>
      </w:pPr>
      <w:r>
        <w:rPr>
          <w:rFonts w:ascii="仿宋_GB2312" w:hint="eastAsia"/>
          <w:bCs/>
          <w:lang w:eastAsia="zh-CN"/>
        </w:rPr>
        <w:t>文化市场管理及网络运营保障经费保障了文化执法队的正常运转，用于购置办公用品和基本保障。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>
      <w:pPr>
        <w:pStyle w:val="37"/>
        <w:ind w:leftChars="405" w:left="1134" w:firstLineChars="0" w:firstLine="426"/>
        <w:rPr>
          <w:rFonts w:ascii="仿宋_GB2312"/>
          <w:bCs/>
        </w:rPr>
      </w:pPr>
      <w:r>
        <w:rPr>
          <w:rFonts w:ascii="仿宋_GB2312" w:hint="eastAsia"/>
          <w:bCs/>
          <w:lang w:eastAsia="zh-CN"/>
        </w:rPr>
        <w:t>全年检查</w:t>
      </w:r>
      <w:r>
        <w:rPr>
          <w:rFonts w:ascii="仿宋_GB2312" w:hint="eastAsia"/>
          <w:bCs/>
          <w:lang w:val="en-US" w:eastAsia="zh-CN"/>
        </w:rPr>
        <w:t>KTV、网吧、电影院等确保无任何安全隐患，尤其现在疫情期间，娱乐活动场所关停，不定时检查是否有私自营业的行为，如发现及时整改，对情节恶劣的做出相应处罚。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>
      <w:pPr>
        <w:pStyle w:val="37"/>
        <w:ind w:firstLineChars="400" w:firstLine="1120"/>
        <w:rPr>
          <w:rFonts w:ascii="仿宋_GB2312"/>
          <w:bCs/>
        </w:rPr>
      </w:pPr>
      <w:r>
        <w:rPr>
          <w:rFonts w:ascii="仿宋_GB2312" w:hint="eastAsia"/>
          <w:bCs/>
          <w:lang w:eastAsia="zh-CN"/>
        </w:rPr>
        <w:t>重点严查</w:t>
      </w:r>
      <w:r>
        <w:rPr>
          <w:rFonts w:ascii="仿宋_GB2312"/>
          <w:bCs/>
        </w:rPr>
        <w:t>网吧</w:t>
      </w:r>
      <w:r>
        <w:rPr>
          <w:rFonts w:ascii="仿宋_GB2312" w:hint="eastAsia"/>
          <w:bCs/>
          <w:lang w:eastAsia="zh-CN"/>
        </w:rPr>
        <w:t>是否有</w:t>
      </w:r>
      <w:r>
        <w:rPr>
          <w:rFonts w:ascii="仿宋_GB2312"/>
          <w:bCs/>
        </w:rPr>
        <w:t>接纳未成年人</w:t>
      </w:r>
      <w:r>
        <w:rPr>
          <w:rFonts w:ascii="仿宋_GB2312" w:hint="eastAsia"/>
          <w:bCs/>
          <w:lang w:eastAsia="zh-CN"/>
        </w:rPr>
        <w:t>的情况</w:t>
      </w:r>
      <w:r>
        <w:rPr>
          <w:rFonts w:ascii="仿宋_GB2312" w:hint="eastAsia"/>
          <w:bCs/>
          <w:lang w:val="en-US" w:eastAsia="zh-CN"/>
        </w:rPr>
        <w:t>，截至目前控制较好。</w:t>
      </w:r>
    </w:p>
    <w:p>
      <w:pPr>
        <w:pStyle w:val="37"/>
        <w:numPr>
          <w:ilvl w:val="0"/>
          <w:numId w:val="1"/>
        </w:numPr>
        <w:ind w:leftChars="250" w:left="70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>
      <w:pPr>
        <w:pStyle w:val="37"/>
        <w:ind w:leftChars="354" w:left="991" w:firstLineChars="0" w:firstLine="569"/>
        <w:rPr>
          <w:rFonts w:ascii="仿宋_GB2312"/>
          <w:bCs/>
        </w:rPr>
      </w:pPr>
      <w:r>
        <w:rPr>
          <w:rFonts w:ascii="仿宋_GB2312" w:hint="eastAsia"/>
          <w:bCs/>
          <w:lang w:eastAsia="zh-CN"/>
        </w:rPr>
        <w:t>群众满意度较高，文化执法工作完成较好。</w:t>
      </w:r>
    </w:p>
    <w:p>
      <w:pPr>
        <w:pStyle w:val="41"/>
      </w:pPr>
      <w:bookmarkStart w:id="10" w:name="_Toc6842"/>
      <w:r>
        <w:rPr>
          <w:rFonts w:ascii="仿宋" w:eastAsia="仿宋" w:cs="仿宋" w:hint="eastAsia"/>
          <w:b/>
          <w:bCs w:val="0"/>
        </w:rPr>
        <w:t>四、项目主要经验做法</w:t>
      </w:r>
      <w:bookmarkEnd w:id="10"/>
      <w:r>
        <w:t xml:space="preserve"> </w:t>
      </w:r>
    </w:p>
    <w:p>
      <w:pPr>
        <w:pStyle w:val="37"/>
        <w:ind w:firstLineChars="300" w:firstLine="840"/>
      </w:pPr>
      <w:r>
        <w:rPr>
          <w:rFonts w:hint="eastAsia"/>
        </w:rPr>
        <w:t>通过购置办公用品和执法所需物品，帮助文化执法队更好的完成执法工作。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11" w:name="_Toc28201"/>
      <w:r>
        <w:rPr>
          <w:rFonts w:ascii="仿宋" w:eastAsia="仿宋" w:cs="仿宋" w:hint="eastAsia"/>
          <w:b/>
          <w:bCs w:val="0"/>
        </w:rPr>
        <w:t>五、项目管理中存在问题及原因分析</w:t>
      </w:r>
      <w:bookmarkEnd w:id="11"/>
    </w:p>
    <w:p>
      <w:pPr>
        <w:pStyle w:val="37"/>
        <w:ind w:firstLineChars="300" w:firstLine="840"/>
        <w:rPr>
          <w:rFonts w:eastAsia="仿宋_GB2312"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pStyle w:val="41"/>
      </w:pPr>
      <w:bookmarkStart w:id="12" w:name="_Toc3756"/>
      <w:bookmarkStart w:id="13" w:name="_Toc28996"/>
      <w:r>
        <w:rPr>
          <w:rFonts w:ascii="仿宋" w:eastAsia="仿宋" w:cs="仿宋" w:hint="eastAsia"/>
          <w:b/>
          <w:bCs w:val="0"/>
        </w:rPr>
        <w:t>六、进一步加强项目管理措施及建议</w:t>
      </w:r>
      <w:bookmarkEnd w:id="12"/>
      <w:bookmarkEnd w:id="13"/>
    </w:p>
    <w:p>
      <w:pPr>
        <w:pStyle w:val="38"/>
        <w:rPr>
          <w:rFonts w:hint="eastAsia"/>
        </w:rPr>
      </w:pPr>
      <w:bookmarkStart w:id="14" w:name="_Toc12870"/>
      <w:bookmarkStart w:id="15" w:name="_Toc31464"/>
      <w:bookmarkStart w:id="16" w:name="_Toc64998062"/>
      <w:r>
        <w:rPr>
          <w:rFonts w:hint="eastAsia"/>
        </w:rPr>
        <w:t>（一）预算安排和执行方面</w:t>
      </w:r>
      <w:bookmarkEnd w:id="14"/>
      <w:bookmarkEnd w:id="15"/>
      <w:bookmarkEnd w:id="16"/>
    </w:p>
    <w:p>
      <w:pPr>
        <w:pStyle w:val="37"/>
        <w:rPr>
          <w:rFonts w:hint="eastAsia"/>
        </w:rPr>
      </w:pPr>
      <w:r>
        <w:rPr>
          <w:rFonts w:hint="eastAsia"/>
        </w:rPr>
        <w:tab/>
        <w:t>预算安排方面及时制定合理的管理制度，保证预算资金到位及时，通过财务管理制度保证预算执行率。</w:t>
      </w:r>
    </w:p>
    <w:p>
      <w:pPr>
        <w:pStyle w:val="38"/>
        <w:ind w:leftChars="0" w:left="0" w:firstLineChars="200" w:firstLine="560"/>
        <w:rPr>
          <w:rFonts w:hint="eastAsia"/>
        </w:rPr>
      </w:pPr>
      <w:bookmarkStart w:id="17" w:name="_Toc17295"/>
      <w:bookmarkStart w:id="18" w:name="_Toc64998064"/>
      <w:bookmarkStart w:id="19" w:name="_Toc14701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7"/>
      <w:bookmarkEnd w:id="18"/>
      <w:bookmarkEnd w:id="19"/>
    </w:p>
    <w:p>
      <w:pPr>
        <w:pStyle w:val="37"/>
        <w:rPr>
          <w:rFonts w:hint="eastAsia"/>
        </w:rPr>
      </w:pPr>
      <w:r>
        <w:rPr>
          <w:rFonts w:hint="eastAsia"/>
        </w:rPr>
        <w:tab/>
        <w:t>执法力度还有待加强，宣传正确的价值观，有助于文化执法事业的发展。</w:t>
      </w:r>
    </w:p>
    <w:p>
      <w:pPr>
        <w:pStyle w:val="38"/>
        <w:ind w:leftChars="0" w:left="0" w:firstLineChars="200" w:firstLine="560"/>
        <w:rPr>
          <w:rFonts w:hint="eastAsia"/>
        </w:rPr>
      </w:pPr>
      <w:bookmarkStart w:id="20" w:name="_Toc7574"/>
      <w:bookmarkStart w:id="21" w:name="_Toc18438"/>
      <w:bookmarkStart w:id="22" w:name="_Toc64998065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0"/>
      <w:bookmarkEnd w:id="21"/>
      <w:bookmarkEnd w:id="22"/>
    </w:p>
    <w:p>
      <w:pPr>
        <w:pStyle w:val="37"/>
        <w:sectPr>
          <w:footerReference w:type="default" r:id="rId3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  <w:r>
        <w:rPr>
          <w:rFonts w:hint="eastAsia"/>
        </w:rPr>
        <w:tab/>
        <w:t>加大对文化执法事业的资金投入，对每一笔资金做到合理、有效的使用，通过财务管理制度认真监督每一笔资金的动向，确保真实、有效。</w:t>
      </w:r>
    </w:p>
    <w:p>
      <w:pPr>
        <w:pStyle w:val="41"/>
        <w:rPr>
          <w:rFonts w:ascii="仿宋" w:eastAsia="仿宋" w:cs="仿宋"/>
          <w:b/>
          <w:bCs w:val="0"/>
        </w:rPr>
      </w:pPr>
      <w:bookmarkStart w:id="23" w:name="_Toc1406"/>
      <w:r>
        <w:rPr>
          <w:rFonts w:ascii="仿宋" w:eastAsia="仿宋" w:cs="仿宋" w:hint="eastAsia"/>
          <w:b/>
          <w:bCs w:val="0"/>
        </w:rPr>
        <w:t>附件</w:t>
      </w:r>
      <w:r>
        <w:rPr>
          <w:rFonts w:ascii="仿宋" w:eastAsia="仿宋" w:cs="仿宋"/>
          <w:b/>
          <w:bCs w:val="0"/>
        </w:rPr>
        <w:t>1.</w:t>
      </w:r>
      <w:r>
        <w:rPr>
          <w:rFonts w:ascii="仿宋" w:eastAsia="仿宋" w:cs="仿宋" w:hint="eastAsia"/>
          <w:b/>
          <w:bCs w:val="0"/>
        </w:rPr>
        <w:t>项目支出绩效自评表</w:t>
      </w:r>
      <w:bookmarkEnd w:id="23"/>
    </w:p>
    <w:p/>
    <w:tbl>
      <w:tblPr>
        <w:jc w:val="left"/>
        <w:tblInd w:w="5" w:type="dxa"/>
        <w:tblW w:w="14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</w:tcPr>
          <w:p>
            <w:pPr>
              <w:jc w:val="center"/>
              <w:rPr>
                <w:rFonts w:ascii="黑体" w:eastAsia="黑体" w:cs="Arial"/>
                <w:b/>
                <w:bCs/>
                <w:szCs w:val="28"/>
              </w:rPr>
            </w:pPr>
            <w:r>
              <w:rPr>
                <w:rFonts w:ascii="仿宋" w:eastAsia="仿宋" w:cs="仿宋" w:hint="eastAsia"/>
                <w:b/>
              </w:rPr>
              <w:t>附件</w:t>
            </w:r>
            <w:r>
              <w:rPr>
                <w:rFonts w:ascii="仿宋" w:eastAsia="仿宋" w:cs="仿宋"/>
                <w:b/>
              </w:rPr>
              <w:t>1.</w:t>
            </w:r>
            <w:r>
              <w:rPr>
                <w:rFonts w:ascii="仿宋" w:eastAsia="仿宋" w:cs="仿宋" w:hint="eastAsia"/>
                <w:b/>
              </w:rPr>
              <w:t>项目支出绩效自评表</w:t>
            </w:r>
          </w:p>
        </w:tc>
      </w:tr>
      <w:tr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Chars="0" w:firstLine="0"/>
              <w:jc w:val="center"/>
              <w:rPr>
                <w:rFonts w:ascii="仿宋_GB2312" w:cs="Arial"/>
                <w:b/>
                <w:sz w:val="22"/>
              </w:rPr>
            </w:pPr>
            <w:r>
              <w:rPr>
                <w:rFonts w:ascii="仿宋_GB2312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86.6%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86.60%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8.66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剩余资金财政收回</w:t>
            </w: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执法检查次数（次）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5次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检查达标率（%）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检查成本（元）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4.33万元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86.60%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剩余资金财政收回</w:t>
            </w:r>
          </w:p>
        </w:tc>
      </w:tr>
      <w:tr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网吧接纳未成年人发生数降低率（%）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  <w:lang w:val="en-US" w:eastAsia="zh-CN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cs="Arial"/>
                <w:sz w:val="22"/>
              </w:rPr>
            </w:pPr>
          </w:p>
        </w:tc>
      </w:tr>
      <w:tr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cs="Arial" w:hAnsi="Arial"/>
                <w:vanish/>
                <w:sz w:val="20"/>
                <w:szCs w:val="20"/>
              </w:rPr>
            </w:pPr>
          </w:p>
        </w:tc>
      </w:tr>
    </w:tbl>
    <w:p>
      <w:pPr>
        <w:pStyle w:val="37"/>
        <w:sectPr>
          <w:footerReference w:type="default" r:id="rId4"/>
          <w:pgSz w:w="16838" w:h="11906" w:orient="landscape"/>
          <w:pgMar w:top="1800" w:right="1440" w:bottom="1800" w:left="1440" w:header="851" w:footer="992" w:gutter="0"/>
          <w:pgNumType w:start="1"/>
          <w:docGrid w:type="lines" w:linePitch="381" w:charSpace="0"/>
        </w:sectPr>
      </w:pPr>
    </w:p>
    <w:p>
      <w:pPr>
        <w:pStyle w:val="41"/>
        <w:rPr>
          <w:rFonts w:ascii="仿宋" w:eastAsia="仿宋" w:cs="仿宋"/>
          <w:b/>
          <w:bCs w:val="0"/>
        </w:rPr>
      </w:pPr>
    </w:p>
    <w:p>
      <w:pPr>
        <w:ind w:firstLineChars="0" w:firstLine="0"/>
      </w:pPr>
    </w:p>
    <w:sectPr>
      <w:headerReference w:type="default" r:id="rId5"/>
      <w:headerReference w:type="even" r:id="rId6"/>
      <w:headerReference w:type="first" r:id="rId7"/>
      <w:footerReference w:type="default" r:id="rId8"/>
      <w:footerReference w:type="even" r:id="rId9"/>
      <w:footerReference w:type="first" r:id="rId10"/>
      <w:pgSz w:w="16838" w:h="11906" w:orient="landscape"/>
      <w:pgMar w:top="1800" w:right="1440" w:bottom="1800" w:left="1440" w:header="851" w:footer="992" w:gutter="0"/>
      <w:docGrid w:type="lines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jc w:val="center"/>
    </w:pPr>
  </w:p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4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  <w:ind w:firstLineChars="0" w:firstLine="0"/>
    </w:pPr>
  </w:p>
</w:ftr>
</file>

<file path=word/footer5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footer6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6"/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3B53022"/>
    <w:multiLevelType w:val="singleLevel"/>
    <w:tmpl w:val="E3B53022"/>
    <w:lvl w:ilvl="0">
      <w:start w:val="1"/>
      <w:numFmt w:val="decimal"/>
      <w:lvlRestart w:val="0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ocumentProtection w:edit="readOnly"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Calibri" w:eastAsia="仿宋_GB2312" w:cs="黑体" w:hAnsi="Calibri"/>
      <w:kern w:val="2"/>
      <w:sz w:val="28"/>
      <w:szCs w:val="22"/>
      <w:lang w:val="en-US" w:eastAsia="zh-CN" w:bidi="ar-SA"/>
    </w:rPr>
  </w:style>
  <w:style w:type="paragraph" w:styleId="1">
    <w:name w:val="heading 1"/>
    <w:basedOn w:val="0"/>
    <w:next w:val="16"/>
    <w:pPr>
      <w:keepNext/>
      <w:keepLines/>
      <w:widowControl w:val="0"/>
      <w:spacing w:before="340" w:after="330" w:line="578" w:lineRule="auto"/>
      <w:jc w:val="left"/>
      <w:outlineLvl w:val="0"/>
    </w:pPr>
    <w:rPr>
      <w:rFonts w:ascii="Times New Roman" w:cs="Times New Roman" w:hAnsi="Times New Roman"/>
      <w:b/>
      <w:bCs/>
      <w:kern w:val="44"/>
      <w:sz w:val="32"/>
      <w:szCs w:val="44"/>
    </w:rPr>
  </w:style>
  <w:style w:type="paragraph" w:styleId="2">
    <w:name w:val="heading 2"/>
    <w:basedOn w:val="0"/>
    <w:next w:val="17"/>
    <w:pPr>
      <w:keepNext/>
      <w:keepLines/>
      <w:widowControl w:val="0"/>
      <w:spacing w:before="260" w:after="260" w:line="415" w:lineRule="auto"/>
      <w:jc w:val="left"/>
      <w:outlineLvl w:val="1"/>
    </w:pPr>
    <w:rPr>
      <w:rFonts w:ascii="Cambria" w:cs="Times New Roman" w:hAnsi="Cambria"/>
      <w:b/>
      <w:bCs/>
      <w:kern w:val="0"/>
      <w:sz w:val="30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7" w:lineRule="auto"/>
      <w:outlineLvl w:val="3"/>
    </w:pPr>
    <w:rPr>
      <w:rFonts w:ascii="Cambria" w:eastAsia="宋体" w:cs="Times New Roman" w:hAnsi="Cambria"/>
      <w:b/>
      <w:bCs/>
      <w:kern w:val="0"/>
      <w:szCs w:val="28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spacing w:after="120"/>
      <w:ind w:leftChars="200" w:left="200"/>
    </w:pPr>
    <w:rPr>
      <w:rFonts w:cs="Times New Roman"/>
      <w:kern w:val="0"/>
      <w:szCs w:val="20"/>
    </w:rPr>
  </w:style>
  <w:style w:type="paragraph" w:styleId="16">
    <w:name w:val="Body Text First Indent 2"/>
    <w:basedOn w:val="15"/>
  </w:style>
  <w:style w:type="paragraph" w:styleId="17">
    <w:name w:val="No Spacing"/>
    <w:pPr>
      <w:widowControl w:val="0"/>
      <w:ind w:firstLineChars="200" w:firstLine="200"/>
      <w:jc w:val="both"/>
    </w:pPr>
    <w:rPr>
      <w:rFonts w:ascii="Calibri" w:eastAsia="仿宋_GB2312" w:cs="Times New Roman" w:hAnsi="Calibri"/>
      <w:kern w:val="0"/>
      <w:sz w:val="28"/>
      <w:szCs w:val="22"/>
      <w:lang w:val="en-US" w:eastAsia="zh-CN" w:bidi="ar-SA"/>
    </w:rPr>
  </w:style>
  <w:style w:type="paragraph" w:styleId="18">
    <w:name w:val="toc 7"/>
    <w:basedOn w:val="0"/>
    <w:next w:val="0"/>
    <w:pPr>
      <w:ind w:left="1680"/>
      <w:jc w:val="left"/>
    </w:pPr>
    <w:rPr>
      <w:rFonts w:cs="Calibri"/>
      <w:sz w:val="18"/>
      <w:szCs w:val="18"/>
    </w:rPr>
  </w:style>
  <w:style w:type="paragraph" w:styleId="19">
    <w:name w:val="Document Map"/>
    <w:basedOn w:val="0"/>
    <w:rPr>
      <w:rFonts w:ascii="宋体" w:eastAsia="宋体" w:cs="Times New Roman"/>
      <w:kern w:val="0"/>
      <w:sz w:val="18"/>
      <w:szCs w:val="18"/>
    </w:rPr>
  </w:style>
  <w:style w:type="paragraph" w:styleId="20">
    <w:name w:val="annotation text"/>
    <w:basedOn w:val="0"/>
    <w:rPr>
      <w:rFonts w:cs="Times New Roman"/>
      <w:kern w:val="0"/>
      <w:sz w:val="20"/>
      <w:szCs w:val="20"/>
    </w:rPr>
  </w:style>
  <w:style w:type="paragraph" w:styleId="21">
    <w:name w:val="toc 5"/>
    <w:basedOn w:val="0"/>
    <w:next w:val="0"/>
    <w:pPr>
      <w:ind w:left="1120"/>
      <w:jc w:val="left"/>
    </w:pPr>
    <w:rPr>
      <w:rFonts w:cs="Calibri"/>
      <w:sz w:val="18"/>
      <w:szCs w:val="18"/>
    </w:rPr>
  </w:style>
  <w:style w:type="paragraph" w:styleId="22">
    <w:name w:val="toc 3"/>
    <w:basedOn w:val="0"/>
    <w:next w:val="0"/>
    <w:pPr>
      <w:ind w:left="560"/>
      <w:jc w:val="left"/>
    </w:pPr>
    <w:rPr>
      <w:rFonts w:cs="Calibri"/>
      <w:i/>
      <w:iCs/>
      <w:sz w:val="20"/>
      <w:szCs w:val="20"/>
    </w:rPr>
  </w:style>
  <w:style w:type="paragraph" w:styleId="23">
    <w:name w:val="toc 8"/>
    <w:basedOn w:val="0"/>
    <w:next w:val="0"/>
    <w:pPr>
      <w:ind w:left="1960"/>
      <w:jc w:val="left"/>
    </w:pPr>
    <w:rPr>
      <w:rFonts w:cs="Calibri"/>
      <w:sz w:val="18"/>
      <w:szCs w:val="18"/>
    </w:rPr>
  </w:style>
  <w:style w:type="paragraph" w:styleId="24">
    <w:name w:val="Balloon Text"/>
    <w:basedOn w:val="0"/>
    <w:rPr>
      <w:rFonts w:cs="Times New Roman"/>
      <w:kern w:val="0"/>
      <w:sz w:val="18"/>
      <w:szCs w:val="18"/>
    </w:rPr>
  </w:style>
  <w:style w:type="paragraph" w:styleId="2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0"/>
    <w:next w:val="0"/>
    <w:pPr>
      <w:spacing w:before="120" w:after="120"/>
      <w:jc w:val="left"/>
    </w:pPr>
    <w:rPr>
      <w:rFonts w:cs="Calibri"/>
      <w:b/>
      <w:bCs/>
      <w:caps/>
      <w:smallCaps w:val="0"/>
      <w:sz w:val="20"/>
      <w:szCs w:val="20"/>
    </w:rPr>
  </w:style>
  <w:style w:type="paragraph" w:styleId="28">
    <w:name w:val="toc 4"/>
    <w:basedOn w:val="0"/>
    <w:next w:val="0"/>
    <w:pPr>
      <w:ind w:left="840"/>
      <w:jc w:val="left"/>
    </w:pPr>
    <w:rPr>
      <w:rFonts w:cs="Calibri"/>
      <w:sz w:val="18"/>
      <w:szCs w:val="18"/>
    </w:rPr>
  </w:style>
  <w:style w:type="paragraph" w:styleId="29">
    <w:name w:val="toc 6"/>
    <w:basedOn w:val="0"/>
    <w:next w:val="0"/>
    <w:pPr>
      <w:ind w:left="1400"/>
      <w:jc w:val="left"/>
    </w:pPr>
    <w:rPr>
      <w:rFonts w:cs="Calibri"/>
      <w:sz w:val="18"/>
      <w:szCs w:val="18"/>
    </w:rPr>
  </w:style>
  <w:style w:type="paragraph" w:styleId="30">
    <w:name w:val="toc 2"/>
    <w:basedOn w:val="0"/>
    <w:next w:val="0"/>
    <w:pPr>
      <w:ind w:left="280"/>
      <w:jc w:val="left"/>
    </w:pPr>
    <w:rPr>
      <w:rFonts w:cs="Calibri"/>
      <w:caps w:val="0"/>
      <w:smallCaps/>
      <w:sz w:val="20"/>
      <w:szCs w:val="20"/>
    </w:rPr>
  </w:style>
  <w:style w:type="paragraph" w:styleId="31">
    <w:name w:val="toc 9"/>
    <w:basedOn w:val="0"/>
    <w:next w:val="0"/>
    <w:pPr>
      <w:ind w:left="2240"/>
      <w:jc w:val="left"/>
    </w:pPr>
    <w:rPr>
      <w:rFonts w:cs="Calibri"/>
      <w:sz w:val="18"/>
      <w:szCs w:val="18"/>
    </w:rPr>
  </w:style>
  <w:style w:type="paragraph" w:styleId="32">
    <w:name w:val="annotation subject"/>
    <w:basedOn w:val="20"/>
    <w:next w:val="20"/>
    <w:rPr>
      <w:b/>
      <w:bCs/>
    </w:rPr>
  </w:style>
  <w:style w:type="character" w:styleId="33">
    <w:name w:val="Hyperlink"/>
    <w:basedOn w:val="10"/>
    <w:rPr>
      <w:rFonts w:cs="Times New Roman"/>
      <w:color w:val="0000FF"/>
      <w:u w:val="single"/>
    </w:rPr>
  </w:style>
  <w:style w:type="character" w:styleId="34">
    <w:name w:val="annotation reference"/>
    <w:basedOn w:val="10"/>
    <w:rPr>
      <w:rFonts w:cs="Times New Roman"/>
      <w:sz w:val="16"/>
    </w:rPr>
  </w:style>
  <w:style w:type="character" w:customStyle="1" w:styleId="35">
    <w:name w:val="Intense Reference"/>
    <w:basedOn w:val="10"/>
    <w:rPr>
      <w:b/>
      <w:caps w:val="0"/>
      <w:smallCaps/>
      <w:color w:val="C0504D"/>
      <w:spacing w:val="5"/>
      <w:u w:val="single"/>
    </w:rPr>
  </w:style>
  <w:style w:type="paragraph" w:styleId="36">
    <w:name w:val="List Paragraph"/>
    <w:basedOn w:val="0"/>
  </w:style>
  <w:style w:type="paragraph" w:customStyle="1" w:styleId="37">
    <w:name w:val="闻政-正文段落文字"/>
    <w:basedOn w:val="0"/>
    <w:pPr>
      <w:spacing w:line="500" w:lineRule="exact"/>
    </w:pPr>
    <w:rPr>
      <w:rFonts w:ascii="Times New Roman" w:cs="Times New Roman" w:hAnsi="Times New Roman"/>
      <w:kern w:val="0"/>
      <w:szCs w:val="28"/>
    </w:rPr>
  </w:style>
  <w:style w:type="paragraph" w:customStyle="1" w:styleId="38">
    <w:name w:val="闻政-正文二级标题"/>
    <w:basedOn w:val="2"/>
    <w:next w:val="37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paragraph" w:customStyle="1" w:styleId="39">
    <w:name w:val="闻政-正文三级标题"/>
    <w:basedOn w:val="0"/>
    <w:next w:val="37"/>
    <w:pPr>
      <w:widowControl/>
      <w:spacing w:before="120" w:after="60" w:line="500" w:lineRule="exact"/>
      <w:ind w:leftChars="200" w:left="200" w:firstLineChars="0" w:firstLine="0"/>
    </w:pPr>
    <w:rPr>
      <w:rFonts w:ascii="Times New Roman" w:cs="Times New Roman" w:hAnsi="Times New Roman"/>
      <w:b/>
      <w:kern w:val="0"/>
      <w:szCs w:val="28"/>
    </w:rPr>
  </w:style>
  <w:style w:type="paragraph" w:customStyle="1" w:styleId="40">
    <w:name w:val="闻政-正文四级标题"/>
    <w:basedOn w:val="39"/>
    <w:next w:val="37"/>
    <w:rPr>
      <w:b w:val="0"/>
    </w:rPr>
  </w:style>
  <w:style w:type="paragraph" w:customStyle="1" w:styleId="41">
    <w:name w:val="闻政-正文一级标题"/>
    <w:basedOn w:val="3"/>
    <w:next w:val="37"/>
    <w:pPr>
      <w:spacing w:before="120" w:after="60" w:line="500" w:lineRule="exact"/>
      <w:ind w:firstLineChars="0" w:firstLine="0"/>
      <w:outlineLvl w:val="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styles" Target="styles.xml"/><Relationship Id="rId12" Type="http://schemas.openxmlformats.org/officeDocument/2006/relationships/numbering" Target="numbering.xml"/><Relationship Id="rId1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11</Pages>
  <Words>2885</Words>
  <Characters>3122</Characters>
  <Lines>367</Lines>
  <Paragraphs>264</Paragraphs>
  <CharactersWithSpaces>3159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qq</dc:creator>
  <cp:lastModifiedBy>greatwall</cp:lastModifiedBy>
  <cp:revision>94</cp:revision>
  <dcterms:created xsi:type="dcterms:W3CDTF">2020-07-13T07:59:00Z</dcterms:created>
  <dcterms:modified xsi:type="dcterms:W3CDTF">2023-05-26T01:49:06Z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E108E833B25E49498EB7751659C1D4B9</vt:lpwstr>
  </property>
</Properties>
</file>