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  <w:bookmarkStart w:id="0" w:name="_GoBack"/>
      <w:bookmarkEnd w:id="0"/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Chars="0" w:firstLine="0"/>
        <w:jc w:val="center"/>
        <w:outlineLvl w:val="0"/>
        <w:rPr>
          <w:rFonts w:ascii="仿宋_GB2312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仿宋_GB2312" w:cs="Times New Roman"/>
          <w:kern w:val="0"/>
          <w:sz w:val="30"/>
          <w:szCs w:val="30"/>
        </w:rPr>
      </w:pPr>
    </w:p>
    <w:p>
      <w:pPr>
        <w:spacing w:line="480" w:lineRule="auto"/>
        <w:ind w:left="1680" w:firstLineChars="0" w:firstLine="42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项目名称：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医疗废物处置资金</w:t>
      </w:r>
    </w:p>
    <w:p>
      <w:pPr>
        <w:spacing w:line="480" w:lineRule="auto"/>
        <w:ind w:left="1680" w:firstLineChars="0" w:firstLine="42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项目单位：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Chars="0" w:firstLine="420"/>
        <w:rPr>
          <w:rFonts w:ascii="仿宋_GB2312" w:cs="Times New Roman"/>
          <w:caps w:val="0"/>
          <w:smallCaps w:val="0"/>
          <w:vanish w:val="0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主管部门：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aps w:val="0"/>
          <w:smallCaps w:val="0"/>
          <w:vanish w:val="0"/>
          <w:color w:val="auto"/>
          <w:sz w:val="32"/>
          <w:u w:val="none"/>
        </w:rPr>
        <w:t>大宁县医疗集团-703005</w:t>
      </w:r>
    </w:p>
    <w:p>
      <w:pPr>
        <w:spacing w:line="480" w:lineRule="auto"/>
        <w:ind w:left="1680" w:firstLineChars="0" w:firstLine="420"/>
        <w:rPr>
          <w:rFonts w:ascii="仿宋_GB2312" w:cs="Times New Roman"/>
          <w:kern w:val="0"/>
          <w:sz w:val="32"/>
          <w:szCs w:val="32"/>
        </w:rPr>
      </w:pPr>
    </w:p>
    <w:p>
      <w:pPr>
        <w:spacing w:line="480" w:lineRule="auto"/>
        <w:ind w:firstLineChars="0" w:firstLine="0"/>
        <w:rPr>
          <w:rFonts w:ascii="黑体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Chars="0" w:firstLine="0"/>
        <w:rPr>
          <w:rFonts w:ascii="黑体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Chars="0" w:firstLine="0"/>
        <w:jc w:val="center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/>
          <w:kern w:val="0"/>
          <w:sz w:val="32"/>
          <w:szCs w:val="32"/>
        </w:rPr>
        <w:t>2022</w:t>
      </w:r>
      <w:r>
        <w:rPr>
          <w:rFonts w:ascii="仿宋_GB2312" w:cs="Times New Roman" w:hint="eastAsia"/>
          <w:kern w:val="0"/>
          <w:sz w:val="32"/>
          <w:szCs w:val="32"/>
        </w:rPr>
        <w:t>年</w:t>
      </w:r>
      <w:r>
        <w:rPr>
          <w:rFonts w:ascii="仿宋_GB2312" w:cs="Times New Roman"/>
          <w:kern w:val="0"/>
          <w:sz w:val="32"/>
          <w:szCs w:val="32"/>
        </w:rPr>
        <w:t>2</w:t>
      </w:r>
      <w:r>
        <w:rPr>
          <w:rFonts w:ascii="仿宋_GB2312" w:cs="Times New Roman" w:hint="eastAsia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Chars="0" w:firstLine="0"/>
        <w:rPr>
          <w:rFonts w:ascii="Calibri" w:eastAsia="仿宋_GB2312" w:cs="黑体" w:hAnsi="Calibri"/>
          <w:kern w:val="2"/>
          <w:sz w:val="28"/>
          <w:szCs w:val="44"/>
          <w:lang w:val="en-US" w:eastAsia="zh-CN" w:bidi="ar-SA"/>
        </w:rPr>
      </w:pPr>
      <w:r>
        <w:rPr>
          <w:rFonts w:ascii="仿宋_GB2312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27"/>
        <w:tabs>
          <w:tab w:val="right" w:leader="dot" w:pos="8306"/>
        </w:tabs>
        <w:ind w:left="0" w:firstLineChars="0" w:firstLine="0"/>
        <w:jc w:val="center"/>
        <w:rPr>
          <w:rFonts w:ascii="仿宋" w:eastAsia="仿宋" w:cs="仿宋" w:hint="eastAsia"/>
          <w:bCs w:val="0"/>
          <w:sz w:val="44"/>
          <w:szCs w:val="44"/>
          <w:lang w:val="en-US" w:eastAsia="zh-CN"/>
        </w:rPr>
      </w:pPr>
      <w:r>
        <w:rPr>
          <w:rFonts w:ascii="仿宋" w:eastAsia="仿宋" w:cs="仿宋" w:hint="eastAsia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_Toc16220 \h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_Toc13588 \h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_Toc11246 \h </w:instrText>
      </w:r>
      <w:r>
        <w:fldChar w:fldCharType="separate"/>
      </w:r>
      <w:r>
        <w:t>2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_Toc4877 \h </w:instrText>
      </w:r>
      <w:r>
        <w:fldChar w:fldCharType="separate"/>
      </w:r>
      <w:r>
        <w:t>2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_Toc16281 \h </w:instrText>
      </w:r>
      <w:r>
        <w:fldChar w:fldCharType="separate"/>
      </w:r>
      <w:r>
        <w:t>2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_Toc1382 \h </w:instrText>
      </w:r>
      <w:r>
        <w:fldChar w:fldCharType="separate"/>
      </w:r>
      <w:r>
        <w:t>3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_Toc15904 \h </w:instrText>
      </w:r>
      <w:r>
        <w:fldChar w:fldCharType="separate"/>
      </w:r>
      <w:r>
        <w:t>3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_Toc28741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_Toc5325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_Toc18050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_Toc8938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_Toc2760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lang w:val="en-US" w:eastAsia="zh-CN"/>
        </w:rPr>
        <w:t>附件</w:t>
      </w:r>
      <w:r>
        <w:rPr>
          <w:rFonts w:ascii="仿宋" w:eastAsia="仿宋" w:cs="仿宋"/>
          <w:bCs w:val="0"/>
        </w:rPr>
        <w:t>1.</w:t>
      </w:r>
      <w:r>
        <w:rPr>
          <w:rFonts w:ascii="仿宋" w:eastAsia="仿宋" w:cs="仿宋" w:hint="eastAsia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_Toc9948 \h </w:instrText>
      </w:r>
      <w:r>
        <w:fldChar w:fldCharType="separate"/>
      </w:r>
      <w:r>
        <w:t>1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附件</w:t>
      </w:r>
      <w:r>
        <w:rPr>
          <w:rFonts w:ascii="仿宋" w:eastAsia="仿宋" w:cs="仿宋"/>
          <w:bCs w:val="0"/>
        </w:rPr>
        <w:t>2.</w:t>
      </w:r>
      <w:r>
        <w:rPr>
          <w:rFonts w:ascii="仿宋" w:eastAsia="仿宋" w:cs="仿宋" w:hint="eastAsia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_Toc14023 \h </w:instrText>
      </w:r>
      <w:r>
        <w:fldChar w:fldCharType="separate"/>
      </w:r>
      <w:r>
        <w:t>2</w:t>
      </w:r>
      <w:r>
        <w:fldChar w:fldCharType="end"/>
      </w:r>
    </w:p>
    <w:p>
      <w:pPr>
        <w:pStyle w:val="27"/>
        <w:tabs>
          <w:tab w:val="right" w:leader="dot" w:pos="8296"/>
        </w:tabs>
        <w:ind w:firstLineChars="137" w:firstLine="274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rPr>
          <w:szCs w:val="44"/>
        </w:rPr>
      </w:pPr>
    </w:p>
    <w:p>
      <w:pPr>
        <w:rPr>
          <w:szCs w:val="44"/>
        </w:rPr>
      </w:pPr>
    </w:p>
    <w:p>
      <w:pPr>
        <w:rPr>
          <w:szCs w:val="44"/>
        </w:rPr>
        <w:sectPr>
          <w:footerReference w:type="default" r:id="rId2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pStyle w:val="41"/>
        <w:rPr>
          <w:rFonts w:ascii="仿宋" w:eastAsia="仿宋" w:cs="仿宋"/>
          <w:b/>
          <w:bCs w:val="0"/>
        </w:rPr>
      </w:pPr>
      <w:bookmarkStart w:id="1" w:name="_Toc16220"/>
      <w:r>
        <w:rPr>
          <w:rFonts w:ascii="仿宋" w:eastAsia="仿宋" w:cs="仿宋" w:hint="eastAsia"/>
          <w:b/>
          <w:bCs w:val="0"/>
        </w:rPr>
        <w:t>一、项目的基本情况</w:t>
      </w:r>
      <w:bookmarkEnd w:id="1"/>
    </w:p>
    <w:p>
      <w:pPr>
        <w:pStyle w:val="38"/>
      </w:pPr>
      <w:bookmarkStart w:id="2" w:name="_Toc13588"/>
      <w:r>
        <w:rPr>
          <w:rFonts w:hint="eastAsia"/>
        </w:rPr>
        <w:t>（一）项目概况</w:t>
      </w:r>
      <w:bookmarkEnd w:id="2"/>
    </w:p>
    <w:p>
      <w:pPr>
        <w:pStyle w:val="37"/>
        <w:ind w:left="280"/>
      </w:pPr>
      <w:r>
        <w:rPr>
          <w:rFonts w:hint="eastAsia"/>
          <w:b/>
          <w:bCs/>
        </w:rPr>
        <w:t>项目概况：</w:t>
      </w:r>
      <w:r>
        <w:t>项目资金主要用于医疗集团废物处置经费</w:t>
      </w:r>
    </w:p>
    <w:p>
      <w:pPr>
        <w:pStyle w:val="37"/>
        <w:ind w:left="280"/>
      </w:pPr>
      <w:r>
        <w:rPr>
          <w:rFonts w:hint="eastAsia"/>
          <w:b/>
          <w:bCs/>
        </w:rPr>
        <w:t>立项依据：</w:t>
      </w:r>
      <w:r>
        <w:t>晋环函【2021】15号</w:t>
      </w:r>
    </w:p>
    <w:p>
      <w:pPr>
        <w:pStyle w:val="37"/>
        <w:ind w:left="280"/>
        <w:rPr>
          <w:rFonts w:eastAsia="仿宋_GB2312" w:hint="eastAsia"/>
          <w:lang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加大我院医疗废物处置能力，强化技术装备，为更好地为我县人民服务提供保障</w:t>
      </w:r>
      <w:r>
        <w:rPr>
          <w:rFonts w:hint="eastAsia"/>
          <w:lang w:eastAsia="zh-CN"/>
        </w:rPr>
        <w:t>。</w:t>
      </w:r>
    </w:p>
    <w:p>
      <w:pPr>
        <w:pStyle w:val="37"/>
        <w:ind w:left="280"/>
      </w:pPr>
      <w:r>
        <w:rPr>
          <w:rFonts w:hint="eastAsia"/>
          <w:b/>
          <w:bCs/>
        </w:rPr>
        <w:t>保证项目实施的措施与制度：</w:t>
      </w:r>
      <w:r>
        <w:t>严格按照“晋环函【2021】15号”文件通知执行，保证资金及时发放到位</w:t>
      </w:r>
    </w:p>
    <w:p>
      <w:pPr>
        <w:pStyle w:val="37"/>
        <w:ind w:left="280"/>
      </w:pPr>
      <w:r>
        <w:rPr>
          <w:rFonts w:hint="eastAsia"/>
          <w:b/>
          <w:bCs/>
        </w:rPr>
        <w:t>项目实施计划：</w:t>
      </w:r>
      <w:r>
        <w:t>按照关于《山西省临汾市医疗废物处置工程环境影响报告书》的批复文件贯彻执行</w:t>
      </w:r>
    </w:p>
    <w:p>
      <w:pPr>
        <w:widowControl/>
        <w:ind w:firstLineChars="200" w:firstLine="560"/>
        <w:jc w:val="left"/>
        <w:rPr>
          <w:rFonts w:ascii="Times New Roman" w:eastAsia="仿宋_GB2312" w:cs="Times New Roman" w:hAnsi="Times New Roman" w:hint="eastAsia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b/>
          <w:bCs/>
          <w:kern w:val="0"/>
          <w:sz w:val="28"/>
          <w:szCs w:val="32"/>
          <w:lang w:val="en-US" w:eastAsia="zh-CN" w:bidi="ar-SA"/>
        </w:rPr>
        <w:t>（二）预算执行情况</w:t>
      </w:r>
    </w:p>
    <w:p>
      <w:pPr>
        <w:ind w:firstLineChars="0" w:firstLine="0"/>
        <w:jc w:val="left"/>
        <w:rPr>
          <w:b/>
          <w:szCs w:val="28"/>
        </w:rPr>
      </w:pPr>
    </w:p>
    <w:tbl>
      <w:tblPr>
        <w:jc w:val="left"/>
        <w:tblInd w:w="172" w:type="dxa"/>
        <w:tblW w:w="13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38"/>
      </w:pPr>
      <w:bookmarkStart w:id="3" w:name="_Toc11246"/>
      <w:r>
        <w:rPr>
          <w:rFonts w:hint="eastAsia"/>
        </w:rPr>
        <w:t>（三）项目绩效目标</w:t>
      </w:r>
      <w:bookmarkEnd w:id="3"/>
    </w:p>
    <w:p>
      <w:pPr>
        <w:pStyle w:val="39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37"/>
        <w:ind w:left="280"/>
      </w:pPr>
      <w:r>
        <w:t>加大我院医疗废物处置能力，强化技术装备，为更好地为我县人民服务提供保障</w:t>
      </w:r>
    </w:p>
    <w:p>
      <w:pPr>
        <w:pStyle w:val="39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37"/>
        <w:ind w:left="280"/>
      </w:pPr>
      <w:r>
        <w:t>保证资金及时发放到位，提高项目资金使用率，确保年度目标如期完成</w:t>
      </w:r>
    </w:p>
    <w:p>
      <w:pPr>
        <w:pStyle w:val="41"/>
        <w:rPr>
          <w:rFonts w:ascii="仿宋" w:eastAsia="仿宋" w:cs="仿宋"/>
          <w:b/>
          <w:bCs w:val="0"/>
        </w:rPr>
      </w:pPr>
      <w:bookmarkStart w:id="4" w:name="_Toc4877"/>
      <w:r>
        <w:rPr>
          <w:rFonts w:ascii="仿宋" w:eastAsia="仿宋" w:cs="仿宋" w:hint="eastAsia"/>
          <w:b/>
          <w:bCs w:val="0"/>
        </w:rPr>
        <w:t>二、项目绩效情况</w:t>
      </w:r>
      <w:bookmarkEnd w:id="4"/>
    </w:p>
    <w:p>
      <w:pPr>
        <w:pStyle w:val="37"/>
        <w:ind w:leftChars="50" w:left="14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医疗废物处置资金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97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38"/>
      </w:pPr>
      <w:bookmarkStart w:id="5" w:name="_Toc16281"/>
      <w:r>
        <w:rPr>
          <w:rFonts w:hint="eastAsia"/>
        </w:rPr>
        <w:t>（一）预算执行情况</w:t>
      </w:r>
      <w:bookmarkEnd w:id="5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Chars="0" w:firstLine="0"/>
        <w:rPr>
          <w:szCs w:val="44"/>
        </w:rPr>
      </w:pPr>
    </w:p>
    <w:p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38"/>
      </w:pPr>
      <w:bookmarkStart w:id="6" w:name="_Toc1382"/>
      <w:r>
        <w:rPr>
          <w:rFonts w:hint="eastAsia"/>
        </w:rPr>
        <w:t>（二）项目产出情况</w:t>
      </w:r>
      <w:bookmarkEnd w:id="6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资金拨付及时性（%）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绩效评价报告的质量合格率（%）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医疗废弃物处置成本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37万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Chars="0" w:firstLine="0"/>
        <w:rPr>
          <w:szCs w:val="44"/>
        </w:rPr>
      </w:pPr>
    </w:p>
    <w:p>
      <w:pPr>
        <w:pStyle w:val="38"/>
      </w:pPr>
      <w:bookmarkStart w:id="7" w:name="_Toc15904"/>
      <w:r>
        <w:rPr>
          <w:rFonts w:hint="eastAsia"/>
        </w:rPr>
        <w:t>（三）项目效益情况</w:t>
      </w:r>
      <w:bookmarkEnd w:id="7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38"/>
        <w:ind w:leftChars="0" w:left="0" w:firstLineChars="200" w:firstLine="560"/>
      </w:pPr>
      <w:bookmarkStart w:id="8" w:name="_Toc28741"/>
      <w:r>
        <w:rPr>
          <w:rFonts w:hint="eastAsia"/>
        </w:rPr>
        <w:t>（四）项目满意度情况</w:t>
      </w:r>
      <w:bookmarkEnd w:id="8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</w:tbl>
    <w:p>
      <w:pPr>
        <w:widowControl/>
        <w:ind w:firstLineChars="0" w:firstLine="0"/>
        <w:jc w:val="left"/>
        <w:rPr>
          <w:szCs w:val="44"/>
        </w:rPr>
      </w:pPr>
    </w:p>
    <w:p>
      <w:pPr>
        <w:pStyle w:val="41"/>
        <w:rPr>
          <w:rFonts w:ascii="仿宋" w:eastAsia="仿宋" w:cs="仿宋"/>
          <w:b/>
          <w:bCs w:val="0"/>
        </w:rPr>
      </w:pPr>
      <w:bookmarkStart w:id="9" w:name="_Toc5325"/>
      <w:r>
        <w:rPr>
          <w:rFonts w:ascii="仿宋" w:eastAsia="仿宋" w:cs="仿宋" w:hint="eastAsia"/>
          <w:b/>
          <w:bCs w:val="0"/>
        </w:rPr>
        <w:t>三、</w:t>
      </w:r>
      <w:bookmarkStart w:id="10" w:name="_Toc23655"/>
      <w:bookmarkStart w:id="11" w:name="_Toc17451"/>
      <w:r>
        <w:rPr>
          <w:rFonts w:ascii="仿宋" w:eastAsia="仿宋" w:cs="仿宋" w:hint="eastAsia"/>
          <w:b/>
          <w:bCs w:val="0"/>
        </w:rPr>
        <w:t>项目绩效分析</w:t>
      </w:r>
      <w:bookmarkEnd w:id="9"/>
      <w:bookmarkEnd w:id="10"/>
      <w:bookmarkEnd w:id="11"/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>
      <w:pPr>
        <w:pStyle w:val="37"/>
        <w:rPr>
          <w:rFonts w:ascii="仿宋_GB2312"/>
          <w:bCs/>
        </w:rPr>
      </w:pPr>
      <w:r>
        <w:rPr>
          <w:rFonts w:ascii="仿宋_GB2312" w:hint="eastAsia"/>
          <w:bCs/>
          <w:lang w:val="en-US" w:eastAsia="zh-CN"/>
        </w:rPr>
        <w:t>项目资金总额37万元，实际支付资金37万元，项目预算执行率达到100%。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>
      <w:pPr>
        <w:pStyle w:val="37"/>
        <w:rPr>
          <w:rFonts w:ascii="仿宋_GB2312"/>
          <w:bCs/>
        </w:rPr>
      </w:pPr>
      <w:r>
        <w:rPr>
          <w:rFonts w:ascii="仿宋_GB2312" w:hint="eastAsia"/>
          <w:bCs/>
          <w:lang w:val="en-US" w:eastAsia="zh-CN"/>
        </w:rPr>
        <w:t>项目资金拨付及时性达到100%；绩效评价报告的质量合格率达到100%；医疗废弃物处置成本共计37万元。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>
      <w:pPr>
        <w:pStyle w:val="37"/>
        <w:rPr>
          <w:rFonts w:ascii="仿宋_GB2312"/>
          <w:bCs/>
        </w:rPr>
      </w:pPr>
      <w:r>
        <w:rPr>
          <w:rFonts w:ascii="仿宋_GB2312" w:hint="eastAsia"/>
          <w:bCs/>
          <w:lang w:val="en-US" w:eastAsia="zh-CN"/>
        </w:rPr>
        <w:t>项目涉及群众满意度达到90%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>
      <w:pPr>
        <w:pStyle w:val="37"/>
        <w:rPr>
          <w:rFonts w:ascii="仿宋_GB2312"/>
          <w:bCs/>
          <w:lang w:val="en-US" w:eastAsia="zh-CN"/>
        </w:rPr>
      </w:pPr>
      <w:r>
        <w:rPr>
          <w:rFonts w:ascii="仿宋_GB2312" w:hint="eastAsia"/>
          <w:bCs/>
          <w:lang w:val="en-US" w:eastAsia="zh-CN"/>
        </w:rPr>
        <w:t>项目涉及公众满意度达到90%</w:t>
      </w:r>
    </w:p>
    <w:p>
      <w:pPr>
        <w:pStyle w:val="41"/>
        <w:rPr>
          <w:caps w:val="0"/>
          <w:smallCaps w:val="0"/>
          <w:vanish w:val="0"/>
        </w:rPr>
      </w:pPr>
      <w:bookmarkStart w:id="12" w:name="_Toc23145"/>
      <w:bookmarkStart w:id="13" w:name="_Toc18050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四、项目主要经验做法</w:t>
      </w:r>
      <w:bookmarkEnd w:id="12"/>
      <w:bookmarkEnd w:id="13"/>
      <w:r>
        <w:rPr>
          <w:caps w:val="0"/>
          <w:smallCaps w:val="0"/>
          <w:vanish w:val="0"/>
        </w:rPr>
        <w:t xml:space="preserve"> </w:t>
      </w:r>
    </w:p>
    <w:p>
      <w:pPr>
        <w:pStyle w:val="37"/>
        <w:ind w:left="0" w:firstLineChars="200" w:firstLine="56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37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37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41"/>
        <w:rPr>
          <w:rFonts w:ascii="仿宋" w:eastAsia="仿宋" w:cs="仿宋"/>
          <w:b/>
          <w:bCs w:val="0"/>
          <w:caps w:val="0"/>
          <w:smallCaps w:val="0"/>
          <w:vanish w:val="0"/>
        </w:rPr>
      </w:pPr>
      <w:bookmarkStart w:id="14" w:name="_Toc19853"/>
      <w:bookmarkStart w:id="15" w:name="_Toc8938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五、项目管理中存在问题及原因分析</w:t>
      </w:r>
      <w:bookmarkEnd w:id="14"/>
      <w:bookmarkEnd w:id="15"/>
    </w:p>
    <w:p>
      <w:pPr>
        <w:pStyle w:val="37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41"/>
        <w:rPr>
          <w:rFonts w:ascii="仿宋" w:eastAsia="仿宋" w:cs="仿宋" w:hint="eastAsia"/>
          <w:b/>
          <w:bCs w:val="0"/>
          <w:caps w:val="0"/>
          <w:smallCaps w:val="0"/>
          <w:vanish w:val="0"/>
        </w:rPr>
      </w:pPr>
      <w:bookmarkStart w:id="16" w:name="_Toc8253"/>
      <w:bookmarkStart w:id="17" w:name="_Toc2760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六、进一步加强项目管理措施及建议</w:t>
      </w:r>
      <w:bookmarkEnd w:id="16"/>
      <w:bookmarkEnd w:id="17"/>
    </w:p>
    <w:p>
      <w:pPr>
        <w:pStyle w:val="37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37"/>
        <w:sectPr>
          <w:footerReference w:type="default" r:id="rId3"/>
          <w:pgSz w:w="16838" w:h="11906" w:orient="landscape"/>
          <w:pgMar w:top="1800" w:right="1440" w:bottom="1800" w:left="1440" w:header="851" w:footer="992" w:gutter="0"/>
          <w:pgNumType w:start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41"/>
        <w:rPr>
          <w:rFonts w:ascii="仿宋" w:eastAsia="仿宋" w:cs="仿宋"/>
          <w:b/>
          <w:bCs w:val="0"/>
        </w:rPr>
      </w:pPr>
      <w:bookmarkStart w:id="18" w:name="_Toc9948"/>
      <w:r>
        <w:rPr>
          <w:rFonts w:ascii="仿宋" w:eastAsia="仿宋" w:cs="仿宋" w:hint="eastAsia"/>
          <w:b/>
          <w:bCs w:val="0"/>
          <w:lang w:val="en-US" w:eastAsia="zh-CN"/>
        </w:rPr>
        <w:t>附件</w:t>
      </w:r>
      <w:r>
        <w:rPr>
          <w:rFonts w:ascii="仿宋" w:eastAsia="仿宋" w:cs="仿宋"/>
          <w:b/>
          <w:bCs w:val="0"/>
        </w:rPr>
        <w:t>1.</w:t>
      </w:r>
      <w:r>
        <w:rPr>
          <w:rFonts w:ascii="仿宋" w:eastAsia="仿宋" w:cs="仿宋" w:hint="eastAsia"/>
          <w:b/>
          <w:bCs w:val="0"/>
        </w:rPr>
        <w:t>项目支出绩效自评表</w:t>
      </w:r>
      <w:bookmarkEnd w:id="18"/>
    </w:p>
    <w:p/>
    <w:tbl>
      <w:tblPr>
        <w:jc w:val="left"/>
        <w:tblInd w:w="5" w:type="dxa"/>
        <w:tblW w:w="14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</w:tcPr>
          <w:p>
            <w:pPr>
              <w:jc w:val="center"/>
              <w:rPr>
                <w:rFonts w:ascii="黑体" w:eastAsia="黑体" w:cs="Arial"/>
                <w:b/>
                <w:bCs/>
                <w:szCs w:val="28"/>
              </w:rPr>
            </w:pPr>
            <w:r>
              <w:rPr>
                <w:rFonts w:ascii="仿宋" w:eastAsia="仿宋" w:cs="仿宋" w:hint="eastAsia"/>
                <w:b/>
              </w:rPr>
              <w:t>附件</w:t>
            </w:r>
            <w:r>
              <w:rPr>
                <w:rFonts w:ascii="仿宋" w:eastAsia="仿宋" w:cs="仿宋"/>
                <w:b/>
              </w:rPr>
              <w:t>1.</w:t>
            </w:r>
            <w:r>
              <w:rPr>
                <w:rFonts w:ascii="仿宋" w:eastAsia="仿宋" w:cs="仿宋" w:hint="eastAsia"/>
                <w:b/>
              </w:rPr>
              <w:t>项目支出绩效自评表</w:t>
            </w:r>
          </w:p>
        </w:tc>
      </w:tr>
      <w:tr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偏差原因分析及改进措施</w:t>
            </w: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资金拨付及时性（%）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绩效评价报告的质量合格率（%）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绩效信息有待进一步提高</w:t>
            </w: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医疗废弃物处置成本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37万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群众满意度有待进一步提高</w:t>
            </w: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群众满意度有待进一步提高</w:t>
            </w:r>
          </w:p>
        </w:tc>
      </w:tr>
      <w:tr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  <w:noWrap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</w:tr>
    </w:tbl>
    <w:p>
      <w:pPr>
        <w:pStyle w:val="37"/>
        <w:sectPr>
          <w:footerReference w:type="default" r:id="rId4"/>
          <w:pgSz w:w="16838" w:h="11906" w:orient="landscape"/>
          <w:pgMar w:top="1800" w:right="1440" w:bottom="1800" w:left="1440" w:header="851" w:footer="992" w:gutter="0"/>
          <w:pgNumType w:start="1"/>
          <w:docGrid w:type="lines" w:linePitch="381" w:charSpace="0"/>
        </w:sectPr>
      </w:pPr>
    </w:p>
    <w:p>
      <w:pPr>
        <w:pStyle w:val="41"/>
        <w:rPr>
          <w:rFonts w:ascii="仿宋" w:eastAsia="仿宋" w:cs="仿宋"/>
          <w:b/>
          <w:bCs w:val="0"/>
        </w:rPr>
      </w:pPr>
      <w:bookmarkStart w:id="19" w:name="_Toc14023"/>
      <w:r>
        <w:rPr>
          <w:rFonts w:ascii="仿宋" w:eastAsia="仿宋" w:cs="仿宋" w:hint="eastAsia"/>
          <w:b/>
          <w:bCs w:val="0"/>
        </w:rPr>
        <w:t>附件</w:t>
      </w:r>
      <w:r>
        <w:rPr>
          <w:rFonts w:ascii="仿宋" w:eastAsia="仿宋" w:cs="仿宋"/>
          <w:b/>
          <w:bCs w:val="0"/>
        </w:rPr>
        <w:t>2.</w:t>
      </w:r>
      <w:r>
        <w:rPr>
          <w:rFonts w:ascii="仿宋" w:eastAsia="仿宋" w:cs="仿宋" w:hint="eastAsia"/>
          <w:b/>
          <w:bCs w:val="0"/>
        </w:rPr>
        <w:t>绩效自评相关资料</w:t>
      </w:r>
      <w:bookmarkEnd w:id="19"/>
    </w:p>
    <w:tbl>
      <w:tblPr>
        <w:jc w:val="center"/>
        <w:tblW w:w="12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 w:cs="Arial"/>
                <w:b/>
                <w:bCs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cs="仿宋" w:hint="eastAsia"/>
                <w:b/>
                <w:bCs/>
                <w:szCs w:val="28"/>
              </w:rPr>
              <w:t>绩效自评相关资料</w:t>
            </w:r>
          </w:p>
        </w:tc>
      </w:tr>
      <w:tr>
        <w:trPr>
          <w:trHeight w:val="5267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Chars="0" w:firstLine="0"/>
      </w:pPr>
    </w:p>
    <w:sectPr>
      <w:headerReference w:type="default" r:id="rId5"/>
      <w:headerReference w:type="even" r:id="rId6"/>
      <w:headerReference w:type="first" r:id="rId7"/>
      <w:footerReference w:type="default" r:id="rId8"/>
      <w:footerReference w:type="even" r:id="rId9"/>
      <w:footerReference w:type="first" r:id="rId10"/>
      <w:pgSz w:w="16838" w:h="11906" w:orient="landscape"/>
      <w:pgMar w:top="1800" w:right="1440" w:bottom="1800" w:left="1440" w:header="851" w:footer="992" w:gutter="0"/>
      <w:docGrid w:type="lines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">
    <w:altName w:val="DejaVu Sans"/>
    <w:panose1 w:val="02040503050406030204"/>
    <w:charset w:val="00"/>
    <w:family w:val="roman"/>
    <w:pitch w:val="variable"/>
    <w:sig w:usb0="E00006FF" w:usb1="420024FF" w:usb2="02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</w:pP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3B53022"/>
    <w:multiLevelType w:val="singleLevel"/>
    <w:tmpl w:val="E3B53022"/>
    <w:lvl w:ilvl="0">
      <w:start w:val="1"/>
      <w:numFmt w:val="decimal"/>
      <w:lvlRestart w:val="0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ocumentProtection w:edit="readOnly"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  <w:jc w:val="both"/>
    </w:pPr>
    <w:rPr>
      <w:rFonts w:ascii="Calibri" w:eastAsia="仿宋_GB2312" w:cs="黑体" w:hAnsi="Calibri"/>
      <w:kern w:val="2"/>
      <w:sz w:val="28"/>
      <w:szCs w:val="22"/>
      <w:lang w:val="en-US" w:eastAsia="zh-CN" w:bidi="ar-SA"/>
    </w:rPr>
  </w:style>
  <w:style w:type="paragraph" w:styleId="1">
    <w:name w:val="heading 1"/>
    <w:basedOn w:val="0"/>
    <w:next w:val="16"/>
    <w:pPr>
      <w:keepNext/>
      <w:keepLines/>
      <w:widowControl w:val="0"/>
      <w:spacing w:before="340" w:after="330" w:line="578" w:lineRule="auto"/>
      <w:jc w:val="left"/>
      <w:outlineLvl w:val="0"/>
    </w:pPr>
    <w:rPr>
      <w:rFonts w:ascii="Times New Roman" w:cs="Times New Roman" w:hAnsi="Times New Roman"/>
      <w:b/>
      <w:bCs/>
      <w:kern w:val="44"/>
      <w:sz w:val="32"/>
      <w:szCs w:val="44"/>
    </w:rPr>
  </w:style>
  <w:style w:type="paragraph" w:styleId="2">
    <w:name w:val="heading 2"/>
    <w:basedOn w:val="0"/>
    <w:next w:val="17"/>
    <w:pPr>
      <w:keepNext/>
      <w:keepLines/>
      <w:widowControl w:val="0"/>
      <w:spacing w:before="260" w:after="260" w:line="415" w:lineRule="auto"/>
      <w:jc w:val="left"/>
      <w:outlineLvl w:val="1"/>
    </w:pPr>
    <w:rPr>
      <w:rFonts w:ascii="Cambria" w:cs="Times New Roman" w:hAnsi="Cambria"/>
      <w:b/>
      <w:bCs/>
      <w:kern w:val="0"/>
      <w:sz w:val="30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Cambria" w:eastAsia="宋体" w:cs="Times New Roman" w:hAnsi="Cambria"/>
      <w:b/>
      <w:bCs/>
      <w:kern w:val="0"/>
      <w:szCs w:val="28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  <w:rPr>
      <w:rFonts w:cs="Times New Roman"/>
      <w:kern w:val="0"/>
      <w:szCs w:val="20"/>
    </w:rPr>
  </w:style>
  <w:style w:type="paragraph" w:styleId="16">
    <w:name w:val="Body Text First Indent 2"/>
    <w:basedOn w:val="15"/>
  </w:style>
  <w:style w:type="paragraph" w:styleId="17">
    <w:name w:val="No Spacing"/>
    <w:pPr>
      <w:widowControl w:val="0"/>
      <w:ind w:firstLineChars="200" w:firstLine="200"/>
      <w:jc w:val="both"/>
    </w:pPr>
    <w:rPr>
      <w:rFonts w:ascii="Calibri" w:eastAsia="仿宋_GB2312" w:cs="Times New Roman" w:hAnsi="Calibri"/>
      <w:kern w:val="0"/>
      <w:sz w:val="28"/>
      <w:szCs w:val="22"/>
      <w:lang w:val="en-US" w:eastAsia="zh-CN" w:bidi="ar-SA"/>
    </w:rPr>
  </w:style>
  <w:style w:type="paragraph" w:styleId="18">
    <w:name w:val="toc 7"/>
    <w:basedOn w:val="0"/>
    <w:next w:val="0"/>
    <w:pPr>
      <w:ind w:left="1680"/>
      <w:jc w:val="left"/>
    </w:pPr>
    <w:rPr>
      <w:rFonts w:cs="Calibri"/>
      <w:sz w:val="18"/>
      <w:szCs w:val="18"/>
    </w:rPr>
  </w:style>
  <w:style w:type="paragraph" w:styleId="19">
    <w:name w:val="Document Map"/>
    <w:basedOn w:val="0"/>
    <w:rPr>
      <w:rFonts w:ascii="宋体" w:eastAsia="宋体" w:cs="Times New Roman"/>
      <w:kern w:val="0"/>
      <w:sz w:val="18"/>
      <w:szCs w:val="18"/>
    </w:rPr>
  </w:style>
  <w:style w:type="paragraph" w:styleId="20">
    <w:name w:val="annotation text"/>
    <w:basedOn w:val="0"/>
    <w:rPr>
      <w:rFonts w:cs="Times New Roman"/>
      <w:kern w:val="0"/>
      <w:sz w:val="20"/>
      <w:szCs w:val="20"/>
    </w:rPr>
  </w:style>
  <w:style w:type="paragraph" w:styleId="21">
    <w:name w:val="toc 5"/>
    <w:basedOn w:val="0"/>
    <w:next w:val="0"/>
    <w:pPr>
      <w:ind w:left="1120"/>
      <w:jc w:val="left"/>
    </w:pPr>
    <w:rPr>
      <w:rFonts w:cs="Calibri"/>
      <w:sz w:val="18"/>
      <w:szCs w:val="18"/>
    </w:rPr>
  </w:style>
  <w:style w:type="paragraph" w:styleId="22">
    <w:name w:val="toc 3"/>
    <w:basedOn w:val="0"/>
    <w:next w:val="0"/>
    <w:pPr>
      <w:ind w:left="560"/>
      <w:jc w:val="left"/>
    </w:pPr>
    <w:rPr>
      <w:rFonts w:cs="Calibri"/>
      <w:i/>
      <w:iCs/>
      <w:sz w:val="20"/>
      <w:szCs w:val="20"/>
    </w:rPr>
  </w:style>
  <w:style w:type="paragraph" w:styleId="23">
    <w:name w:val="toc 8"/>
    <w:basedOn w:val="0"/>
    <w:next w:val="0"/>
    <w:pPr>
      <w:ind w:left="1960"/>
      <w:jc w:val="left"/>
    </w:pPr>
    <w:rPr>
      <w:rFonts w:cs="Calibri"/>
      <w:sz w:val="18"/>
      <w:szCs w:val="18"/>
    </w:rPr>
  </w:style>
  <w:style w:type="paragraph" w:styleId="24">
    <w:name w:val="Balloon Text"/>
    <w:basedOn w:val="0"/>
    <w:rPr>
      <w:rFonts w:cs="Times New Roman"/>
      <w:kern w:val="0"/>
      <w:sz w:val="18"/>
      <w:szCs w:val="18"/>
    </w:rPr>
  </w:style>
  <w:style w:type="paragraph" w:styleId="2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0"/>
    <w:next w:val="0"/>
    <w:pPr>
      <w:spacing w:before="120" w:after="120"/>
      <w:jc w:val="left"/>
    </w:pPr>
    <w:rPr>
      <w:rFonts w:cs="Calibri"/>
      <w:b/>
      <w:bCs/>
      <w:caps/>
      <w:smallCaps w:val="0"/>
      <w:sz w:val="20"/>
      <w:szCs w:val="20"/>
    </w:rPr>
  </w:style>
  <w:style w:type="paragraph" w:styleId="28">
    <w:name w:val="toc 4"/>
    <w:basedOn w:val="0"/>
    <w:next w:val="0"/>
    <w:pPr>
      <w:ind w:left="840"/>
      <w:jc w:val="left"/>
    </w:pPr>
    <w:rPr>
      <w:rFonts w:cs="Calibri"/>
      <w:sz w:val="18"/>
      <w:szCs w:val="18"/>
    </w:rPr>
  </w:style>
  <w:style w:type="paragraph" w:styleId="29">
    <w:name w:val="toc 6"/>
    <w:basedOn w:val="0"/>
    <w:next w:val="0"/>
    <w:pPr>
      <w:ind w:left="1400"/>
      <w:jc w:val="left"/>
    </w:pPr>
    <w:rPr>
      <w:rFonts w:cs="Calibri"/>
      <w:sz w:val="18"/>
      <w:szCs w:val="18"/>
    </w:rPr>
  </w:style>
  <w:style w:type="paragraph" w:styleId="30">
    <w:name w:val="toc 2"/>
    <w:basedOn w:val="0"/>
    <w:next w:val="0"/>
    <w:pPr>
      <w:ind w:left="280"/>
      <w:jc w:val="left"/>
    </w:pPr>
    <w:rPr>
      <w:rFonts w:cs="Calibri"/>
      <w:caps w:val="0"/>
      <w:smallCaps/>
      <w:sz w:val="20"/>
      <w:szCs w:val="20"/>
    </w:rPr>
  </w:style>
  <w:style w:type="paragraph" w:styleId="31">
    <w:name w:val="toc 9"/>
    <w:basedOn w:val="0"/>
    <w:next w:val="0"/>
    <w:pPr>
      <w:ind w:left="2240"/>
      <w:jc w:val="left"/>
    </w:pPr>
    <w:rPr>
      <w:rFonts w:cs="Calibri"/>
      <w:sz w:val="18"/>
      <w:szCs w:val="18"/>
    </w:rPr>
  </w:style>
  <w:style w:type="paragraph" w:styleId="32">
    <w:name w:val="annotation subject"/>
    <w:basedOn w:val="20"/>
    <w:next w:val="20"/>
    <w:rPr>
      <w:b/>
      <w:bCs/>
    </w:rPr>
  </w:style>
  <w:style w:type="character" w:styleId="33">
    <w:name w:val="Hyperlink"/>
    <w:basedOn w:val="10"/>
    <w:rPr>
      <w:rFonts w:cs="Times New Roman"/>
      <w:color w:val="0000FF"/>
      <w:u w:val="single"/>
    </w:rPr>
  </w:style>
  <w:style w:type="character" w:styleId="34">
    <w:name w:val="annotation reference"/>
    <w:basedOn w:val="10"/>
    <w:rPr>
      <w:rFonts w:cs="Times New Roman"/>
      <w:sz w:val="16"/>
    </w:rPr>
  </w:style>
  <w:style w:type="character" w:customStyle="1" w:styleId="35">
    <w:name w:val="Intense Reference"/>
    <w:basedOn w:val="10"/>
    <w:rPr>
      <w:b/>
      <w:caps w:val="0"/>
      <w:smallCaps/>
      <w:color w:val="C0504D"/>
      <w:spacing w:val="5"/>
      <w:u w:val="single"/>
    </w:rPr>
  </w:style>
  <w:style w:type="paragraph" w:styleId="36">
    <w:name w:val="List Paragraph"/>
    <w:basedOn w:val="0"/>
  </w:style>
  <w:style w:type="paragraph" w:customStyle="1" w:styleId="37">
    <w:name w:val="闻政-正文段落文字"/>
    <w:basedOn w:val="0"/>
    <w:pPr>
      <w:spacing w:line="500" w:lineRule="exact"/>
    </w:pPr>
    <w:rPr>
      <w:rFonts w:ascii="Times New Roman" w:cs="Times New Roman" w:hAnsi="Times New Roman"/>
      <w:kern w:val="0"/>
      <w:szCs w:val="28"/>
    </w:rPr>
  </w:style>
  <w:style w:type="paragraph" w:customStyle="1" w:styleId="38">
    <w:name w:val="闻政-正文二级标题"/>
    <w:basedOn w:val="2"/>
    <w:next w:val="37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paragraph" w:customStyle="1" w:styleId="39">
    <w:name w:val="闻政-正文三级标题"/>
    <w:basedOn w:val="0"/>
    <w:next w:val="37"/>
    <w:pPr>
      <w:widowControl/>
      <w:spacing w:before="120" w:after="60" w:line="500" w:lineRule="exact"/>
      <w:ind w:leftChars="200" w:left="200" w:firstLineChars="0" w:firstLine="0"/>
    </w:pPr>
    <w:rPr>
      <w:rFonts w:ascii="Times New Roman" w:cs="Times New Roman" w:hAnsi="Times New Roman"/>
      <w:b/>
      <w:kern w:val="0"/>
      <w:szCs w:val="28"/>
    </w:rPr>
  </w:style>
  <w:style w:type="paragraph" w:customStyle="1" w:styleId="40">
    <w:name w:val="闻政-正文四级标题"/>
    <w:basedOn w:val="39"/>
    <w:next w:val="37"/>
    <w:rPr>
      <w:b w:val="0"/>
    </w:rPr>
  </w:style>
  <w:style w:type="paragraph" w:customStyle="1" w:styleId="41">
    <w:name w:val="闻政-正文一级标题"/>
    <w:basedOn w:val="3"/>
    <w:next w:val="37"/>
    <w:pPr>
      <w:spacing w:before="120" w:after="60" w:line="500" w:lineRule="exact"/>
      <w:ind w:firstLineChars="0" w:firstLine="0"/>
      <w:outlineLvl w:val="0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styles" Target="styles.xml"/><Relationship Id="rId12" Type="http://schemas.openxmlformats.org/officeDocument/2006/relationships/numbering" Target="numbering.xml"/><Relationship Id="rId1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9</Pages>
  <Words>1672</Words>
  <Characters>1913</Characters>
  <Lines>347</Lines>
  <Paragraphs>266</Paragraphs>
  <CharactersWithSpaces>1936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qq</dc:creator>
  <cp:lastModifiedBy>greatwall</cp:lastModifiedBy>
  <cp:revision>94</cp:revision>
  <dcterms:created xsi:type="dcterms:W3CDTF">2020-07-13T07:59:00Z</dcterms:created>
  <dcterms:modified xsi:type="dcterms:W3CDTF">2023-05-26T01:33:34Z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52A1B9024D54441DA4E663A4F729E3BD</vt:lpwstr>
  </property>
</Properties>
</file>