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before="120" w:after="120" w:line="480" w:lineRule="auto"/>
        <w:ind w:firstLine="0" w:firstLineChars="0"/>
        <w:jc w:val="center"/>
        <w:outlineLvl w:val="0"/>
        <w:rPr>
          <w:rFonts w:ascii="仿宋_GB2312" w:hAnsi="Arial"/>
          <w:b/>
          <w:sz w:val="44"/>
          <w:szCs w:val="44"/>
        </w:rPr>
      </w:pPr>
      <w:r>
        <w:rPr>
          <w:rFonts w:hint="eastAsia" w:ascii="仿宋_GB2312" w:hAnsi="Arial"/>
          <w:b/>
          <w:sz w:val="44"/>
          <w:szCs w:val="44"/>
        </w:rPr>
        <w:t>财政项目支出绩效自评报告</w:t>
      </w: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Times New Roman" w:hAnsi="Times New Roman" w:eastAsia="黑体" w:cs="Times New Roman"/>
          <w:b/>
          <w:kern w:val="0"/>
          <w:sz w:val="50"/>
          <w:szCs w:val="50"/>
        </w:rPr>
      </w:pPr>
    </w:p>
    <w:p>
      <w:pPr>
        <w:spacing w:line="480" w:lineRule="auto"/>
        <w:ind w:firstLine="0" w:firstLineChars="0"/>
        <w:jc w:val="center"/>
        <w:rPr>
          <w:rFonts w:ascii="仿宋_GB2312" w:hAnsi="Times New Roman" w:cs="Times New Roman"/>
          <w:kern w:val="0"/>
          <w:sz w:val="30"/>
          <w:szCs w:val="30"/>
        </w:rPr>
      </w:pPr>
    </w:p>
    <w:p>
      <w:pPr>
        <w:spacing w:line="480" w:lineRule="auto"/>
        <w:ind w:left="1680" w:firstLine="420" w:firstLineChars="0"/>
        <w:rPr>
          <w:rFonts w:ascii="仿宋_GB2312" w:hAnsi="Times New Roman" w:cs="Times New Roman"/>
          <w:kern w:val="0"/>
          <w:sz w:val="32"/>
          <w:szCs w:val="32"/>
        </w:rPr>
      </w:pPr>
      <w:r>
        <w:rPr>
          <w:rFonts w:hint="eastAsia" w:ascii="仿宋_GB2312" w:hAnsi="Times New Roman" w:cs="Times New Roman"/>
          <w:kern w:val="0"/>
          <w:sz w:val="32"/>
          <w:szCs w:val="32"/>
        </w:rPr>
        <w:t>项目名称：</w:t>
      </w:r>
      <w:r>
        <w:rPr>
          <w:rFonts w:ascii="仿宋_GB2312" w:hAnsi="Times New Roman" w:cs="Times New Roman"/>
          <w:kern w:val="0"/>
          <w:sz w:val="32"/>
          <w:szCs w:val="32"/>
        </w:rPr>
        <w:t xml:space="preserve"> </w:t>
      </w:r>
      <w:r>
        <w:rPr>
          <w:rFonts w:ascii="仿宋_GB2312" w:hAnsi="仿宋_GB2312" w:eastAsia="仿宋_GB2312" w:cs="仿宋_GB2312"/>
          <w:color w:val="auto"/>
          <w:sz w:val="32"/>
          <w:u w:val="none"/>
        </w:rPr>
        <w:t>文物安全保护经费</w:t>
      </w:r>
    </w:p>
    <w:p>
      <w:pPr>
        <w:spacing w:line="480" w:lineRule="auto"/>
        <w:ind w:left="1680" w:firstLine="420" w:firstLineChars="0"/>
        <w:rPr>
          <w:rFonts w:ascii="仿宋_GB2312" w:hAnsi="Times New Roman" w:cs="Times New Roman"/>
          <w:kern w:val="0"/>
          <w:sz w:val="32"/>
          <w:szCs w:val="32"/>
        </w:rPr>
      </w:pPr>
      <w:r>
        <w:rPr>
          <w:rFonts w:hint="eastAsia" w:ascii="仿宋_GB2312" w:hAnsi="Times New Roman" w:cs="Times New Roman"/>
          <w:kern w:val="0"/>
          <w:sz w:val="32"/>
          <w:szCs w:val="32"/>
        </w:rPr>
        <w:t>项目单位：</w:t>
      </w:r>
      <w:r>
        <w:rPr>
          <w:rFonts w:ascii="仿宋_GB2312" w:hAnsi="Times New Roman" w:cs="Times New Roman"/>
          <w:kern w:val="0"/>
          <w:sz w:val="32"/>
          <w:szCs w:val="32"/>
        </w:rPr>
        <w:t xml:space="preserve"> </w:t>
      </w:r>
      <w:r>
        <w:rPr>
          <w:rFonts w:ascii="仿宋_GB2312" w:hAnsi="仿宋_GB2312" w:eastAsia="仿宋_GB2312" w:cs="仿宋_GB2312"/>
          <w:color w:val="auto"/>
          <w:sz w:val="32"/>
          <w:u w:val="none"/>
        </w:rPr>
        <w:t>大宁县文化和旅游局</w:t>
      </w:r>
    </w:p>
    <w:p>
      <w:pPr>
        <w:spacing w:line="480" w:lineRule="auto"/>
        <w:ind w:left="1680" w:firstLine="420" w:firstLineChars="0"/>
        <w:rPr>
          <w:rFonts w:ascii="仿宋_GB2312" w:hAnsi="Times New Roman" w:cs="Times New Roman"/>
          <w:kern w:val="0"/>
          <w:sz w:val="32"/>
          <w:szCs w:val="32"/>
        </w:rPr>
      </w:pPr>
      <w:r>
        <w:rPr>
          <w:rFonts w:hint="eastAsia" w:ascii="仿宋_GB2312" w:hAnsi="Times New Roman" w:cs="Times New Roman"/>
          <w:kern w:val="0"/>
          <w:sz w:val="32"/>
          <w:szCs w:val="32"/>
        </w:rPr>
        <w:t>主管部门：</w:t>
      </w:r>
      <w:r>
        <w:rPr>
          <w:rFonts w:ascii="仿宋_GB2312" w:hAnsi="Times New Roman" w:cs="Times New Roman"/>
          <w:kern w:val="0"/>
          <w:sz w:val="32"/>
          <w:szCs w:val="32"/>
        </w:rPr>
        <w:t xml:space="preserve"> </w:t>
      </w:r>
      <w:r>
        <w:rPr>
          <w:rFonts w:ascii="仿宋_GB2312" w:hAnsi="仿宋_GB2312" w:eastAsia="仿宋_GB2312" w:cs="仿宋_GB2312"/>
          <w:color w:val="auto"/>
          <w:sz w:val="32"/>
          <w:u w:val="none"/>
        </w:rPr>
        <w:t>大宁县文化和旅游局-202001</w:t>
      </w:r>
    </w:p>
    <w:p>
      <w:pPr>
        <w:spacing w:line="480" w:lineRule="auto"/>
        <w:ind w:firstLine="0" w:firstLineChars="0"/>
        <w:rPr>
          <w:rFonts w:ascii="黑体" w:hAnsi="Times New Roman" w:eastAsia="黑体" w:cs="Times New Roman"/>
          <w:b/>
          <w:kern w:val="0"/>
          <w:sz w:val="32"/>
          <w:szCs w:val="32"/>
        </w:rPr>
      </w:pPr>
    </w:p>
    <w:p>
      <w:pPr>
        <w:spacing w:line="480" w:lineRule="auto"/>
        <w:ind w:firstLine="0" w:firstLineChars="0"/>
        <w:rPr>
          <w:rFonts w:ascii="黑体" w:hAnsi="Times New Roman" w:eastAsia="黑体" w:cs="Times New Roman"/>
          <w:b/>
          <w:kern w:val="0"/>
          <w:sz w:val="32"/>
          <w:szCs w:val="32"/>
        </w:rPr>
      </w:pPr>
    </w:p>
    <w:p>
      <w:pPr>
        <w:spacing w:line="480" w:lineRule="auto"/>
        <w:ind w:firstLine="0" w:firstLineChars="0"/>
        <w:jc w:val="center"/>
        <w:rPr>
          <w:rFonts w:ascii="仿宋_GB2312" w:hAnsi="Times New Roman" w:cs="Times New Roman"/>
          <w:kern w:val="0"/>
          <w:sz w:val="32"/>
          <w:szCs w:val="32"/>
        </w:rPr>
      </w:pPr>
      <w:r>
        <w:rPr>
          <w:rFonts w:ascii="仿宋_GB2312" w:hAnsi="Times New Roman" w:cs="Times New Roman"/>
          <w:kern w:val="0"/>
          <w:sz w:val="32"/>
          <w:szCs w:val="32"/>
        </w:rPr>
        <w:t>2022</w:t>
      </w:r>
      <w:r>
        <w:rPr>
          <w:rFonts w:hint="eastAsia" w:ascii="仿宋_GB2312" w:hAnsi="Times New Roman" w:cs="Times New Roman"/>
          <w:kern w:val="0"/>
          <w:sz w:val="32"/>
          <w:szCs w:val="32"/>
        </w:rPr>
        <w:t>年</w:t>
      </w:r>
      <w:r>
        <w:rPr>
          <w:rFonts w:ascii="仿宋_GB2312" w:hAnsi="Times New Roman" w:cs="Times New Roman"/>
          <w:kern w:val="0"/>
          <w:sz w:val="32"/>
          <w:szCs w:val="32"/>
        </w:rPr>
        <w:t>2</w:t>
      </w:r>
      <w:r>
        <w:rPr>
          <w:rFonts w:hint="eastAsia" w:ascii="仿宋_GB2312" w:hAnsi="Times New Roman" w:cs="Times New Roman"/>
          <w:kern w:val="0"/>
          <w:sz w:val="32"/>
          <w:szCs w:val="32"/>
        </w:rPr>
        <w:t>月</w:t>
      </w:r>
    </w:p>
    <w:p>
      <w:pPr>
        <w:tabs>
          <w:tab w:val="left" w:pos="620"/>
        </w:tabs>
        <w:ind w:firstLine="0" w:firstLineChars="0"/>
        <w:rPr>
          <w:rFonts w:ascii="Calibri" w:hAnsi="Calibri" w:eastAsia="仿宋_GB2312" w:cs="黑体"/>
          <w:kern w:val="2"/>
          <w:sz w:val="28"/>
          <w:szCs w:val="44"/>
          <w:lang w:val="en-US" w:eastAsia="zh-CN" w:bidi="ar-SA"/>
        </w:rPr>
      </w:pPr>
      <w:r>
        <w:rPr>
          <w:rFonts w:ascii="仿宋_GB2312" w:hAnsi="Times New Roman" w:cs="Times New Roman"/>
          <w:kern w:val="0"/>
          <w:sz w:val="32"/>
          <w:szCs w:val="32"/>
        </w:rPr>
        <w:br w:type="page"/>
      </w:r>
      <w:r>
        <w:rPr>
          <w:szCs w:val="44"/>
        </w:rPr>
        <w:fldChar w:fldCharType="begin"/>
      </w:r>
      <w:r>
        <w:rPr>
          <w:szCs w:val="44"/>
        </w:rPr>
        <w:instrText xml:space="preserve"> TOC \o "1-4" \f </w:instrText>
      </w:r>
      <w:r>
        <w:rPr>
          <w:szCs w:val="44"/>
        </w:rPr>
        <w:fldChar w:fldCharType="separate"/>
      </w:r>
    </w:p>
    <w:p>
      <w:pPr>
        <w:pStyle w:val="18"/>
        <w:tabs>
          <w:tab w:val="right" w:leader="dot" w:pos="8306"/>
        </w:tabs>
      </w:pPr>
      <w:r>
        <w:rPr>
          <w:rFonts w:hint="eastAsia" w:ascii="仿宋" w:hAnsi="仿宋" w:eastAsia="仿宋" w:cs="仿宋"/>
          <w:bCs w:val="0"/>
        </w:rPr>
        <w:t>一、项目的基本情况</w:t>
      </w:r>
      <w:r>
        <w:tab/>
      </w:r>
      <w:r>
        <w:fldChar w:fldCharType="begin"/>
      </w:r>
      <w:r>
        <w:instrText xml:space="preserve"> PAGEREF _Toc21966 </w:instrText>
      </w:r>
      <w:r>
        <w:fldChar w:fldCharType="separate"/>
      </w:r>
      <w:r>
        <w:t>1</w:t>
      </w:r>
      <w:r>
        <w:fldChar w:fldCharType="end"/>
      </w:r>
    </w:p>
    <w:p>
      <w:pPr>
        <w:pStyle w:val="21"/>
        <w:tabs>
          <w:tab w:val="right" w:leader="dot" w:pos="8306"/>
        </w:tabs>
      </w:pPr>
      <w:r>
        <w:rPr>
          <w:rFonts w:hint="eastAsia"/>
        </w:rPr>
        <w:t>（一）项目概况</w:t>
      </w:r>
      <w:r>
        <w:tab/>
      </w:r>
      <w:r>
        <w:fldChar w:fldCharType="begin"/>
      </w:r>
      <w:r>
        <w:instrText xml:space="preserve"> PAGEREF _Toc25706 </w:instrText>
      </w:r>
      <w:r>
        <w:fldChar w:fldCharType="separate"/>
      </w:r>
      <w:r>
        <w:t>1</w:t>
      </w:r>
      <w:r>
        <w:fldChar w:fldCharType="end"/>
      </w:r>
    </w:p>
    <w:p>
      <w:pPr>
        <w:pStyle w:val="21"/>
        <w:tabs>
          <w:tab w:val="right" w:leader="dot" w:pos="8306"/>
        </w:tabs>
      </w:pPr>
      <w:r>
        <w:rPr>
          <w:rFonts w:hint="eastAsia"/>
        </w:rPr>
        <w:t>（三）项目绩效目标</w:t>
      </w:r>
      <w:r>
        <w:tab/>
      </w:r>
      <w:r>
        <w:fldChar w:fldCharType="begin"/>
      </w:r>
      <w:r>
        <w:instrText xml:space="preserve"> PAGEREF _Toc16782 </w:instrText>
      </w:r>
      <w:r>
        <w:fldChar w:fldCharType="separate"/>
      </w:r>
      <w:r>
        <w:t>2</w:t>
      </w:r>
      <w:r>
        <w:fldChar w:fldCharType="end"/>
      </w:r>
    </w:p>
    <w:p>
      <w:pPr>
        <w:pStyle w:val="18"/>
        <w:tabs>
          <w:tab w:val="right" w:leader="dot" w:pos="8306"/>
        </w:tabs>
      </w:pPr>
      <w:r>
        <w:rPr>
          <w:rFonts w:hint="eastAsia" w:ascii="仿宋" w:hAnsi="仿宋" w:eastAsia="仿宋" w:cs="仿宋"/>
          <w:bCs w:val="0"/>
        </w:rPr>
        <w:t>二、项目绩效情况</w:t>
      </w:r>
      <w:r>
        <w:tab/>
      </w:r>
      <w:r>
        <w:fldChar w:fldCharType="begin"/>
      </w:r>
      <w:r>
        <w:instrText xml:space="preserve"> PAGEREF _Toc29803 </w:instrText>
      </w:r>
      <w:r>
        <w:fldChar w:fldCharType="separate"/>
      </w:r>
      <w:r>
        <w:t>3</w:t>
      </w:r>
      <w:r>
        <w:fldChar w:fldCharType="end"/>
      </w:r>
    </w:p>
    <w:p>
      <w:pPr>
        <w:pStyle w:val="21"/>
        <w:tabs>
          <w:tab w:val="right" w:leader="dot" w:pos="8306"/>
        </w:tabs>
      </w:pPr>
      <w:r>
        <w:rPr>
          <w:rFonts w:hint="eastAsia"/>
        </w:rPr>
        <w:t>（一）预算执行情况</w:t>
      </w:r>
      <w:r>
        <w:tab/>
      </w:r>
      <w:r>
        <w:fldChar w:fldCharType="begin"/>
      </w:r>
      <w:r>
        <w:instrText xml:space="preserve"> PAGEREF _Toc3431 </w:instrText>
      </w:r>
      <w:r>
        <w:fldChar w:fldCharType="separate"/>
      </w:r>
      <w:r>
        <w:t>3</w:t>
      </w:r>
      <w:r>
        <w:fldChar w:fldCharType="end"/>
      </w:r>
    </w:p>
    <w:p>
      <w:pPr>
        <w:pStyle w:val="21"/>
        <w:tabs>
          <w:tab w:val="right" w:leader="dot" w:pos="8306"/>
        </w:tabs>
      </w:pPr>
      <w:r>
        <w:rPr>
          <w:rFonts w:hint="eastAsia"/>
        </w:rPr>
        <w:t>（二）项目产出情况</w:t>
      </w:r>
      <w:r>
        <w:tab/>
      </w:r>
      <w:r>
        <w:fldChar w:fldCharType="begin"/>
      </w:r>
      <w:r>
        <w:instrText xml:space="preserve"> PAGEREF _Toc15465 </w:instrText>
      </w:r>
      <w:r>
        <w:fldChar w:fldCharType="separate"/>
      </w:r>
      <w:r>
        <w:t>4</w:t>
      </w:r>
      <w:r>
        <w:fldChar w:fldCharType="end"/>
      </w:r>
    </w:p>
    <w:p>
      <w:pPr>
        <w:pStyle w:val="21"/>
        <w:tabs>
          <w:tab w:val="right" w:leader="dot" w:pos="8306"/>
        </w:tabs>
      </w:pPr>
      <w:r>
        <w:rPr>
          <w:rFonts w:hint="eastAsia"/>
        </w:rPr>
        <w:t>（三）项目效益情况</w:t>
      </w:r>
      <w:r>
        <w:tab/>
      </w:r>
      <w:r>
        <w:fldChar w:fldCharType="begin"/>
      </w:r>
      <w:r>
        <w:instrText xml:space="preserve"> PAGEREF _Toc21876 </w:instrText>
      </w:r>
      <w:r>
        <w:fldChar w:fldCharType="separate"/>
      </w:r>
      <w:r>
        <w:t>4</w:t>
      </w:r>
      <w:r>
        <w:fldChar w:fldCharType="end"/>
      </w:r>
    </w:p>
    <w:p>
      <w:pPr>
        <w:pStyle w:val="21"/>
        <w:tabs>
          <w:tab w:val="right" w:leader="dot" w:pos="8306"/>
        </w:tabs>
      </w:pPr>
      <w:r>
        <w:rPr>
          <w:rFonts w:hint="eastAsia"/>
        </w:rPr>
        <w:t>（四）项目满意度情况</w:t>
      </w:r>
      <w:r>
        <w:tab/>
      </w:r>
      <w:r>
        <w:fldChar w:fldCharType="begin"/>
      </w:r>
      <w:r>
        <w:instrText xml:space="preserve"> PAGEREF _Toc7243 </w:instrText>
      </w:r>
      <w:r>
        <w:fldChar w:fldCharType="separate"/>
      </w:r>
      <w:r>
        <w:t>5</w:t>
      </w:r>
      <w:r>
        <w:fldChar w:fldCharType="end"/>
      </w:r>
    </w:p>
    <w:p>
      <w:pPr>
        <w:pStyle w:val="18"/>
        <w:tabs>
          <w:tab w:val="right" w:leader="dot" w:pos="8306"/>
        </w:tabs>
      </w:pPr>
      <w:r>
        <w:rPr>
          <w:rFonts w:hint="eastAsia" w:ascii="仿宋" w:hAnsi="仿宋" w:eastAsia="仿宋" w:cs="仿宋"/>
          <w:bCs w:val="0"/>
        </w:rPr>
        <w:t>三、项目绩效分析</w:t>
      </w:r>
      <w:r>
        <w:tab/>
      </w:r>
      <w:r>
        <w:fldChar w:fldCharType="begin"/>
      </w:r>
      <w:r>
        <w:instrText xml:space="preserve"> PAGEREF _Toc17748 </w:instrText>
      </w:r>
      <w:r>
        <w:fldChar w:fldCharType="separate"/>
      </w:r>
      <w:r>
        <w:t>5</w:t>
      </w:r>
      <w:r>
        <w:fldChar w:fldCharType="end"/>
      </w:r>
    </w:p>
    <w:p>
      <w:pPr>
        <w:pStyle w:val="18"/>
        <w:tabs>
          <w:tab w:val="right" w:leader="dot" w:pos="8306"/>
        </w:tabs>
      </w:pPr>
      <w:r>
        <w:rPr>
          <w:rFonts w:hint="eastAsia" w:ascii="仿宋" w:hAnsi="仿宋" w:eastAsia="仿宋" w:cs="仿宋"/>
          <w:bCs w:val="0"/>
        </w:rPr>
        <w:t>四、项目主要经验做法</w:t>
      </w:r>
      <w:r>
        <w:tab/>
      </w:r>
      <w:r>
        <w:fldChar w:fldCharType="begin"/>
      </w:r>
      <w:r>
        <w:instrText xml:space="preserve"> PAGEREF _Toc30527 </w:instrText>
      </w:r>
      <w:r>
        <w:fldChar w:fldCharType="separate"/>
      </w:r>
      <w:r>
        <w:t>6</w:t>
      </w:r>
      <w:r>
        <w:fldChar w:fldCharType="end"/>
      </w:r>
    </w:p>
    <w:p>
      <w:pPr>
        <w:pStyle w:val="18"/>
        <w:tabs>
          <w:tab w:val="right" w:leader="dot" w:pos="8306"/>
        </w:tabs>
      </w:pPr>
      <w:r>
        <w:rPr>
          <w:rFonts w:hint="eastAsia" w:ascii="仿宋" w:hAnsi="仿宋" w:eastAsia="仿宋" w:cs="仿宋"/>
          <w:bCs w:val="0"/>
        </w:rPr>
        <w:t>五、项目管理中存在问题及原因分析</w:t>
      </w:r>
      <w:r>
        <w:tab/>
      </w:r>
      <w:r>
        <w:fldChar w:fldCharType="begin"/>
      </w:r>
      <w:r>
        <w:instrText xml:space="preserve"> PAGEREF _Toc10584 </w:instrText>
      </w:r>
      <w:r>
        <w:fldChar w:fldCharType="separate"/>
      </w:r>
      <w:r>
        <w:t>6</w:t>
      </w:r>
      <w:r>
        <w:fldChar w:fldCharType="end"/>
      </w:r>
    </w:p>
    <w:p>
      <w:pPr>
        <w:pStyle w:val="18"/>
        <w:tabs>
          <w:tab w:val="right" w:leader="dot" w:pos="8306"/>
        </w:tabs>
      </w:pPr>
      <w:r>
        <w:rPr>
          <w:rFonts w:hint="eastAsia" w:ascii="仿宋" w:hAnsi="仿宋" w:eastAsia="仿宋" w:cs="仿宋"/>
          <w:bCs w:val="0"/>
        </w:rPr>
        <w:t>六、进一步加强项目管理措施及建议</w:t>
      </w:r>
      <w:r>
        <w:tab/>
      </w:r>
      <w:r>
        <w:fldChar w:fldCharType="begin"/>
      </w:r>
      <w:r>
        <w:instrText xml:space="preserve"> PAGEREF _Toc3756 </w:instrText>
      </w:r>
      <w:r>
        <w:fldChar w:fldCharType="separate"/>
      </w:r>
      <w:r>
        <w:t>6</w:t>
      </w:r>
      <w:r>
        <w:fldChar w:fldCharType="end"/>
      </w:r>
    </w:p>
    <w:p>
      <w:pPr>
        <w:pStyle w:val="21"/>
        <w:tabs>
          <w:tab w:val="right" w:leader="dot" w:pos="8306"/>
        </w:tabs>
      </w:pPr>
      <w:r>
        <w:rPr>
          <w:rFonts w:hint="eastAsia"/>
        </w:rPr>
        <w:t>（一）预算安排和执行方面</w:t>
      </w:r>
      <w:r>
        <w:tab/>
      </w:r>
      <w:r>
        <w:fldChar w:fldCharType="begin"/>
      </w:r>
      <w:r>
        <w:instrText xml:space="preserve"> PAGEREF _Toc12870 </w:instrText>
      </w:r>
      <w:r>
        <w:fldChar w:fldCharType="separate"/>
      </w:r>
      <w:r>
        <w:t>6</w:t>
      </w:r>
      <w:r>
        <w:fldChar w:fldCharType="end"/>
      </w:r>
    </w:p>
    <w:p>
      <w:pPr>
        <w:pStyle w:val="21"/>
        <w:tabs>
          <w:tab w:val="right" w:leader="dot" w:pos="8306"/>
        </w:tabs>
      </w:pPr>
      <w:r>
        <w:rPr>
          <w:rFonts w:hint="eastAsia"/>
        </w:rPr>
        <w:t>（</w:t>
      </w:r>
      <w:r>
        <w:rPr>
          <w:rFonts w:hint="eastAsia"/>
          <w:lang w:eastAsia="zh-CN"/>
        </w:rPr>
        <w:t>二</w:t>
      </w:r>
      <w:r>
        <w:rPr>
          <w:rFonts w:hint="eastAsia"/>
        </w:rPr>
        <w:t>） 项目管理方面</w:t>
      </w:r>
      <w:r>
        <w:tab/>
      </w:r>
      <w:r>
        <w:fldChar w:fldCharType="begin"/>
      </w:r>
      <w:r>
        <w:instrText xml:space="preserve"> PAGEREF _Toc14701 </w:instrText>
      </w:r>
      <w:r>
        <w:fldChar w:fldCharType="separate"/>
      </w:r>
      <w:r>
        <w:t>7</w:t>
      </w:r>
      <w:r>
        <w:fldChar w:fldCharType="end"/>
      </w:r>
    </w:p>
    <w:p>
      <w:pPr>
        <w:pStyle w:val="21"/>
        <w:tabs>
          <w:tab w:val="right" w:leader="dot" w:pos="8306"/>
        </w:tabs>
      </w:pPr>
      <w:r>
        <w:rPr>
          <w:rFonts w:hint="eastAsia"/>
        </w:rPr>
        <w:t>（</w:t>
      </w:r>
      <w:r>
        <w:rPr>
          <w:rFonts w:hint="eastAsia"/>
          <w:lang w:eastAsia="zh-CN"/>
        </w:rPr>
        <w:t>三</w:t>
      </w:r>
      <w:r>
        <w:rPr>
          <w:rFonts w:hint="eastAsia"/>
        </w:rPr>
        <w:t>）资金管理方面</w:t>
      </w:r>
      <w:r>
        <w:tab/>
      </w:r>
      <w:r>
        <w:fldChar w:fldCharType="begin"/>
      </w:r>
      <w:r>
        <w:instrText xml:space="preserve"> PAGEREF _Toc18438 </w:instrText>
      </w:r>
      <w:r>
        <w:fldChar w:fldCharType="separate"/>
      </w:r>
      <w:r>
        <w:t>7</w:t>
      </w:r>
      <w:r>
        <w:fldChar w:fldCharType="end"/>
      </w:r>
    </w:p>
    <w:p>
      <w:pPr>
        <w:pStyle w:val="18"/>
        <w:tabs>
          <w:tab w:val="right" w:leader="dot" w:pos="8306"/>
        </w:tabs>
      </w:pPr>
      <w:r>
        <w:rPr>
          <w:rFonts w:hint="eastAsia" w:ascii="仿宋" w:hAnsi="仿宋" w:eastAsia="仿宋" w:cs="仿宋"/>
          <w:bCs w:val="0"/>
        </w:rPr>
        <w:t>附件</w:t>
      </w:r>
      <w:r>
        <w:rPr>
          <w:rFonts w:ascii="仿宋" w:hAnsi="仿宋" w:eastAsia="仿宋" w:cs="仿宋"/>
          <w:bCs w:val="0"/>
        </w:rPr>
        <w:t>1.</w:t>
      </w:r>
      <w:r>
        <w:rPr>
          <w:rFonts w:hint="eastAsia" w:ascii="仿宋" w:hAnsi="仿宋" w:eastAsia="仿宋" w:cs="仿宋"/>
          <w:bCs w:val="0"/>
        </w:rPr>
        <w:t>项目支出绩效自评表</w:t>
      </w:r>
      <w:r>
        <w:tab/>
      </w:r>
      <w:r>
        <w:fldChar w:fldCharType="begin"/>
      </w:r>
      <w:r>
        <w:instrText xml:space="preserve"> PAGEREF _Toc574 </w:instrText>
      </w:r>
      <w:r>
        <w:fldChar w:fldCharType="separate"/>
      </w:r>
      <w:r>
        <w:t>1</w:t>
      </w:r>
      <w:r>
        <w:fldChar w:fldCharType="end"/>
      </w:r>
    </w:p>
    <w:p>
      <w:pPr>
        <w:pStyle w:val="18"/>
        <w:tabs>
          <w:tab w:val="right" w:leader="dot" w:pos="8296"/>
        </w:tabs>
        <w:ind w:firstLine="275" w:firstLineChars="137"/>
        <w:rPr>
          <w:szCs w:val="44"/>
        </w:rPr>
      </w:pPr>
      <w:r>
        <w:rPr>
          <w:szCs w:val="44"/>
        </w:rPr>
        <w:fldChar w:fldCharType="end"/>
      </w:r>
      <w:r>
        <w:rPr>
          <w:szCs w:val="44"/>
        </w:rPr>
        <w:tab/>
      </w:r>
    </w:p>
    <w:p>
      <w:pPr>
        <w:ind w:firstLine="560"/>
        <w:rPr>
          <w:szCs w:val="44"/>
        </w:rPr>
      </w:pPr>
    </w:p>
    <w:p>
      <w:pPr>
        <w:ind w:firstLine="560"/>
        <w:rPr>
          <w:szCs w:val="44"/>
        </w:rPr>
      </w:pPr>
    </w:p>
    <w:p>
      <w:pPr>
        <w:ind w:firstLine="560"/>
        <w:rPr>
          <w:szCs w:val="44"/>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p>
    <w:p>
      <w:pPr>
        <w:pStyle w:val="52"/>
        <w:rPr>
          <w:rFonts w:ascii="仿宋" w:hAnsi="仿宋" w:eastAsia="仿宋" w:cs="仿宋"/>
          <w:b/>
          <w:bCs w:val="0"/>
        </w:rPr>
      </w:pPr>
      <w:bookmarkStart w:id="0" w:name="_Toc21966"/>
      <w:r>
        <w:rPr>
          <w:rFonts w:hint="eastAsia" w:ascii="仿宋" w:hAnsi="仿宋" w:eastAsia="仿宋" w:cs="仿宋"/>
          <w:b/>
          <w:bCs w:val="0"/>
        </w:rPr>
        <w:t>一、项目的基本情况</w:t>
      </w:r>
      <w:bookmarkEnd w:id="0"/>
    </w:p>
    <w:p>
      <w:pPr>
        <w:pStyle w:val="46"/>
        <w:ind w:left="560"/>
      </w:pPr>
      <w:bookmarkStart w:id="1" w:name="_Toc25706"/>
      <w:r>
        <w:rPr>
          <w:rFonts w:hint="eastAsia"/>
        </w:rPr>
        <w:t>（一）项目概况</w:t>
      </w:r>
      <w:bookmarkEnd w:id="1"/>
    </w:p>
    <w:p>
      <w:pPr>
        <w:pStyle w:val="44"/>
        <w:ind w:left="280" w:firstLine="562"/>
      </w:pPr>
      <w:r>
        <w:rPr>
          <w:rFonts w:hint="eastAsia"/>
          <w:b/>
          <w:bCs/>
        </w:rPr>
        <w:t>项目概况：</w:t>
      </w:r>
      <w:r>
        <w:t>加强对基层和农村地区文物安全工作的组织领导，建立文物安全末端守护机制，在文物保护管理机构设置、人员配备和物防、技防设施建设等方面提供有力保障，并对文物保护人员和管理人员进行文物保护安全防范知识和业务技能培训，确保文物工作的正常运转并为文物事业发展打下基础。</w:t>
      </w:r>
    </w:p>
    <w:p>
      <w:pPr>
        <w:pStyle w:val="44"/>
        <w:ind w:left="280" w:firstLine="562"/>
      </w:pPr>
      <w:r>
        <w:rPr>
          <w:rFonts w:hint="eastAsia"/>
          <w:b/>
          <w:bCs/>
        </w:rPr>
        <w:t>立项依据：</w:t>
      </w:r>
      <w:r>
        <w:t>晋政办发【2019】9号关于切实加强全省文物安全防范工作的实施意见</w:t>
      </w:r>
    </w:p>
    <w:p>
      <w:pPr>
        <w:pStyle w:val="44"/>
        <w:ind w:left="280" w:firstLine="562"/>
        <w:rPr>
          <w:rFonts w:hint="eastAsia" w:eastAsia="仿宋_GB2312"/>
          <w:b w:val="0"/>
          <w:bCs w:val="0"/>
          <w:lang w:eastAsia="zh-CN"/>
        </w:rPr>
      </w:pPr>
      <w:r>
        <w:rPr>
          <w:rFonts w:hint="eastAsia"/>
          <w:b/>
          <w:bCs/>
        </w:rPr>
        <w:t>设立的必要性：</w:t>
      </w:r>
      <w:r>
        <w:rPr>
          <w:rFonts w:hint="eastAsia"/>
          <w:b w:val="0"/>
          <w:bCs w:val="0"/>
          <w:lang w:eastAsia="zh-CN"/>
        </w:rPr>
        <w:t>确保文物安全，保障文物工作的正常运转。</w:t>
      </w:r>
    </w:p>
    <w:p>
      <w:pPr>
        <w:pStyle w:val="44"/>
        <w:ind w:left="280" w:firstLine="562"/>
      </w:pPr>
      <w:r>
        <w:rPr>
          <w:rFonts w:hint="eastAsia"/>
          <w:b/>
          <w:bCs/>
        </w:rPr>
        <w:t>保证项目实施的措施与制度：</w:t>
      </w:r>
      <w:r>
        <w:t>（一）规范管理的原则。基本支出执行县级财政确定的定额标准，优先用于保障各单位正常运转需要；项目支出按照批复的预算和有关制度规定执行。 （二）绩效管理的原则。各单位对预算安排特定用途项目的专项资金，应当按批准的项目和用途使用，专款专用， 不得自行改变项目内容或扩大使用范围， 若需调整， 应按规定程序报批。 （三）先审后付的原则。财务室依照国家有关财务会计制度，对核算单位经费支出原始凭证的真实性、完整性、合法性进行审核，并核对核算单位负责人或授权人预留签名，审核无误后办理结算。对记载不准确、手续不完整的支出凭证，有权要求更正、补充；对不合法、不真实的凭证不予受理。 各单位负责人要切实履行好法定职责，自觉遵守相关财经制度，严格经费支出审批，支持财会人员依法履行职责。 核算单位应自觉接受上级主管部门，财政、审计、监察等有关部门的监督检查，并按照要求如实提供有关资料。</w:t>
      </w:r>
    </w:p>
    <w:p>
      <w:pPr>
        <w:pStyle w:val="44"/>
        <w:ind w:left="280" w:firstLine="562"/>
      </w:pPr>
      <w:r>
        <w:rPr>
          <w:rFonts w:hint="eastAsia"/>
          <w:b/>
          <w:bCs/>
        </w:rPr>
        <w:t>项目实施计划：</w:t>
      </w:r>
      <w:r>
        <w:t>全年对文物进行定期排查，解决隐患，雇佣专门看守不可以定文物的管理人员，并对文物保护人员和管理人员进行文物保护安全防范知识和业务技能培训，确保不可移动文物的安全，减少破坏，利用各种平台广泛宣传文物保护法律法规，展示打击文物违法犯罪专项行动战果，提高全民文物保护意识。</w:t>
      </w:r>
    </w:p>
    <w:p>
      <w:pPr>
        <w:widowControl/>
        <w:ind w:firstLine="560" w:firstLineChars="200"/>
        <w:jc w:val="left"/>
      </w:pPr>
      <w:r>
        <w:rPr>
          <w:rFonts w:hint="eastAsia"/>
        </w:rPr>
        <w:t>（二）预算执行情况</w:t>
      </w:r>
    </w:p>
    <w:p>
      <w:pPr>
        <w:ind w:firstLine="0" w:firstLineChars="0"/>
        <w:jc w:val="left"/>
        <w:rPr>
          <w:b/>
          <w:szCs w:val="28"/>
        </w:rPr>
      </w:pPr>
    </w:p>
    <w:tbl>
      <w:tblPr>
        <w:tblStyle w:val="24"/>
        <w:tblW w:w="13972" w:type="dxa"/>
        <w:tblInd w:w="172" w:type="dxa"/>
        <w:tblLayout w:type="fixed"/>
        <w:tblCellMar>
          <w:top w:w="0" w:type="dxa"/>
          <w:left w:w="30" w:type="dxa"/>
          <w:bottom w:w="0" w:type="dxa"/>
          <w:right w:w="30" w:type="dxa"/>
        </w:tblCellMar>
      </w:tblPr>
      <w:tblGrid>
        <w:gridCol w:w="1559"/>
        <w:gridCol w:w="1276"/>
        <w:gridCol w:w="1356"/>
        <w:gridCol w:w="1337"/>
        <w:gridCol w:w="851"/>
        <w:gridCol w:w="850"/>
        <w:gridCol w:w="851"/>
        <w:gridCol w:w="930"/>
        <w:gridCol w:w="2410"/>
        <w:gridCol w:w="2552"/>
      </w:tblGrid>
      <w:tr>
        <w:tblPrEx>
          <w:tblCellMar>
            <w:top w:w="0" w:type="dxa"/>
            <w:left w:w="30" w:type="dxa"/>
            <w:bottom w:w="0" w:type="dxa"/>
            <w:right w:w="30" w:type="dxa"/>
          </w:tblCellMar>
        </w:tblPrEx>
        <w:trPr>
          <w:trHeight w:val="359" w:hRule="atLeast"/>
        </w:trPr>
        <w:tc>
          <w:tcPr>
            <w:tcW w:w="1559" w:type="dxa"/>
            <w:vMerge w:val="restart"/>
            <w:tcBorders>
              <w:top w:val="single" w:color="auto" w:sz="4" w:space="0"/>
              <w:left w:val="single" w:color="auto" w:sz="4" w:space="0"/>
              <w:bottom w:val="single" w:color="auto" w:sz="4"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ascii="仿宋_GB2312"/>
                <w:b/>
                <w:bCs/>
                <w:kern w:val="0"/>
                <w:sz w:val="24"/>
                <w:szCs w:val="24"/>
              </w:rPr>
              <w:t>项目</w:t>
            </w:r>
          </w:p>
        </w:tc>
        <w:tc>
          <w:tcPr>
            <w:tcW w:w="1276" w:type="dxa"/>
            <w:vMerge w:val="restart"/>
            <w:tcBorders>
              <w:top w:val="single" w:color="auto" w:sz="4" w:space="0"/>
              <w:left w:val="single" w:color="auto" w:sz="4" w:space="0"/>
              <w:bottom w:val="single" w:color="auto" w:sz="4"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行次</w:t>
            </w:r>
          </w:p>
        </w:tc>
        <w:tc>
          <w:tcPr>
            <w:tcW w:w="1356" w:type="dxa"/>
            <w:vMerge w:val="restart"/>
            <w:tcBorders>
              <w:top w:val="single" w:color="000000" w:sz="6" w:space="0"/>
              <w:left w:val="single" w:color="auto" w:sz="4" w:space="0"/>
              <w:right w:val="single" w:color="auto" w:sz="4" w:space="0"/>
            </w:tcBorders>
            <w:shd w:val="clear" w:color="auto" w:fill="95B3D7"/>
            <w:vAlign w:val="center"/>
          </w:tcPr>
          <w:p>
            <w:pPr>
              <w:ind w:firstLine="0" w:firstLineChars="0"/>
              <w:jc w:val="center"/>
              <w:rPr>
                <w:rFonts w:ascii="仿宋_GB2312"/>
                <w:b/>
                <w:bCs/>
                <w:kern w:val="0"/>
                <w:sz w:val="24"/>
                <w:szCs w:val="24"/>
              </w:rPr>
            </w:pPr>
            <w:r>
              <w:rPr>
                <w:rFonts w:hint="eastAsia" w:ascii="仿宋_GB2312"/>
                <w:b/>
                <w:bCs/>
                <w:kern w:val="0"/>
                <w:sz w:val="24"/>
                <w:szCs w:val="24"/>
              </w:rPr>
              <w:t>年度总金额</w:t>
            </w:r>
            <w:r>
              <w:rPr>
                <w:rFonts w:ascii="仿宋_GB2312"/>
                <w:b/>
                <w:bCs/>
                <w:kern w:val="0"/>
                <w:sz w:val="24"/>
                <w:szCs w:val="24"/>
              </w:rPr>
              <w:t>(</w:t>
            </w:r>
            <w:r>
              <w:rPr>
                <w:rFonts w:hint="eastAsia" w:ascii="仿宋_GB2312"/>
                <w:b/>
                <w:bCs/>
                <w:kern w:val="0"/>
                <w:sz w:val="24"/>
                <w:szCs w:val="24"/>
              </w:rPr>
              <w:t>万元</w:t>
            </w:r>
            <w:r>
              <w:rPr>
                <w:rFonts w:ascii="仿宋_GB2312"/>
                <w:b/>
                <w:bCs/>
                <w:kern w:val="0"/>
                <w:sz w:val="24"/>
                <w:szCs w:val="24"/>
              </w:rPr>
              <w:t>)</w:t>
            </w:r>
          </w:p>
        </w:tc>
        <w:tc>
          <w:tcPr>
            <w:tcW w:w="4819" w:type="dxa"/>
            <w:gridSpan w:val="5"/>
            <w:tcBorders>
              <w:top w:val="single" w:color="000000" w:sz="6" w:space="0"/>
              <w:left w:val="single" w:color="auto" w:sz="4" w:space="0"/>
              <w:bottom w:val="single" w:color="000000" w:sz="6"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财政资金</w:t>
            </w:r>
          </w:p>
        </w:tc>
        <w:tc>
          <w:tcPr>
            <w:tcW w:w="2410" w:type="dxa"/>
            <w:vMerge w:val="restart"/>
            <w:tcBorders>
              <w:top w:val="single" w:color="000000" w:sz="6" w:space="0"/>
              <w:left w:val="single" w:color="auto" w:sz="4" w:space="0"/>
              <w:right w:val="single" w:color="auto" w:sz="4" w:space="0"/>
            </w:tcBorders>
            <w:shd w:val="clear" w:color="auto" w:fill="95B3D7"/>
            <w:vAlign w:val="center"/>
          </w:tcPr>
          <w:p>
            <w:pPr>
              <w:ind w:firstLine="0" w:firstLineChars="0"/>
              <w:jc w:val="center"/>
              <w:rPr>
                <w:rFonts w:ascii="仿宋_GB2312"/>
                <w:b/>
                <w:bCs/>
                <w:kern w:val="0"/>
                <w:sz w:val="24"/>
                <w:szCs w:val="24"/>
              </w:rPr>
            </w:pPr>
            <w:r>
              <w:rPr>
                <w:rFonts w:hint="eastAsia"/>
                <w:b/>
                <w:bCs/>
                <w:kern w:val="0"/>
                <w:sz w:val="21"/>
                <w:szCs w:val="21"/>
              </w:rPr>
              <w:t>上年结转资金</w:t>
            </w:r>
            <w:r>
              <w:rPr>
                <w:b/>
                <w:bCs/>
                <w:kern w:val="0"/>
                <w:sz w:val="21"/>
                <w:szCs w:val="21"/>
              </w:rPr>
              <w:t>(</w:t>
            </w:r>
            <w:r>
              <w:rPr>
                <w:rFonts w:hint="eastAsia"/>
                <w:b/>
                <w:bCs/>
                <w:kern w:val="0"/>
                <w:sz w:val="21"/>
                <w:szCs w:val="21"/>
              </w:rPr>
              <w:t>万元</w:t>
            </w:r>
            <w:r>
              <w:rPr>
                <w:b/>
                <w:bCs/>
                <w:kern w:val="0"/>
                <w:sz w:val="21"/>
                <w:szCs w:val="21"/>
              </w:rPr>
              <w:t>)</w:t>
            </w:r>
          </w:p>
        </w:tc>
        <w:tc>
          <w:tcPr>
            <w:tcW w:w="2552" w:type="dxa"/>
            <w:vMerge w:val="restart"/>
            <w:tcBorders>
              <w:top w:val="single" w:color="000000" w:sz="6" w:space="0"/>
              <w:left w:val="single" w:color="auto" w:sz="4" w:space="0"/>
              <w:right w:val="single" w:color="auto" w:sz="4" w:space="0"/>
            </w:tcBorders>
            <w:shd w:val="clear" w:color="auto" w:fill="95B3D7"/>
            <w:vAlign w:val="center"/>
          </w:tcPr>
          <w:p>
            <w:pPr>
              <w:ind w:firstLine="0" w:firstLineChars="0"/>
              <w:jc w:val="center"/>
              <w:rPr>
                <w:rFonts w:ascii="仿宋_GB2312"/>
                <w:b/>
                <w:bCs/>
                <w:kern w:val="0"/>
                <w:sz w:val="24"/>
                <w:szCs w:val="24"/>
              </w:rPr>
            </w:pPr>
            <w:r>
              <w:rPr>
                <w:rFonts w:hint="eastAsia"/>
                <w:b/>
                <w:bCs/>
                <w:kern w:val="0"/>
                <w:sz w:val="21"/>
                <w:szCs w:val="21"/>
              </w:rPr>
              <w:t>其他资金</w:t>
            </w:r>
            <w:r>
              <w:rPr>
                <w:b/>
                <w:bCs/>
                <w:kern w:val="0"/>
                <w:sz w:val="21"/>
                <w:szCs w:val="21"/>
              </w:rPr>
              <w:t>(</w:t>
            </w:r>
            <w:r>
              <w:rPr>
                <w:rFonts w:hint="eastAsia"/>
                <w:b/>
                <w:bCs/>
                <w:kern w:val="0"/>
                <w:sz w:val="21"/>
                <w:szCs w:val="21"/>
              </w:rPr>
              <w:t>万元</w:t>
            </w:r>
            <w:r>
              <w:rPr>
                <w:b/>
                <w:bCs/>
                <w:kern w:val="0"/>
                <w:sz w:val="21"/>
                <w:szCs w:val="21"/>
              </w:rPr>
              <w:t>)</w:t>
            </w:r>
          </w:p>
        </w:tc>
      </w:tr>
      <w:tr>
        <w:tblPrEx>
          <w:tblCellMar>
            <w:top w:w="0" w:type="dxa"/>
            <w:left w:w="30" w:type="dxa"/>
            <w:bottom w:w="0" w:type="dxa"/>
            <w:right w:w="30" w:type="dxa"/>
          </w:tblCellMar>
        </w:tblPrEx>
        <w:trPr>
          <w:trHeight w:val="267" w:hRule="atLeast"/>
        </w:trPr>
        <w:tc>
          <w:tcPr>
            <w:tcW w:w="1559" w:type="dxa"/>
            <w:vMerge w:val="continue"/>
            <w:tcBorders>
              <w:top w:val="single" w:color="auto" w:sz="4" w:space="0"/>
              <w:left w:val="single" w:color="auto" w:sz="4" w:space="0"/>
              <w:bottom w:val="single" w:color="auto" w:sz="4" w:space="0"/>
              <w:right w:val="single" w:color="auto" w:sz="4" w:space="0"/>
            </w:tcBorders>
            <w:shd w:val="solid" w:color="FFFFFF" w:fill="auto"/>
            <w:vAlign w:val="center"/>
          </w:tcPr>
          <w:p>
            <w:pPr>
              <w:widowControl/>
              <w:ind w:firstLine="0" w:firstLineChars="0"/>
              <w:jc w:val="center"/>
              <w:rPr>
                <w:rFonts w:ascii="仿宋_GB2312"/>
                <w:b/>
                <w:bCs/>
                <w:kern w:val="0"/>
                <w:sz w:val="24"/>
                <w:szCs w:val="24"/>
              </w:rPr>
            </w:pPr>
          </w:p>
        </w:tc>
        <w:tc>
          <w:tcPr>
            <w:tcW w:w="1276" w:type="dxa"/>
            <w:vMerge w:val="continue"/>
            <w:tcBorders>
              <w:top w:val="single" w:color="auto" w:sz="4" w:space="0"/>
              <w:left w:val="single" w:color="auto" w:sz="4" w:space="0"/>
              <w:bottom w:val="single" w:color="auto" w:sz="4"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c>
          <w:tcPr>
            <w:tcW w:w="1356" w:type="dxa"/>
            <w:vMerge w:val="continue"/>
            <w:tcBorders>
              <w:left w:val="single" w:color="auto" w:sz="4" w:space="0"/>
              <w:bottom w:val="single" w:color="000000" w:sz="6"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c>
          <w:tcPr>
            <w:tcW w:w="1337" w:type="dxa"/>
            <w:tcBorders>
              <w:top w:val="single" w:color="000000" w:sz="6" w:space="0"/>
              <w:left w:val="single" w:color="auto" w:sz="4" w:space="0"/>
              <w:bottom w:val="single" w:color="000000" w:sz="6"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小计</w:t>
            </w:r>
          </w:p>
        </w:tc>
        <w:tc>
          <w:tcPr>
            <w:tcW w:w="851" w:type="dxa"/>
            <w:tcBorders>
              <w:top w:val="single" w:color="000000" w:sz="6" w:space="0"/>
              <w:left w:val="single" w:color="000000" w:sz="6" w:space="0"/>
              <w:bottom w:val="single" w:color="auto" w:sz="4"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中央级</w:t>
            </w:r>
          </w:p>
        </w:tc>
        <w:tc>
          <w:tcPr>
            <w:tcW w:w="850" w:type="dxa"/>
            <w:tcBorders>
              <w:top w:val="single" w:color="000000" w:sz="6" w:space="0"/>
              <w:left w:val="single" w:color="000000" w:sz="6" w:space="0"/>
              <w:bottom w:val="single" w:color="000000" w:sz="6"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省级</w:t>
            </w:r>
          </w:p>
        </w:tc>
        <w:tc>
          <w:tcPr>
            <w:tcW w:w="851" w:type="dxa"/>
            <w:tcBorders>
              <w:top w:val="single" w:color="000000" w:sz="6" w:space="0"/>
              <w:left w:val="single" w:color="000000" w:sz="6" w:space="0"/>
              <w:bottom w:val="single" w:color="000000" w:sz="6" w:space="0"/>
              <w:right w:val="single" w:color="000000" w:sz="6"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市级</w:t>
            </w:r>
          </w:p>
        </w:tc>
        <w:tc>
          <w:tcPr>
            <w:tcW w:w="930" w:type="dxa"/>
            <w:tcBorders>
              <w:top w:val="single" w:color="000000" w:sz="6" w:space="0"/>
              <w:left w:val="single" w:color="000000" w:sz="6" w:space="0"/>
              <w:bottom w:val="single" w:color="000000" w:sz="6" w:space="0"/>
              <w:right w:val="single" w:color="auto" w:sz="4" w:space="0"/>
            </w:tcBorders>
            <w:shd w:val="clear" w:color="auto" w:fill="95B3D7"/>
            <w:vAlign w:val="center"/>
          </w:tcPr>
          <w:p>
            <w:pPr>
              <w:widowControl/>
              <w:ind w:firstLine="0" w:firstLineChars="0"/>
              <w:jc w:val="center"/>
              <w:rPr>
                <w:rFonts w:ascii="仿宋_GB2312"/>
                <w:b/>
                <w:bCs/>
                <w:kern w:val="0"/>
                <w:sz w:val="24"/>
                <w:szCs w:val="24"/>
              </w:rPr>
            </w:pPr>
            <w:r>
              <w:rPr>
                <w:rFonts w:hint="eastAsia"/>
                <w:b/>
                <w:bCs/>
                <w:kern w:val="0"/>
                <w:sz w:val="21"/>
                <w:szCs w:val="21"/>
              </w:rPr>
              <w:t>县区级</w:t>
            </w:r>
          </w:p>
        </w:tc>
        <w:tc>
          <w:tcPr>
            <w:tcW w:w="2410" w:type="dxa"/>
            <w:vMerge w:val="continue"/>
            <w:tcBorders>
              <w:left w:val="single" w:color="auto" w:sz="4" w:space="0"/>
              <w:bottom w:val="single" w:color="000000" w:sz="6"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c>
          <w:tcPr>
            <w:tcW w:w="2552" w:type="dxa"/>
            <w:vMerge w:val="continue"/>
            <w:tcBorders>
              <w:left w:val="single" w:color="auto" w:sz="4" w:space="0"/>
              <w:bottom w:val="single" w:color="000000" w:sz="6" w:space="0"/>
              <w:right w:val="single" w:color="auto" w:sz="4" w:space="0"/>
            </w:tcBorders>
            <w:shd w:val="clear" w:color="auto" w:fill="95B3D7"/>
            <w:vAlign w:val="center"/>
          </w:tcPr>
          <w:p>
            <w:pPr>
              <w:widowControl/>
              <w:ind w:firstLine="0" w:firstLineChars="0"/>
              <w:jc w:val="right"/>
              <w:rPr>
                <w:rFonts w:ascii="仿宋_GB2312"/>
                <w:b/>
                <w:bCs/>
                <w:kern w:val="0"/>
                <w:sz w:val="24"/>
                <w:szCs w:val="24"/>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全年执行资金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(4)</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19.6</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19.6</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19.6</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资金结余</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(5)=(3)-(4)</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0.4</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0.4</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0.4</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年初预算资金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(1)</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20</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20</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全年预算资金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(2)</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20</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20</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实际到位资金</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(3)</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20</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20</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预算到位率</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(6)=(3)/(2)</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100</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100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100</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r>
      <w:tr>
        <w:tblPrEx>
          <w:tblCellMar>
            <w:top w:w="0" w:type="dxa"/>
            <w:left w:w="30" w:type="dxa"/>
            <w:bottom w:w="0" w:type="dxa"/>
            <w:right w:w="30" w:type="dxa"/>
          </w:tblCellMar>
        </w:tblPrEx>
        <w:trPr>
          <w:trHeight w:val="466" w:hRule="atLeast"/>
        </w:trPr>
        <w:tc>
          <w:tcPr>
            <w:tcW w:w="1559"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预算执行率(%)</w:t>
            </w:r>
          </w:p>
        </w:tc>
        <w:tc>
          <w:tcPr>
            <w:tcW w:w="1276" w:type="dxa"/>
            <w:tcBorders>
              <w:top w:val="single" w:color="auto" w:sz="4" w:space="0"/>
              <w:left w:val="single" w:color="auto" w:sz="4" w:space="0"/>
              <w:bottom w:val="single" w:color="auto" w:sz="4" w:space="0"/>
              <w:right w:val="single" w:color="auto" w:sz="4" w:space="0"/>
            </w:tcBorders>
          </w:tcPr>
          <w:p>
            <w:pPr>
              <w:ind w:firstLine="0" w:firstLineChars="0"/>
              <w:jc w:val="center"/>
              <w:rPr>
                <w:sz w:val="21"/>
              </w:rPr>
            </w:pPr>
            <w:r>
              <w:rPr>
                <w:sz w:val="21"/>
              </w:rPr>
              <w:t>(7)=(4)/(2)</w:t>
            </w:r>
          </w:p>
        </w:tc>
        <w:tc>
          <w:tcPr>
            <w:tcW w:w="1356" w:type="dxa"/>
            <w:tcBorders>
              <w:top w:val="single" w:color="000000" w:sz="6" w:space="0"/>
              <w:left w:val="single" w:color="auto" w:sz="4" w:space="0"/>
              <w:bottom w:val="single" w:color="000000" w:sz="6" w:space="0"/>
              <w:right w:val="single" w:color="000000" w:sz="6" w:space="0"/>
            </w:tcBorders>
          </w:tcPr>
          <w:p>
            <w:pPr>
              <w:ind w:firstLine="0" w:firstLineChars="0"/>
              <w:jc w:val="center"/>
              <w:rPr>
                <w:sz w:val="21"/>
              </w:rPr>
            </w:pPr>
            <w:r>
              <w:rPr>
                <w:sz w:val="21"/>
              </w:rPr>
              <w:t>98</w:t>
            </w:r>
          </w:p>
        </w:tc>
        <w:tc>
          <w:tcPr>
            <w:tcW w:w="1337"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98</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851"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93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98</w:t>
            </w:r>
          </w:p>
        </w:tc>
        <w:tc>
          <w:tcPr>
            <w:tcW w:w="2410"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c>
          <w:tcPr>
            <w:tcW w:w="2552" w:type="dxa"/>
            <w:tcBorders>
              <w:top w:val="single" w:color="000000" w:sz="6" w:space="0"/>
              <w:left w:val="single" w:color="000000" w:sz="6" w:space="0"/>
              <w:bottom w:val="single" w:color="000000" w:sz="6" w:space="0"/>
              <w:right w:val="single" w:color="000000" w:sz="6" w:space="0"/>
            </w:tcBorders>
          </w:tcPr>
          <w:p>
            <w:pPr>
              <w:ind w:firstLine="0" w:firstLineChars="0"/>
              <w:jc w:val="center"/>
              <w:rPr>
                <w:sz w:val="21"/>
              </w:rPr>
            </w:pPr>
            <w:r>
              <w:rPr>
                <w:sz w:val="21"/>
              </w:rPr>
              <w:t>0</w:t>
            </w:r>
          </w:p>
        </w:tc>
      </w:tr>
    </w:tbl>
    <w:p>
      <w:pPr>
        <w:pStyle w:val="46"/>
        <w:ind w:left="560"/>
      </w:pPr>
      <w:bookmarkStart w:id="2" w:name="_Toc16782"/>
      <w:r>
        <w:rPr>
          <w:rFonts w:hint="eastAsia"/>
        </w:rPr>
        <w:t>（三）项目绩效目标</w:t>
      </w:r>
      <w:bookmarkEnd w:id="2"/>
    </w:p>
    <w:p>
      <w:pPr>
        <w:pStyle w:val="48"/>
        <w:ind w:left="560"/>
      </w:pPr>
      <w:r>
        <w:rPr>
          <w:rFonts w:hint="eastAsia"/>
        </w:rPr>
        <w:t>（</w:t>
      </w:r>
      <w:r>
        <w:t>1</w:t>
      </w:r>
      <w:r>
        <w:rPr>
          <w:rFonts w:hint="eastAsia"/>
        </w:rPr>
        <w:t>）</w:t>
      </w:r>
      <w:r>
        <w:t xml:space="preserve">. </w:t>
      </w:r>
      <w:r>
        <w:rPr>
          <w:rFonts w:hint="eastAsia"/>
        </w:rPr>
        <w:t>项目实施期绩效目标</w:t>
      </w:r>
    </w:p>
    <w:p>
      <w:pPr>
        <w:pStyle w:val="44"/>
        <w:ind w:left="280" w:firstLine="560"/>
      </w:pPr>
      <w:r>
        <w:t>着力构建完善文物安全工作格局，全力打造共建共治共享的文物治理局面，推进文物单位的治安防控体系建设，提升文物单位的安全防范能力和水平，使文物安全事故和文物违法案件减少，实现文物安全形势稳定向好发展。</w:t>
      </w:r>
    </w:p>
    <w:p>
      <w:pPr>
        <w:pStyle w:val="48"/>
        <w:ind w:left="560"/>
      </w:pPr>
      <w:r>
        <w:rPr>
          <w:rFonts w:hint="eastAsia"/>
        </w:rPr>
        <w:t>（</w:t>
      </w:r>
      <w:r>
        <w:t>2</w:t>
      </w:r>
      <w:r>
        <w:rPr>
          <w:rFonts w:hint="eastAsia"/>
        </w:rPr>
        <w:t>）</w:t>
      </w:r>
      <w:r>
        <w:t xml:space="preserve">. </w:t>
      </w:r>
      <w:r>
        <w:rPr>
          <w:rFonts w:hint="eastAsia"/>
        </w:rPr>
        <w:t>项目年度目标</w:t>
      </w:r>
    </w:p>
    <w:p>
      <w:pPr>
        <w:pStyle w:val="44"/>
        <w:ind w:left="280" w:firstLine="560"/>
      </w:pPr>
      <w:r>
        <w:t>着力构建完善文物安全工作格局，全力打造共建共治共享的文物治理局面，推进文物单位的治安防控体系建设，提升文物单位的安全防范能力和水平，使文物安全事故和文物违法案件减少，实现文物安全形势稳定向好发展。</w:t>
      </w:r>
    </w:p>
    <w:p>
      <w:pPr>
        <w:pStyle w:val="52"/>
        <w:rPr>
          <w:rFonts w:ascii="仿宋" w:hAnsi="仿宋" w:eastAsia="仿宋" w:cs="仿宋"/>
          <w:b/>
          <w:bCs w:val="0"/>
        </w:rPr>
      </w:pPr>
      <w:bookmarkStart w:id="3" w:name="_Toc29803"/>
      <w:r>
        <w:rPr>
          <w:rFonts w:hint="eastAsia" w:ascii="仿宋" w:hAnsi="仿宋" w:eastAsia="仿宋" w:cs="仿宋"/>
          <w:b/>
          <w:bCs w:val="0"/>
        </w:rPr>
        <w:t>二、项目绩效情况</w:t>
      </w:r>
      <w:bookmarkEnd w:id="3"/>
    </w:p>
    <w:p>
      <w:pPr>
        <w:pStyle w:val="44"/>
        <w:ind w:left="140" w:leftChars="50" w:firstLine="560"/>
      </w:pPr>
      <w:r>
        <w:rPr>
          <w:rFonts w:hint="eastAsia"/>
        </w:rPr>
        <w:t>综合考虑预算执行情况、产出、效益、服务对象满意度各方面因素，通过数据采集及分析，最终评分结果：</w:t>
      </w:r>
      <w:r>
        <w:t>文物安全保护经费</w:t>
      </w:r>
      <w:r>
        <w:rPr>
          <w:rFonts w:hint="eastAsia"/>
        </w:rPr>
        <w:t>项目绩效自评价结果为</w:t>
      </w:r>
      <w:r>
        <w:t>:</w:t>
      </w:r>
      <w:r>
        <w:rPr>
          <w:rFonts w:hint="eastAsia"/>
        </w:rPr>
        <w:t>总得分</w:t>
      </w:r>
      <w:r>
        <w:t>95.11</w:t>
      </w:r>
      <w:r>
        <w:rPr>
          <w:rFonts w:hint="eastAsia"/>
        </w:rPr>
        <w:t>分，属于</w:t>
      </w:r>
      <w:r>
        <w:t>"优秀"</w:t>
      </w:r>
      <w:r>
        <w:rPr>
          <w:rFonts w:hint="eastAsia"/>
        </w:rPr>
        <w:t>。</w:t>
      </w:r>
    </w:p>
    <w:p>
      <w:pPr>
        <w:pStyle w:val="46"/>
        <w:ind w:left="560"/>
      </w:pPr>
      <w:bookmarkStart w:id="4" w:name="_Toc3431"/>
      <w:r>
        <w:rPr>
          <w:rFonts w:hint="eastAsia"/>
        </w:rPr>
        <w:t>（一）预算执行情况</w:t>
      </w:r>
      <w:bookmarkEnd w:id="4"/>
    </w:p>
    <w:tbl>
      <w:tblPr>
        <w:tblStyle w:val="24"/>
        <w:tblW w:w="0" w:type="auto"/>
        <w:jc w:val="center"/>
        <w:tblLayout w:type="fixed"/>
        <w:tblCellMar>
          <w:top w:w="0" w:type="dxa"/>
          <w:left w:w="108" w:type="dxa"/>
          <w:bottom w:w="0" w:type="dxa"/>
          <w:right w:w="108" w:type="dxa"/>
        </w:tblCellMar>
      </w:tblPr>
      <w:tblGrid>
        <w:gridCol w:w="1712"/>
        <w:gridCol w:w="1594"/>
        <w:gridCol w:w="1381"/>
        <w:gridCol w:w="1381"/>
        <w:gridCol w:w="1381"/>
        <w:gridCol w:w="1381"/>
      </w:tblGrid>
      <w:tr>
        <w:tblPrEx>
          <w:tblCellMar>
            <w:top w:w="0" w:type="dxa"/>
            <w:left w:w="108" w:type="dxa"/>
            <w:bottom w:w="0" w:type="dxa"/>
            <w:right w:w="108" w:type="dxa"/>
          </w:tblCellMar>
        </w:tblPrEx>
        <w:trPr>
          <w:trHeight w:val="728" w:hRule="atLeast"/>
          <w:jc w:val="center"/>
        </w:trPr>
        <w:tc>
          <w:tcPr>
            <w:tcW w:w="1712"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1594"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712"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hint="eastAsia" w:ascii="Times New Roman" w:hAnsi="Times New Roman" w:cs="Times New Roman"/>
                <w:bCs/>
                <w:kern w:val="0"/>
                <w:sz w:val="21"/>
                <w:szCs w:val="21"/>
              </w:rPr>
              <w:t>预算执行指标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hint="eastAsia" w:ascii="Times New Roman" w:hAnsi="Times New Roman" w:cs="Times New Roman"/>
                <w:bCs/>
                <w:kern w:val="0"/>
                <w:sz w:val="21"/>
                <w:szCs w:val="21"/>
              </w:rPr>
              <w:t>预算执行率</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98%</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Times New Roman" w:hAnsi="Times New Roman" w:cs="Times New Roman"/>
                <w:bCs/>
                <w:kern w:val="0"/>
                <w:sz w:val="21"/>
                <w:szCs w:val="21"/>
              </w:rPr>
            </w:pPr>
            <w:r>
              <w:rPr>
                <w:rFonts w:ascii="Times New Roman" w:hAnsi="Times New Roman" w:cs="Times New Roman"/>
                <w:bCs/>
                <w:kern w:val="0"/>
                <w:sz w:val="21"/>
                <w:szCs w:val="21"/>
              </w:rPr>
              <w:t>9.8</w:t>
            </w:r>
          </w:p>
        </w:tc>
      </w:tr>
    </w:tbl>
    <w:p>
      <w:pPr>
        <w:widowControl/>
        <w:ind w:firstLine="0" w:firstLineChars="0"/>
        <w:jc w:val="left"/>
        <w:rPr>
          <w:szCs w:val="44"/>
        </w:rPr>
      </w:pPr>
    </w:p>
    <w:p>
      <w:pPr>
        <w:pStyle w:val="46"/>
        <w:ind w:left="560"/>
      </w:pPr>
      <w:bookmarkStart w:id="5" w:name="_Toc15465"/>
      <w:r>
        <w:rPr>
          <w:rFonts w:hint="eastAsia"/>
        </w:rPr>
        <w:t>（二）项目产出情况</w:t>
      </w:r>
      <w:bookmarkEnd w:id="5"/>
    </w:p>
    <w:tbl>
      <w:tblPr>
        <w:tblStyle w:val="24"/>
        <w:tblW w:w="0" w:type="auto"/>
        <w:jc w:val="center"/>
        <w:tblLayout w:type="fixed"/>
        <w:tblCellMar>
          <w:top w:w="0" w:type="dxa"/>
          <w:left w:w="108" w:type="dxa"/>
          <w:bottom w:w="0" w:type="dxa"/>
          <w:right w:w="108" w:type="dxa"/>
        </w:tblCellMar>
      </w:tblPr>
      <w:tblGrid>
        <w:gridCol w:w="1404"/>
        <w:gridCol w:w="1594"/>
        <w:gridCol w:w="1381"/>
        <w:gridCol w:w="1381"/>
        <w:gridCol w:w="1381"/>
        <w:gridCol w:w="1381"/>
      </w:tblGrid>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1594"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数量指标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文物排查次数</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5次</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质量指标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文物安全性</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20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98</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75%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15.31</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时效指标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大型文物修缮时间</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1个月</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成本指标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文物调查、修缮成本</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20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19.6万元</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r>
    </w:tbl>
    <w:p>
      <w:pPr>
        <w:ind w:firstLine="0" w:firstLineChars="0"/>
        <w:rPr>
          <w:szCs w:val="44"/>
        </w:rPr>
      </w:pPr>
    </w:p>
    <w:p>
      <w:pPr>
        <w:pStyle w:val="46"/>
        <w:ind w:left="560"/>
      </w:pPr>
      <w:bookmarkStart w:id="6" w:name="_Toc21876"/>
      <w:r>
        <w:rPr>
          <w:rFonts w:hint="eastAsia"/>
        </w:rPr>
        <w:t>（三）项目效益情况</w:t>
      </w:r>
      <w:bookmarkEnd w:id="6"/>
    </w:p>
    <w:tbl>
      <w:tblPr>
        <w:tblStyle w:val="24"/>
        <w:tblW w:w="0" w:type="auto"/>
        <w:jc w:val="center"/>
        <w:tblLayout w:type="fixed"/>
        <w:tblCellMar>
          <w:top w:w="0" w:type="dxa"/>
          <w:left w:w="108" w:type="dxa"/>
          <w:bottom w:w="0" w:type="dxa"/>
          <w:right w:w="108" w:type="dxa"/>
        </w:tblCellMar>
      </w:tblPr>
      <w:tblGrid>
        <w:gridCol w:w="1404"/>
        <w:gridCol w:w="1594"/>
        <w:gridCol w:w="1381"/>
        <w:gridCol w:w="1381"/>
        <w:gridCol w:w="1381"/>
        <w:gridCol w:w="1381"/>
      </w:tblGrid>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1594"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社会效益</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安全事故发生次数</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0次</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15</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可持续影响指标</w:t>
            </w:r>
          </w:p>
        </w:tc>
        <w:tc>
          <w:tcPr>
            <w:tcW w:w="1594"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可持续性影响</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15</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15</w:t>
            </w:r>
          </w:p>
        </w:tc>
      </w:tr>
    </w:tbl>
    <w:p>
      <w:pPr>
        <w:pStyle w:val="46"/>
        <w:ind w:left="0" w:leftChars="0" w:firstLine="0" w:firstLineChars="0"/>
      </w:pPr>
      <w:bookmarkStart w:id="7" w:name="_Toc7243"/>
      <w:r>
        <w:rPr>
          <w:rFonts w:hint="eastAsia"/>
        </w:rPr>
        <w:t>（四）项目满意度情况</w:t>
      </w:r>
      <w:bookmarkEnd w:id="7"/>
    </w:p>
    <w:tbl>
      <w:tblPr>
        <w:tblStyle w:val="24"/>
        <w:tblW w:w="0" w:type="auto"/>
        <w:jc w:val="center"/>
        <w:tblLayout w:type="fixed"/>
        <w:tblCellMar>
          <w:top w:w="0" w:type="dxa"/>
          <w:left w:w="108" w:type="dxa"/>
          <w:bottom w:w="0" w:type="dxa"/>
          <w:right w:w="108" w:type="dxa"/>
        </w:tblCellMar>
      </w:tblPr>
      <w:tblGrid>
        <w:gridCol w:w="1404"/>
        <w:gridCol w:w="2916"/>
        <w:gridCol w:w="1381"/>
        <w:gridCol w:w="1381"/>
        <w:gridCol w:w="1381"/>
        <w:gridCol w:w="1381"/>
      </w:tblGrid>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二级指标</w:t>
            </w:r>
          </w:p>
        </w:tc>
        <w:tc>
          <w:tcPr>
            <w:tcW w:w="2916" w:type="dxa"/>
            <w:tcBorders>
              <w:top w:val="single" w:color="000000" w:sz="4" w:space="0"/>
              <w:left w:val="nil"/>
              <w:bottom w:val="single" w:color="000000" w:sz="4" w:space="0"/>
              <w:right w:val="single" w:color="000000"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三级指标</w:t>
            </w:r>
          </w:p>
        </w:tc>
        <w:tc>
          <w:tcPr>
            <w:tcW w:w="1381" w:type="dxa"/>
            <w:tcBorders>
              <w:top w:val="single" w:color="000000" w:sz="4" w:space="0"/>
              <w:left w:val="nil"/>
              <w:bottom w:val="single" w:color="000000"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权重</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120" w:firstLineChars="5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目标值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业绩值</w:t>
            </w:r>
          </w:p>
        </w:tc>
        <w:tc>
          <w:tcPr>
            <w:tcW w:w="1381" w:type="dxa"/>
            <w:tcBorders>
              <w:top w:val="single" w:color="auto" w:sz="4" w:space="0"/>
              <w:left w:val="single" w:color="auto" w:sz="4" w:space="0"/>
              <w:bottom w:val="single" w:color="auto" w:sz="4" w:space="0"/>
              <w:right w:val="single" w:color="auto" w:sz="4" w:space="0"/>
            </w:tcBorders>
            <w:shd w:val="clear" w:color="000000" w:fill="95B3D7"/>
            <w:vAlign w:val="center"/>
          </w:tcPr>
          <w:p>
            <w:pPr>
              <w:widowControl/>
              <w:spacing w:line="240" w:lineRule="atLeast"/>
              <w:ind w:firstLine="0" w:firstLineChars="0"/>
              <w:jc w:val="center"/>
              <w:rPr>
                <w:rFonts w:ascii="Times New Roman" w:hAnsi="Times New Roman" w:cs="Times New Roman"/>
                <w:b/>
                <w:bCs/>
                <w:kern w:val="0"/>
                <w:sz w:val="24"/>
                <w:szCs w:val="24"/>
              </w:rPr>
            </w:pPr>
            <w:r>
              <w:rPr>
                <w:rFonts w:hint="eastAsia" w:ascii="Times New Roman" w:hAnsi="Times New Roman" w:cs="Times New Roman"/>
                <w:b/>
                <w:bCs/>
                <w:kern w:val="0"/>
                <w:sz w:val="24"/>
                <w:szCs w:val="24"/>
              </w:rPr>
              <w:t>得分</w:t>
            </w:r>
          </w:p>
        </w:tc>
      </w:tr>
      <w:tr>
        <w:tblPrEx>
          <w:tblCellMar>
            <w:top w:w="0" w:type="dxa"/>
            <w:left w:w="108" w:type="dxa"/>
            <w:bottom w:w="0" w:type="dxa"/>
            <w:right w:w="108" w:type="dxa"/>
          </w:tblCellMar>
        </w:tblPrEx>
        <w:trPr>
          <w:trHeight w:val="728" w:hRule="atLeast"/>
          <w:jc w:val="center"/>
        </w:trPr>
        <w:tc>
          <w:tcPr>
            <w:tcW w:w="1404"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服务对象满意度指标</w:t>
            </w:r>
          </w:p>
        </w:tc>
        <w:tc>
          <w:tcPr>
            <w:tcW w:w="2916" w:type="dxa"/>
            <w:tcBorders>
              <w:top w:val="single" w:color="000000" w:sz="4" w:space="0"/>
              <w:left w:val="nil"/>
              <w:bottom w:val="single" w:color="000000" w:sz="4" w:space="0"/>
              <w:right w:val="single" w:color="000000"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群众满意度</w:t>
            </w:r>
          </w:p>
        </w:tc>
        <w:tc>
          <w:tcPr>
            <w:tcW w:w="1381" w:type="dxa"/>
            <w:tcBorders>
              <w:top w:val="single" w:color="000000" w:sz="4" w:space="0"/>
              <w:left w:val="nil"/>
              <w:bottom w:val="single" w:color="000000" w:sz="4" w:space="0"/>
              <w:right w:val="single" w:color="auto" w:sz="4" w:space="0"/>
            </w:tcBorders>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38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10</w:t>
            </w:r>
          </w:p>
        </w:tc>
      </w:tr>
    </w:tbl>
    <w:p>
      <w:pPr>
        <w:widowControl/>
        <w:ind w:firstLine="0" w:firstLineChars="0"/>
        <w:jc w:val="left"/>
        <w:rPr>
          <w:szCs w:val="44"/>
        </w:rPr>
      </w:pPr>
    </w:p>
    <w:p>
      <w:pPr>
        <w:pStyle w:val="52"/>
        <w:rPr>
          <w:rFonts w:ascii="仿宋" w:hAnsi="仿宋" w:eastAsia="仿宋" w:cs="仿宋"/>
          <w:b/>
          <w:bCs w:val="0"/>
        </w:rPr>
      </w:pPr>
      <w:bookmarkStart w:id="8" w:name="_Toc17748"/>
      <w:r>
        <w:rPr>
          <w:rFonts w:hint="eastAsia" w:ascii="仿宋" w:hAnsi="仿宋" w:eastAsia="仿宋" w:cs="仿宋"/>
          <w:b/>
          <w:bCs w:val="0"/>
        </w:rPr>
        <w:t>三、</w:t>
      </w:r>
      <w:bookmarkStart w:id="9" w:name="_Toc23655"/>
      <w:bookmarkStart w:id="10" w:name="_Toc17451"/>
      <w:r>
        <w:rPr>
          <w:rFonts w:hint="eastAsia" w:ascii="仿宋" w:hAnsi="仿宋" w:eastAsia="仿宋" w:cs="仿宋"/>
          <w:b/>
          <w:bCs w:val="0"/>
        </w:rPr>
        <w:t>项目绩效分析</w:t>
      </w:r>
      <w:bookmarkEnd w:id="8"/>
      <w:bookmarkEnd w:id="9"/>
      <w:bookmarkEnd w:id="10"/>
    </w:p>
    <w:p>
      <w:pPr>
        <w:pStyle w:val="44"/>
        <w:numPr>
          <w:ilvl w:val="0"/>
          <w:numId w:val="1"/>
        </w:numPr>
        <w:ind w:left="700" w:leftChars="250" w:firstLineChars="0"/>
        <w:rPr>
          <w:rFonts w:ascii="仿宋_GB2312"/>
          <w:b/>
        </w:rPr>
      </w:pPr>
      <w:r>
        <w:rPr>
          <w:rFonts w:hint="eastAsia" w:ascii="仿宋_GB2312"/>
          <w:b/>
        </w:rPr>
        <w:t>项目实施和预算执行情况及分析</w:t>
      </w:r>
    </w:p>
    <w:p>
      <w:pPr>
        <w:pStyle w:val="44"/>
        <w:ind w:firstLine="1120" w:firstLineChars="400"/>
        <w:rPr>
          <w:rFonts w:ascii="仿宋_GB2312"/>
          <w:bCs/>
        </w:rPr>
      </w:pPr>
      <w:r>
        <w:rPr>
          <w:rFonts w:hint="eastAsia" w:ascii="仿宋_GB2312"/>
          <w:bCs/>
          <w:lang w:eastAsia="zh-CN"/>
        </w:rPr>
        <w:t>文物方面雇佣文保员保护不可移动文物，我单位及时支付文保员补助，提高文保员工作积极性。</w:t>
      </w:r>
    </w:p>
    <w:p>
      <w:pPr>
        <w:pStyle w:val="44"/>
        <w:numPr>
          <w:ilvl w:val="0"/>
          <w:numId w:val="1"/>
        </w:numPr>
        <w:ind w:left="700" w:leftChars="250" w:firstLineChars="0"/>
        <w:rPr>
          <w:rFonts w:ascii="仿宋_GB2312"/>
          <w:b/>
        </w:rPr>
      </w:pPr>
      <w:r>
        <w:rPr>
          <w:rFonts w:hint="eastAsia" w:ascii="仿宋_GB2312"/>
          <w:b/>
        </w:rPr>
        <w:t>产出情况及分析</w:t>
      </w:r>
    </w:p>
    <w:p>
      <w:pPr>
        <w:pStyle w:val="44"/>
        <w:ind w:left="1134" w:leftChars="405" w:firstLine="426" w:firstLineChars="0"/>
        <w:rPr>
          <w:rFonts w:ascii="仿宋_GB2312"/>
          <w:bCs/>
        </w:rPr>
      </w:pPr>
      <w:r>
        <w:rPr>
          <w:rFonts w:hint="eastAsia" w:ascii="仿宋_GB2312"/>
          <w:bCs/>
          <w:lang w:eastAsia="zh-CN"/>
        </w:rPr>
        <w:t>雇佣文保员范围覆盖五个乡镇，保护不可移动文物，文物事务所全年进行文物安全隐患排查，保障文物的安全，如有文物出现损害，及时上报有关部门并采取保护措施，并对文物所在地制作标识牌</w:t>
      </w:r>
      <w:r>
        <w:rPr>
          <w:rFonts w:hint="eastAsia" w:ascii="仿宋_GB2312"/>
          <w:bCs/>
          <w:lang w:val="en-US" w:eastAsia="zh-CN"/>
        </w:rPr>
        <w:t>。</w:t>
      </w:r>
    </w:p>
    <w:p>
      <w:pPr>
        <w:pStyle w:val="44"/>
        <w:numPr>
          <w:ilvl w:val="0"/>
          <w:numId w:val="1"/>
        </w:numPr>
        <w:ind w:left="700" w:leftChars="250" w:firstLineChars="0"/>
        <w:rPr>
          <w:rFonts w:ascii="仿宋_GB2312"/>
          <w:b/>
        </w:rPr>
      </w:pPr>
      <w:r>
        <w:rPr>
          <w:rFonts w:hint="eastAsia" w:ascii="仿宋_GB2312"/>
          <w:b/>
        </w:rPr>
        <w:t>效益情况及分析</w:t>
      </w:r>
    </w:p>
    <w:p>
      <w:pPr>
        <w:pStyle w:val="44"/>
        <w:ind w:left="1134" w:leftChars="405" w:firstLine="426" w:firstLineChars="0"/>
        <w:rPr>
          <w:rFonts w:ascii="仿宋_GB2312"/>
          <w:bCs/>
        </w:rPr>
      </w:pPr>
      <w:r>
        <w:rPr>
          <w:rFonts w:hint="eastAsia" w:ascii="仿宋_GB2312"/>
          <w:bCs/>
          <w:lang w:val="en-US" w:eastAsia="zh-CN"/>
        </w:rPr>
        <w:t>确保文物安全0事故发生，普及文物知识，全民懂法知法，明白文物重要性，加入保护文物工作中；文物就是历史的见证，保护文物也是为子孙后代留下历史。</w:t>
      </w:r>
    </w:p>
    <w:p>
      <w:pPr>
        <w:pStyle w:val="44"/>
        <w:numPr>
          <w:ilvl w:val="0"/>
          <w:numId w:val="1"/>
        </w:numPr>
        <w:ind w:left="700" w:leftChars="250" w:firstLineChars="0"/>
        <w:rPr>
          <w:rFonts w:ascii="仿宋_GB2312"/>
          <w:b/>
        </w:rPr>
      </w:pPr>
      <w:r>
        <w:rPr>
          <w:rFonts w:hint="eastAsia" w:ascii="仿宋_GB2312"/>
          <w:b/>
        </w:rPr>
        <w:t>满意度情况及分析</w:t>
      </w:r>
    </w:p>
    <w:p>
      <w:pPr>
        <w:pStyle w:val="44"/>
        <w:ind w:left="0" w:leftChars="0" w:firstLine="840" w:firstLineChars="300"/>
        <w:rPr>
          <w:rFonts w:ascii="仿宋_GB2312"/>
          <w:bCs/>
        </w:rPr>
      </w:pPr>
      <w:r>
        <w:rPr>
          <w:rFonts w:hint="eastAsia" w:ascii="仿宋_GB2312"/>
          <w:bCs/>
          <w:lang w:eastAsia="zh-CN"/>
        </w:rPr>
        <w:t>文保员保护文物工作较到位，群众对地方文物保护方式也相对满意。</w:t>
      </w:r>
    </w:p>
    <w:p>
      <w:pPr>
        <w:pStyle w:val="52"/>
      </w:pPr>
      <w:bookmarkStart w:id="11" w:name="_Toc30527"/>
      <w:r>
        <w:rPr>
          <w:rFonts w:hint="eastAsia" w:ascii="仿宋" w:hAnsi="仿宋" w:eastAsia="仿宋" w:cs="仿宋"/>
          <w:b/>
          <w:bCs w:val="0"/>
        </w:rPr>
        <w:t>四、项目主要经验做法</w:t>
      </w:r>
      <w:bookmarkEnd w:id="11"/>
      <w:r>
        <w:t xml:space="preserve"> </w:t>
      </w:r>
    </w:p>
    <w:p>
      <w:pPr>
        <w:pStyle w:val="44"/>
        <w:ind w:firstLine="840" w:firstLineChars="300"/>
      </w:pPr>
      <w:r>
        <w:rPr>
          <w:rFonts w:hint="eastAsia"/>
        </w:rPr>
        <w:t>加强对基层和农村地区文物安全工作的组织领导，建立文物安全末端守护机制，在文物保护管理机构设置、人员配备和物防、技防设施建设等方面提供有力保障，并对文物保护人员和管理人员进行文物保护安全防范知识和业务技能培训，确保文物工作的正常运转并为文物事业发展打下基础。雇佣文保员67名用于保障文物安全，做到文物安全事故零发生，从而提高文物安全性，健全长效管理制度建设。</w:t>
      </w:r>
    </w:p>
    <w:p>
      <w:pPr>
        <w:pStyle w:val="52"/>
        <w:rPr>
          <w:rFonts w:ascii="仿宋" w:hAnsi="仿宋" w:eastAsia="仿宋" w:cs="仿宋"/>
          <w:b/>
          <w:bCs w:val="0"/>
        </w:rPr>
      </w:pPr>
      <w:bookmarkStart w:id="12" w:name="_Toc10584"/>
      <w:r>
        <w:rPr>
          <w:rFonts w:hint="eastAsia" w:ascii="仿宋" w:hAnsi="仿宋" w:eastAsia="仿宋" w:cs="仿宋"/>
          <w:b/>
          <w:bCs w:val="0"/>
        </w:rPr>
        <w:t>五、项目管理中存在问题及原因分析</w:t>
      </w:r>
      <w:bookmarkEnd w:id="12"/>
    </w:p>
    <w:p>
      <w:pPr>
        <w:pStyle w:val="44"/>
        <w:ind w:firstLine="840" w:firstLineChars="300"/>
      </w:pPr>
      <w:r>
        <w:rPr>
          <w:rFonts w:hint="eastAsia"/>
          <w:lang w:eastAsia="zh-CN"/>
        </w:rPr>
        <w:t>应</w:t>
      </w:r>
      <w:r>
        <w:rPr>
          <w:rFonts w:hint="eastAsia"/>
        </w:rPr>
        <w:t>加强对文物保护人员文物保护安全防范知识和业务技能培训，确保不可移动文物的安全，减少破坏，利用各种平台广泛宣传文物保护法律法规，展示打击文物违法犯罪专项行动战果，提高全民文物保护意识。</w:t>
      </w:r>
    </w:p>
    <w:p>
      <w:pPr>
        <w:pStyle w:val="52"/>
      </w:pPr>
      <w:bookmarkStart w:id="13" w:name="_Toc3756"/>
      <w:r>
        <w:rPr>
          <w:rFonts w:hint="eastAsia" w:ascii="仿宋" w:hAnsi="仿宋" w:eastAsia="仿宋" w:cs="仿宋"/>
          <w:b/>
          <w:bCs w:val="0"/>
        </w:rPr>
        <w:t>六、进一步加强项目管理措施及建议</w:t>
      </w:r>
      <w:bookmarkEnd w:id="13"/>
    </w:p>
    <w:p>
      <w:pPr>
        <w:pStyle w:val="46"/>
        <w:ind w:left="560"/>
        <w:rPr>
          <w:rFonts w:hint="eastAsia"/>
        </w:rPr>
      </w:pPr>
      <w:bookmarkStart w:id="14" w:name="_Toc64998062"/>
      <w:bookmarkStart w:id="15" w:name="_Toc12870"/>
      <w:r>
        <w:rPr>
          <w:rFonts w:hint="eastAsia"/>
        </w:rPr>
        <w:t>（一）预算安排和执行方面</w:t>
      </w:r>
      <w:bookmarkEnd w:id="14"/>
      <w:bookmarkEnd w:id="15"/>
    </w:p>
    <w:p>
      <w:pPr>
        <w:pStyle w:val="44"/>
        <w:ind w:firstLine="560"/>
        <w:rPr>
          <w:rFonts w:hint="eastAsia"/>
        </w:rPr>
      </w:pPr>
      <w:r>
        <w:rPr>
          <w:rFonts w:hint="eastAsia"/>
        </w:rPr>
        <w:tab/>
      </w:r>
      <w:r>
        <w:rPr>
          <w:rFonts w:hint="eastAsia"/>
        </w:rPr>
        <w:t>预算安排方面及时制定合理的管理制度，保证预算资金到位及时，通过财务管理制度保证预算执行率。</w:t>
      </w:r>
    </w:p>
    <w:p>
      <w:pPr>
        <w:pStyle w:val="46"/>
        <w:ind w:left="0" w:leftChars="0" w:firstLine="562" w:firstLineChars="200"/>
        <w:rPr>
          <w:rFonts w:hint="eastAsia"/>
        </w:rPr>
      </w:pPr>
      <w:bookmarkStart w:id="16" w:name="_Toc14701"/>
      <w:bookmarkStart w:id="17" w:name="_Toc64998064"/>
      <w:r>
        <w:rPr>
          <w:rFonts w:hint="eastAsia"/>
        </w:rPr>
        <w:t>（</w:t>
      </w:r>
      <w:r>
        <w:rPr>
          <w:rFonts w:hint="eastAsia"/>
          <w:lang w:eastAsia="zh-CN"/>
        </w:rPr>
        <w:t>二</w:t>
      </w:r>
      <w:r>
        <w:rPr>
          <w:rFonts w:hint="eastAsia"/>
        </w:rPr>
        <w:t>） 项目管理方面</w:t>
      </w:r>
      <w:bookmarkEnd w:id="16"/>
      <w:bookmarkEnd w:id="17"/>
    </w:p>
    <w:p>
      <w:pPr>
        <w:pStyle w:val="44"/>
        <w:ind w:firstLine="560"/>
        <w:rPr>
          <w:rFonts w:hint="eastAsia"/>
        </w:rPr>
      </w:pPr>
      <w:r>
        <w:rPr>
          <w:rFonts w:hint="eastAsia"/>
        </w:rPr>
        <w:tab/>
      </w:r>
      <w:r>
        <w:rPr>
          <w:rFonts w:hint="eastAsia"/>
        </w:rPr>
        <w:t>文物是不可再生的珍贵文化资源，保护文物功在当代，利在千秋。为认真贯彻落实习近平总书记等中央领导同志关于加强文物安全工作的一系列重要批示指示精神，加大宣传力度，让群众都了解文物的重要性，保护文物不受损害。</w:t>
      </w:r>
    </w:p>
    <w:p>
      <w:pPr>
        <w:pStyle w:val="46"/>
        <w:ind w:left="0" w:leftChars="0" w:firstLine="562" w:firstLineChars="200"/>
        <w:rPr>
          <w:rFonts w:hint="eastAsia"/>
        </w:rPr>
      </w:pPr>
      <w:bookmarkStart w:id="18" w:name="_Toc18438"/>
      <w:bookmarkStart w:id="19" w:name="_Toc64998065"/>
      <w:r>
        <w:rPr>
          <w:rFonts w:hint="eastAsia"/>
        </w:rPr>
        <w:t>（</w:t>
      </w:r>
      <w:r>
        <w:rPr>
          <w:rFonts w:hint="eastAsia"/>
          <w:lang w:eastAsia="zh-CN"/>
        </w:rPr>
        <w:t>三</w:t>
      </w:r>
      <w:r>
        <w:rPr>
          <w:rFonts w:hint="eastAsia"/>
        </w:rPr>
        <w:t>）资金管理方面</w:t>
      </w:r>
      <w:bookmarkEnd w:id="18"/>
      <w:bookmarkEnd w:id="19"/>
    </w:p>
    <w:p>
      <w:pPr>
        <w:pStyle w:val="44"/>
        <w:ind w:firstLine="560"/>
        <w:sectPr>
          <w:footerReference r:id="rId11" w:type="default"/>
          <w:pgSz w:w="16838" w:h="11906" w:orient="landscape"/>
          <w:pgMar w:top="1800" w:right="1440" w:bottom="1800" w:left="1440" w:header="851" w:footer="992" w:gutter="0"/>
          <w:pgNumType w:start="1"/>
          <w:cols w:space="425" w:num="1"/>
          <w:docGrid w:type="lines" w:linePitch="381" w:charSpace="0"/>
        </w:sectPr>
      </w:pPr>
      <w:r>
        <w:rPr>
          <w:rFonts w:hint="eastAsia"/>
        </w:rPr>
        <w:tab/>
      </w:r>
      <w:r>
        <w:rPr>
          <w:rFonts w:hint="eastAsia"/>
        </w:rPr>
        <w:t>加大对</w:t>
      </w:r>
      <w:r>
        <w:rPr>
          <w:rFonts w:hint="eastAsia"/>
          <w:lang w:eastAsia="zh-CN"/>
        </w:rPr>
        <w:t>文物</w:t>
      </w:r>
      <w:r>
        <w:rPr>
          <w:rFonts w:hint="eastAsia"/>
        </w:rPr>
        <w:t>事业的资金投入，对每一笔资金做到合理、有效的使用，通过财务管理制度认真监督每一笔资金的动向，确保真实、有效</w:t>
      </w:r>
      <w:r>
        <w:rPr>
          <w:rFonts w:hint="eastAsia"/>
          <w:lang w:val="en-US" w:eastAsia="zh-CN"/>
        </w:rPr>
        <w:t>。</w:t>
      </w:r>
    </w:p>
    <w:p>
      <w:pPr>
        <w:pStyle w:val="52"/>
      </w:pPr>
      <w:bookmarkStart w:id="20" w:name="_Toc574"/>
      <w:r>
        <w:rPr>
          <w:rFonts w:hint="eastAsia" w:ascii="仿宋" w:hAnsi="仿宋" w:eastAsia="仿宋" w:cs="仿宋"/>
          <w:b/>
          <w:bCs w:val="0"/>
        </w:rPr>
        <w:t>附件</w:t>
      </w:r>
      <w:r>
        <w:rPr>
          <w:rFonts w:ascii="仿宋" w:hAnsi="仿宋" w:eastAsia="仿宋" w:cs="仿宋"/>
          <w:b/>
          <w:bCs w:val="0"/>
        </w:rPr>
        <w:t>1.</w:t>
      </w:r>
      <w:r>
        <w:rPr>
          <w:rFonts w:hint="eastAsia" w:ascii="仿宋" w:hAnsi="仿宋" w:eastAsia="仿宋" w:cs="仿宋"/>
          <w:b/>
          <w:bCs w:val="0"/>
        </w:rPr>
        <w:t>项目支出绩效自评表</w:t>
      </w:r>
      <w:bookmarkEnd w:id="20"/>
    </w:p>
    <w:tbl>
      <w:tblPr>
        <w:tblStyle w:val="24"/>
        <w:tblW w:w="14063" w:type="dxa"/>
        <w:tblInd w:w="5" w:type="dxa"/>
        <w:tblLayout w:type="fixed"/>
        <w:tblCellMar>
          <w:top w:w="0" w:type="dxa"/>
          <w:left w:w="0" w:type="dxa"/>
          <w:bottom w:w="0" w:type="dxa"/>
          <w:right w:w="0" w:type="dxa"/>
        </w:tblCellMar>
      </w:tblPr>
      <w:tblGrid>
        <w:gridCol w:w="1754"/>
        <w:gridCol w:w="1843"/>
        <w:gridCol w:w="1819"/>
        <w:gridCol w:w="840"/>
        <w:gridCol w:w="1188"/>
        <w:gridCol w:w="1487"/>
        <w:gridCol w:w="1328"/>
        <w:gridCol w:w="1276"/>
        <w:gridCol w:w="2528"/>
      </w:tblGrid>
      <w:tr>
        <w:tblPrEx>
          <w:tblCellMar>
            <w:top w:w="0" w:type="dxa"/>
            <w:left w:w="0" w:type="dxa"/>
            <w:bottom w:w="0" w:type="dxa"/>
            <w:right w:w="0" w:type="dxa"/>
          </w:tblCellMar>
        </w:tblPrEx>
        <w:trPr>
          <w:trHeight w:val="375" w:hRule="atLeast"/>
        </w:trPr>
        <w:tc>
          <w:tcPr>
            <w:tcW w:w="14063" w:type="dxa"/>
            <w:gridSpan w:val="9"/>
            <w:tcBorders>
              <w:top w:val="single" w:color="000000" w:sz="4" w:space="0"/>
              <w:left w:val="single" w:color="000000" w:sz="4" w:space="0"/>
              <w:bottom w:val="single" w:color="000000" w:sz="4" w:space="0"/>
              <w:right w:val="single" w:color="000000" w:sz="4" w:space="0"/>
            </w:tcBorders>
            <w:shd w:val="clear" w:color="000000" w:fill="C0C0C0"/>
          </w:tcPr>
          <w:p>
            <w:pPr>
              <w:ind w:firstLine="562"/>
              <w:jc w:val="center"/>
              <w:rPr>
                <w:rFonts w:ascii="黑体" w:hAnsi="Arial" w:eastAsia="黑体" w:cs="Arial"/>
                <w:b/>
                <w:bCs/>
                <w:szCs w:val="28"/>
              </w:rPr>
            </w:pPr>
            <w:r>
              <w:rPr>
                <w:rFonts w:hint="eastAsia" w:ascii="仿宋" w:hAnsi="仿宋" w:eastAsia="仿宋" w:cs="仿宋"/>
                <w:b/>
              </w:rPr>
              <w:t>附件</w:t>
            </w:r>
            <w:r>
              <w:rPr>
                <w:rFonts w:ascii="仿宋" w:hAnsi="仿宋" w:eastAsia="仿宋" w:cs="仿宋"/>
                <w:b/>
              </w:rPr>
              <w:t>1.</w:t>
            </w:r>
            <w:r>
              <w:rPr>
                <w:rFonts w:hint="eastAsia" w:ascii="仿宋" w:hAnsi="仿宋" w:eastAsia="仿宋" w:cs="仿宋"/>
                <w:b/>
              </w:rPr>
              <w:t>项目支出绩效自评表</w:t>
            </w:r>
          </w:p>
        </w:tc>
      </w:tr>
      <w:tr>
        <w:tblPrEx>
          <w:tblCellMar>
            <w:top w:w="0" w:type="dxa"/>
            <w:left w:w="0" w:type="dxa"/>
            <w:bottom w:w="0" w:type="dxa"/>
            <w:right w:w="0" w:type="dxa"/>
          </w:tblCellMar>
        </w:tblPrEx>
        <w:trPr>
          <w:trHeight w:val="613" w:hRule="atLeast"/>
        </w:trPr>
        <w:tc>
          <w:tcPr>
            <w:tcW w:w="1754" w:type="dxa"/>
            <w:tcBorders>
              <w:top w:val="nil"/>
              <w:left w:val="single" w:color="000000" w:sz="4" w:space="0"/>
              <w:bottom w:val="single" w:color="000000" w:sz="4" w:space="0"/>
              <w:right w:val="single" w:color="auto"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一级指标</w:t>
            </w:r>
          </w:p>
        </w:tc>
        <w:tc>
          <w:tcPr>
            <w:tcW w:w="1843"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ascii="仿宋_GB2312" w:hAnsi="Arial" w:cs="Arial"/>
                <w:b/>
                <w:sz w:val="22"/>
              </w:rPr>
            </w:pPr>
            <w:r>
              <w:rPr>
                <w:rFonts w:hint="eastAsia" w:ascii="仿宋_GB2312" w:hAnsi="Arial" w:cs="Arial"/>
                <w:b/>
                <w:sz w:val="22"/>
              </w:rPr>
              <w:t>二级指标</w:t>
            </w:r>
          </w:p>
        </w:tc>
        <w:tc>
          <w:tcPr>
            <w:tcW w:w="1819" w:type="dxa"/>
            <w:tcBorders>
              <w:top w:val="nil"/>
              <w:left w:val="single" w:color="auto" w:sz="4" w:space="0"/>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目标指标</w:t>
            </w:r>
          </w:p>
        </w:tc>
        <w:tc>
          <w:tcPr>
            <w:tcW w:w="840" w:type="dxa"/>
            <w:tcBorders>
              <w:top w:val="nil"/>
              <w:left w:val="nil"/>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权重</w:t>
            </w:r>
          </w:p>
        </w:tc>
        <w:tc>
          <w:tcPr>
            <w:tcW w:w="1188" w:type="dxa"/>
            <w:tcBorders>
              <w:top w:val="nil"/>
              <w:left w:val="nil"/>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目标值</w:t>
            </w:r>
          </w:p>
        </w:tc>
        <w:tc>
          <w:tcPr>
            <w:tcW w:w="1487" w:type="dxa"/>
            <w:tcBorders>
              <w:top w:val="nil"/>
              <w:left w:val="nil"/>
              <w:bottom w:val="single" w:color="000000" w:sz="4" w:space="0"/>
              <w:right w:val="single" w:color="auto"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业绩值</w:t>
            </w:r>
          </w:p>
        </w:tc>
        <w:tc>
          <w:tcPr>
            <w:tcW w:w="1328"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ascii="仿宋_GB2312" w:hAnsi="Arial" w:cs="Arial"/>
                <w:b/>
                <w:sz w:val="22"/>
              </w:rPr>
            </w:pPr>
            <w:r>
              <w:rPr>
                <w:rFonts w:hint="eastAsia" w:ascii="仿宋_GB2312" w:hAnsi="Arial" w:cs="Arial"/>
                <w:b/>
                <w:sz w:val="22"/>
              </w:rPr>
              <w:t>完成率</w:t>
            </w:r>
          </w:p>
        </w:tc>
        <w:tc>
          <w:tcPr>
            <w:tcW w:w="1276" w:type="dxa"/>
            <w:tcBorders>
              <w:top w:val="nil"/>
              <w:left w:val="single" w:color="auto" w:sz="4" w:space="0"/>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指标得分</w:t>
            </w:r>
          </w:p>
        </w:tc>
        <w:tc>
          <w:tcPr>
            <w:tcW w:w="2528" w:type="dxa"/>
            <w:tcBorders>
              <w:top w:val="nil"/>
              <w:left w:val="nil"/>
              <w:bottom w:val="single" w:color="000000" w:sz="4" w:space="0"/>
              <w:right w:val="single" w:color="000000" w:sz="4" w:space="0"/>
            </w:tcBorders>
            <w:noWrap/>
            <w:tcMar>
              <w:top w:w="15" w:type="dxa"/>
              <w:left w:w="15" w:type="dxa"/>
              <w:bottom w:w="0" w:type="dxa"/>
              <w:right w:w="15" w:type="dxa"/>
            </w:tcMar>
            <w:vAlign w:val="center"/>
          </w:tcPr>
          <w:p>
            <w:pPr>
              <w:ind w:firstLine="0" w:firstLineChars="0"/>
              <w:jc w:val="center"/>
              <w:rPr>
                <w:rFonts w:ascii="仿宋_GB2312" w:hAnsi="Arial" w:cs="Arial"/>
                <w:b/>
                <w:sz w:val="22"/>
              </w:rPr>
            </w:pPr>
            <w:r>
              <w:rPr>
                <w:rFonts w:hint="eastAsia" w:ascii="仿宋_GB2312" w:hAnsi="Arial" w:cs="Arial"/>
                <w:b/>
                <w:sz w:val="22"/>
              </w:rPr>
              <w:t>偏差原因分析及改进措施</w:t>
            </w:r>
          </w:p>
        </w:tc>
      </w:tr>
      <w:tr>
        <w:tblPrEx>
          <w:tblCellMar>
            <w:top w:w="0" w:type="dxa"/>
            <w:left w:w="0" w:type="dxa"/>
            <w:bottom w:w="0" w:type="dxa"/>
            <w:right w:w="0" w:type="dxa"/>
          </w:tblCellMar>
        </w:tblPrEx>
        <w:trPr>
          <w:trHeight w:val="394" w:hRule="atLeast"/>
        </w:trPr>
        <w:tc>
          <w:tcPr>
            <w:tcW w:w="1754" w:type="dxa"/>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预算执行指标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预算执行指标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预算执行率</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98%</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98.00%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9.8</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任务全部完成，剩余资金财政收回</w:t>
            </w:r>
          </w:p>
        </w:tc>
      </w:tr>
      <w:tr>
        <w:tblPrEx>
          <w:tblCellMar>
            <w:top w:w="0" w:type="dxa"/>
            <w:left w:w="0" w:type="dxa"/>
            <w:bottom w:w="0" w:type="dxa"/>
            <w:right w:w="0" w:type="dxa"/>
          </w:tblCellMar>
        </w:tblPrEx>
        <w:trPr>
          <w:trHeight w:val="394" w:hRule="atLeast"/>
        </w:trPr>
        <w:tc>
          <w:tcPr>
            <w:tcW w:w="1754" w:type="dxa"/>
            <w:vMerge w:val="restart"/>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产出指标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数量指标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文物排查次数</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5</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5次</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质量指标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文物安全性</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20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98</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75%</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76.53%</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15.31</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10月份本地因下暴雨，文物安全工作有所欠缺</w:t>
            </w: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时效指标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大型文物修缮时间</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1个月</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成本指标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文物调查、修缮成本</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20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19.6万元</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98.00%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任务全部完成，剩余资金财政收回</w:t>
            </w:r>
          </w:p>
        </w:tc>
      </w:tr>
      <w:tr>
        <w:tblPrEx>
          <w:tblCellMar>
            <w:top w:w="0" w:type="dxa"/>
            <w:left w:w="0" w:type="dxa"/>
            <w:bottom w:w="0" w:type="dxa"/>
            <w:right w:w="0" w:type="dxa"/>
          </w:tblCellMar>
        </w:tblPrEx>
        <w:trPr>
          <w:trHeight w:val="394" w:hRule="atLeast"/>
        </w:trPr>
        <w:tc>
          <w:tcPr>
            <w:tcW w:w="1754" w:type="dxa"/>
            <w:vMerge w:val="restart"/>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效益指标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社会效益</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安全事故发生次数</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15</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0次</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15</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vMerge w:val="continue"/>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可持续影响指标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可持续性影响</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hint="eastAsia" w:ascii="仿宋" w:hAnsi="等线" w:eastAsia="仿宋" w:cs="仿宋"/>
                <w:color w:val="000000"/>
                <w:kern w:val="0"/>
                <w:sz w:val="24"/>
                <w:szCs w:val="24"/>
                <w:highlight w:val="white"/>
                <w:lang w:val="en-US" w:eastAsia="zh-CN"/>
              </w:rPr>
              <w:t>1</w:t>
            </w:r>
            <w:r>
              <w:rPr>
                <w:rFonts w:ascii="仿宋" w:hAnsi="等线" w:eastAsia="仿宋" w:cs="仿宋"/>
                <w:color w:val="000000"/>
                <w:kern w:val="0"/>
                <w:sz w:val="24"/>
                <w:szCs w:val="24"/>
                <w:highlight w:val="white"/>
              </w:rPr>
              <w:t>5</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可持续</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hint="eastAsia" w:ascii="仿宋" w:hAnsi="等线" w:eastAsia="仿宋" w:cs="仿宋"/>
                <w:color w:val="000000"/>
                <w:kern w:val="0"/>
                <w:sz w:val="24"/>
                <w:szCs w:val="24"/>
                <w:highlight w:val="white"/>
                <w:lang w:val="en-US" w:eastAsia="zh-CN"/>
              </w:rPr>
              <w:t>1</w:t>
            </w:r>
            <w:r>
              <w:rPr>
                <w:rFonts w:ascii="仿宋" w:hAnsi="等线" w:eastAsia="仿宋" w:cs="仿宋"/>
                <w:color w:val="000000"/>
                <w:kern w:val="0"/>
                <w:sz w:val="24"/>
                <w:szCs w:val="24"/>
                <w:highlight w:val="white"/>
              </w:rPr>
              <w:t>5</w:t>
            </w:r>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394" w:hRule="atLeast"/>
        </w:trPr>
        <w:tc>
          <w:tcPr>
            <w:tcW w:w="1754" w:type="dxa"/>
            <w:tcBorders>
              <w:top w:val="nil"/>
              <w:left w:val="single" w:color="000000" w:sz="4" w:space="0"/>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满意度指标</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服务对象满意度指标</w:t>
            </w:r>
          </w:p>
        </w:tc>
        <w:tc>
          <w:tcPr>
            <w:tcW w:w="1819"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群众满意度</w:t>
            </w:r>
          </w:p>
        </w:tc>
        <w:tc>
          <w:tcPr>
            <w:tcW w:w="840"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10</w:t>
            </w:r>
          </w:p>
        </w:tc>
        <w:tc>
          <w:tcPr>
            <w:tcW w:w="118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487" w:type="dxa"/>
            <w:tcBorders>
              <w:top w:val="nil"/>
              <w:left w:val="nil"/>
              <w:bottom w:val="single" w:color="000000" w:sz="4" w:space="0"/>
              <w:right w:val="single" w:color="auto"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90%</w:t>
            </w:r>
          </w:p>
        </w:tc>
        <w:tc>
          <w:tcPr>
            <w:tcW w:w="13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r>
              <w:rPr>
                <w:rFonts w:ascii="仿宋" w:hAnsi="等线" w:eastAsia="仿宋" w:cs="仿宋"/>
                <w:color w:val="000000"/>
                <w:kern w:val="0"/>
                <w:sz w:val="24"/>
                <w:szCs w:val="24"/>
                <w:highlight w:val="white"/>
              </w:rPr>
              <w:t>100.00%</w:t>
            </w:r>
          </w:p>
        </w:tc>
        <w:tc>
          <w:tcPr>
            <w:tcW w:w="1276" w:type="dxa"/>
            <w:tcBorders>
              <w:top w:val="nil"/>
              <w:left w:val="single" w:color="auto"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hint="default" w:ascii="仿宋" w:hAnsi="等线" w:eastAsia="仿宋" w:cs="仿宋"/>
                <w:color w:val="000000"/>
                <w:kern w:val="0"/>
                <w:sz w:val="24"/>
                <w:szCs w:val="24"/>
                <w:highlight w:val="white"/>
                <w:lang w:val="en-US" w:eastAsia="zh-CN"/>
              </w:rPr>
            </w:pPr>
            <w:r>
              <w:rPr>
                <w:rFonts w:hint="eastAsia" w:ascii="仿宋" w:hAnsi="等线" w:eastAsia="仿宋" w:cs="仿宋"/>
                <w:color w:val="000000"/>
                <w:kern w:val="0"/>
                <w:sz w:val="24"/>
                <w:szCs w:val="24"/>
                <w:highlight w:val="white"/>
                <w:lang w:val="en-US" w:eastAsia="zh-CN"/>
              </w:rPr>
              <w:t>10</w:t>
            </w:r>
            <w:bookmarkStart w:id="21" w:name="_GoBack"/>
            <w:bookmarkEnd w:id="21"/>
          </w:p>
        </w:tc>
        <w:tc>
          <w:tcPr>
            <w:tcW w:w="2528" w:type="dxa"/>
            <w:tcBorders>
              <w:top w:val="nil"/>
              <w:left w:val="nil"/>
              <w:bottom w:val="single" w:color="000000" w:sz="4" w:space="0"/>
              <w:right w:val="single" w:color="000000" w:sz="4" w:space="0"/>
            </w:tcBorders>
            <w:tcMar>
              <w:top w:w="15" w:type="dxa"/>
              <w:left w:w="15" w:type="dxa"/>
              <w:bottom w:w="0" w:type="dxa"/>
              <w:right w:w="15" w:type="dxa"/>
            </w:tcMar>
            <w:vAlign w:val="center"/>
          </w:tcPr>
          <w:p>
            <w:pPr>
              <w:widowControl/>
              <w:spacing w:line="240" w:lineRule="atLeast"/>
              <w:ind w:firstLine="0" w:firstLineChars="0"/>
              <w:jc w:val="center"/>
              <w:rPr>
                <w:rFonts w:ascii="仿宋" w:hAnsi="等线" w:eastAsia="仿宋" w:cs="仿宋"/>
                <w:color w:val="000000"/>
                <w:kern w:val="0"/>
                <w:sz w:val="24"/>
                <w:szCs w:val="24"/>
                <w:highlight w:val="white"/>
              </w:rPr>
            </w:pPr>
          </w:p>
        </w:tc>
      </w:tr>
      <w:tr>
        <w:tblPrEx>
          <w:tblCellMar>
            <w:top w:w="0" w:type="dxa"/>
            <w:left w:w="0" w:type="dxa"/>
            <w:bottom w:w="0" w:type="dxa"/>
            <w:right w:w="0" w:type="dxa"/>
          </w:tblCellMar>
        </w:tblPrEx>
        <w:trPr>
          <w:trHeight w:val="289" w:hRule="atLeast"/>
        </w:trPr>
        <w:tc>
          <w:tcPr>
            <w:tcW w:w="1754" w:type="dxa"/>
            <w:tcBorders>
              <w:top w:val="single" w:color="000000" w:sz="4" w:space="0"/>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843" w:type="dxa"/>
            <w:tcBorders>
              <w:top w:val="single" w:color="auto" w:sz="4" w:space="0"/>
              <w:bottom w:val="single" w:color="000000" w:sz="4" w:space="0"/>
              <w:right w:val="nil"/>
            </w:tcBorders>
          </w:tcPr>
          <w:p>
            <w:pPr>
              <w:ind w:firstLine="440"/>
              <w:rPr>
                <w:rFonts w:ascii="仿宋_GB2312" w:hAnsi="Arial" w:cs="Arial"/>
                <w:sz w:val="22"/>
              </w:rPr>
            </w:pPr>
          </w:p>
        </w:tc>
        <w:tc>
          <w:tcPr>
            <w:tcW w:w="1819"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840"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188"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487"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1328" w:type="dxa"/>
            <w:tcBorders>
              <w:top w:val="single" w:color="auto" w:sz="4" w:space="0"/>
              <w:left w:val="nil"/>
              <w:bottom w:val="single" w:color="000000" w:sz="4" w:space="0"/>
              <w:right w:val="nil"/>
            </w:tcBorders>
          </w:tcPr>
          <w:p>
            <w:pPr>
              <w:ind w:firstLine="440"/>
              <w:rPr>
                <w:rFonts w:ascii="仿宋_GB2312" w:hAnsi="Arial" w:cs="Arial"/>
                <w:sz w:val="22"/>
              </w:rPr>
            </w:pPr>
          </w:p>
        </w:tc>
        <w:tc>
          <w:tcPr>
            <w:tcW w:w="1276"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c>
          <w:tcPr>
            <w:tcW w:w="2528" w:type="dxa"/>
            <w:tcBorders>
              <w:top w:val="single" w:color="000000" w:sz="4" w:space="0"/>
              <w:left w:val="nil"/>
              <w:bottom w:val="single" w:color="000000" w:sz="4" w:space="0"/>
            </w:tcBorders>
            <w:tcMar>
              <w:top w:w="15" w:type="dxa"/>
              <w:left w:w="15" w:type="dxa"/>
              <w:bottom w:w="0" w:type="dxa"/>
              <w:right w:w="15" w:type="dxa"/>
            </w:tcMar>
            <w:vAlign w:val="center"/>
          </w:tcPr>
          <w:p>
            <w:pPr>
              <w:ind w:firstLine="440"/>
              <w:rPr>
                <w:rFonts w:ascii="仿宋_GB2312" w:hAnsi="Arial" w:cs="Arial"/>
                <w:sz w:val="22"/>
              </w:rPr>
            </w:pPr>
          </w:p>
        </w:tc>
      </w:tr>
      <w:tr>
        <w:tblPrEx>
          <w:tblCellMar>
            <w:top w:w="0" w:type="dxa"/>
            <w:left w:w="0" w:type="dxa"/>
            <w:bottom w:w="0" w:type="dxa"/>
            <w:right w:w="0" w:type="dxa"/>
          </w:tblCellMar>
        </w:tblPrEx>
        <w:trPr>
          <w:hidden/>
        </w:trPr>
        <w:tc>
          <w:tcPr>
            <w:tcW w:w="1754"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843" w:type="dxa"/>
            <w:tcBorders>
              <w:top w:val="nil"/>
              <w:left w:val="nil"/>
              <w:bottom w:val="nil"/>
              <w:right w:val="nil"/>
            </w:tcBorders>
          </w:tcPr>
          <w:p>
            <w:pPr>
              <w:ind w:firstLine="400"/>
              <w:rPr>
                <w:rFonts w:ascii="Arial" w:hAnsi="Arial" w:cs="Arial"/>
                <w:vanish/>
                <w:sz w:val="20"/>
                <w:szCs w:val="20"/>
              </w:rPr>
            </w:pPr>
          </w:p>
        </w:tc>
        <w:tc>
          <w:tcPr>
            <w:tcW w:w="1819"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840"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188"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487"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1328" w:type="dxa"/>
            <w:tcBorders>
              <w:top w:val="nil"/>
              <w:left w:val="nil"/>
              <w:bottom w:val="nil"/>
              <w:right w:val="nil"/>
            </w:tcBorders>
          </w:tcPr>
          <w:p>
            <w:pPr>
              <w:ind w:firstLine="400"/>
              <w:rPr>
                <w:rFonts w:ascii="Arial" w:hAnsi="Arial" w:cs="Arial"/>
                <w:vanish/>
                <w:sz w:val="20"/>
                <w:szCs w:val="20"/>
              </w:rPr>
            </w:pPr>
          </w:p>
        </w:tc>
        <w:tc>
          <w:tcPr>
            <w:tcW w:w="1276"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c>
          <w:tcPr>
            <w:tcW w:w="2528" w:type="dxa"/>
            <w:tcBorders>
              <w:top w:val="nil"/>
              <w:left w:val="nil"/>
              <w:bottom w:val="nil"/>
              <w:right w:val="nil"/>
            </w:tcBorders>
            <w:noWrap/>
            <w:tcMar>
              <w:top w:w="15" w:type="dxa"/>
              <w:left w:w="15" w:type="dxa"/>
              <w:bottom w:w="0" w:type="dxa"/>
              <w:right w:w="15" w:type="dxa"/>
            </w:tcMar>
            <w:vAlign w:val="bottom"/>
          </w:tcPr>
          <w:p>
            <w:pPr>
              <w:ind w:firstLine="400"/>
              <w:rPr>
                <w:rFonts w:ascii="Arial" w:hAnsi="Arial" w:cs="Arial"/>
                <w:vanish/>
                <w:sz w:val="20"/>
                <w:szCs w:val="20"/>
              </w:rPr>
            </w:pPr>
          </w:p>
        </w:tc>
      </w:tr>
    </w:tbl>
    <w:p>
      <w:pPr>
        <w:pStyle w:val="44"/>
        <w:ind w:firstLine="560"/>
        <w:sectPr>
          <w:footerReference r:id="rId12" w:type="default"/>
          <w:pgSz w:w="16838" w:h="11906" w:orient="landscape"/>
          <w:pgMar w:top="1800" w:right="1440" w:bottom="1800" w:left="1440" w:header="851" w:footer="992" w:gutter="0"/>
          <w:pgNumType w:start="1"/>
          <w:cols w:space="425" w:num="1"/>
          <w:docGrid w:type="lines" w:linePitch="381" w:charSpace="0"/>
        </w:sectPr>
      </w:pPr>
    </w:p>
    <w:p>
      <w:pPr>
        <w:ind w:firstLine="0" w:firstLineChars="0"/>
      </w:pPr>
    </w:p>
    <w:sectPr>
      <w:headerReference r:id="rId15" w:type="first"/>
      <w:footerReference r:id="rId18" w:type="first"/>
      <w:headerReference r:id="rId13" w:type="default"/>
      <w:footerReference r:id="rId16" w:type="default"/>
      <w:headerReference r:id="rId14" w:type="even"/>
      <w:footerReference r:id="rId17" w:type="even"/>
      <w:pgSz w:w="16838" w:h="11906" w:orient="landscape"/>
      <w:pgMar w:top="1800" w:right="1440" w:bottom="1800" w:left="1440" w:header="851" w:footer="992" w:gutter="0"/>
      <w:cols w:space="425" w:num="1"/>
      <w:docGrid w:type="lines"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560"/>
      </w:pPr>
      <w:r>
        <w:separator/>
      </w:r>
    </w:p>
  </w:endnote>
  <w:endnote w:type="continuationSeparator" w:id="1">
    <w:p>
      <w:pPr>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p>
  <w:p>
    <w:pPr>
      <w:pStyle w:val="16"/>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r>
      <w:fldChar w:fldCharType="begin"/>
    </w:r>
    <w:r>
      <w:instrText xml:space="preserve">PAGE   \* MERGEFORMAT</w:instrText>
    </w:r>
    <w:r>
      <w:fldChar w:fldCharType="separate"/>
    </w:r>
    <w:r>
      <w:rPr>
        <w:lang w:val="zh-CN"/>
      </w:rPr>
      <w:t>7</w:t>
    </w:r>
    <w:r>
      <w:rPr>
        <w:lang w:val="zh-CN"/>
      </w:rPr>
      <w:fldChar w:fldCharType="end"/>
    </w:r>
  </w:p>
  <w:p>
    <w:pPr>
      <w:pStyle w:val="16"/>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jc w:val="center"/>
    </w:pPr>
  </w:p>
  <w:p>
    <w:pPr>
      <w:pStyle w:val="16"/>
      <w:ind w:firstLine="0" w:firstLineChars="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0" w:firstLineChars="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560"/>
      </w:pPr>
      <w:r>
        <w:separator/>
      </w:r>
    </w:p>
  </w:footnote>
  <w:footnote w:type="continuationSeparator" w:id="1">
    <w:p>
      <w:pPr>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B53022"/>
    <w:multiLevelType w:val="singleLevel"/>
    <w:tmpl w:val="E3B53022"/>
    <w:lvl w:ilvl="0" w:tentative="0">
      <w:start w:val="1"/>
      <w:numFmt w:val="decimal"/>
      <w:lvlText w:val="%1."/>
      <w:lvlJc w:val="left"/>
      <w:pPr>
        <w:ind w:left="425" w:hanging="425"/>
      </w:pPr>
      <w:rPr>
        <w:rFonts w:hint="default"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40"/>
  <w:drawingGridVerticalSpacing w:val="381"/>
  <w:displayHorizontalDrawingGridEvery w:val="0"/>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07B7"/>
    <w:rsid w:val="000122EB"/>
    <w:rsid w:val="000142C9"/>
    <w:rsid w:val="00027C90"/>
    <w:rsid w:val="000805D6"/>
    <w:rsid w:val="00080DE2"/>
    <w:rsid w:val="0009606F"/>
    <w:rsid w:val="000A2B0D"/>
    <w:rsid w:val="000C6D57"/>
    <w:rsid w:val="000E044C"/>
    <w:rsid w:val="001028E5"/>
    <w:rsid w:val="001507B7"/>
    <w:rsid w:val="00156586"/>
    <w:rsid w:val="00170CA4"/>
    <w:rsid w:val="0017285F"/>
    <w:rsid w:val="001A3CD2"/>
    <w:rsid w:val="001B4120"/>
    <w:rsid w:val="001C06A8"/>
    <w:rsid w:val="002334E5"/>
    <w:rsid w:val="0023374D"/>
    <w:rsid w:val="00233B2D"/>
    <w:rsid w:val="00242DB8"/>
    <w:rsid w:val="00246562"/>
    <w:rsid w:val="002466C7"/>
    <w:rsid w:val="002501B7"/>
    <w:rsid w:val="00251511"/>
    <w:rsid w:val="0025376C"/>
    <w:rsid w:val="002A0567"/>
    <w:rsid w:val="002A3FC6"/>
    <w:rsid w:val="002B43E5"/>
    <w:rsid w:val="002C673A"/>
    <w:rsid w:val="002E433E"/>
    <w:rsid w:val="003022B9"/>
    <w:rsid w:val="00303641"/>
    <w:rsid w:val="003045A6"/>
    <w:rsid w:val="003242E7"/>
    <w:rsid w:val="00325A56"/>
    <w:rsid w:val="00326642"/>
    <w:rsid w:val="003414CE"/>
    <w:rsid w:val="003474F7"/>
    <w:rsid w:val="00357560"/>
    <w:rsid w:val="003A5DD6"/>
    <w:rsid w:val="003A6136"/>
    <w:rsid w:val="003B03AC"/>
    <w:rsid w:val="003C39F2"/>
    <w:rsid w:val="003E0487"/>
    <w:rsid w:val="003E1BB0"/>
    <w:rsid w:val="003E7B75"/>
    <w:rsid w:val="00400D3F"/>
    <w:rsid w:val="00401866"/>
    <w:rsid w:val="00401D6B"/>
    <w:rsid w:val="00405A2B"/>
    <w:rsid w:val="004133EA"/>
    <w:rsid w:val="0042269C"/>
    <w:rsid w:val="00441BCE"/>
    <w:rsid w:val="00452CC6"/>
    <w:rsid w:val="004550E0"/>
    <w:rsid w:val="004551B8"/>
    <w:rsid w:val="00455292"/>
    <w:rsid w:val="00480C40"/>
    <w:rsid w:val="00492C52"/>
    <w:rsid w:val="004979FF"/>
    <w:rsid w:val="004B227E"/>
    <w:rsid w:val="004C6F6A"/>
    <w:rsid w:val="004E0FDB"/>
    <w:rsid w:val="00542BD3"/>
    <w:rsid w:val="00543E44"/>
    <w:rsid w:val="00576C00"/>
    <w:rsid w:val="00593D5E"/>
    <w:rsid w:val="005A080E"/>
    <w:rsid w:val="005A3D0F"/>
    <w:rsid w:val="005B1DE6"/>
    <w:rsid w:val="005B7922"/>
    <w:rsid w:val="005E4265"/>
    <w:rsid w:val="005E7218"/>
    <w:rsid w:val="00614D76"/>
    <w:rsid w:val="006314F7"/>
    <w:rsid w:val="006475F4"/>
    <w:rsid w:val="00651C0F"/>
    <w:rsid w:val="00656B37"/>
    <w:rsid w:val="006570A5"/>
    <w:rsid w:val="00690F0F"/>
    <w:rsid w:val="006A3C55"/>
    <w:rsid w:val="006E330B"/>
    <w:rsid w:val="006F17DD"/>
    <w:rsid w:val="00700951"/>
    <w:rsid w:val="00734FBB"/>
    <w:rsid w:val="00795EE4"/>
    <w:rsid w:val="007A0274"/>
    <w:rsid w:val="007B18A7"/>
    <w:rsid w:val="007B29FC"/>
    <w:rsid w:val="007F5D03"/>
    <w:rsid w:val="00805ED9"/>
    <w:rsid w:val="00843FC2"/>
    <w:rsid w:val="00844C16"/>
    <w:rsid w:val="00850D03"/>
    <w:rsid w:val="00872799"/>
    <w:rsid w:val="0089335B"/>
    <w:rsid w:val="00893ADD"/>
    <w:rsid w:val="008B49C9"/>
    <w:rsid w:val="008B6A5F"/>
    <w:rsid w:val="008C2871"/>
    <w:rsid w:val="008C72AA"/>
    <w:rsid w:val="008F371F"/>
    <w:rsid w:val="00910324"/>
    <w:rsid w:val="00926CFB"/>
    <w:rsid w:val="009520B5"/>
    <w:rsid w:val="0095796F"/>
    <w:rsid w:val="009856DA"/>
    <w:rsid w:val="00996005"/>
    <w:rsid w:val="00A01AD8"/>
    <w:rsid w:val="00A07C62"/>
    <w:rsid w:val="00A10898"/>
    <w:rsid w:val="00A41307"/>
    <w:rsid w:val="00A52539"/>
    <w:rsid w:val="00A56A97"/>
    <w:rsid w:val="00A67F57"/>
    <w:rsid w:val="00A709BA"/>
    <w:rsid w:val="00A7438C"/>
    <w:rsid w:val="00A92A0A"/>
    <w:rsid w:val="00AA568B"/>
    <w:rsid w:val="00AB0F1D"/>
    <w:rsid w:val="00AC2951"/>
    <w:rsid w:val="00AD64A8"/>
    <w:rsid w:val="00B0412B"/>
    <w:rsid w:val="00B21080"/>
    <w:rsid w:val="00B31ECA"/>
    <w:rsid w:val="00B43815"/>
    <w:rsid w:val="00B52EBA"/>
    <w:rsid w:val="00B535AB"/>
    <w:rsid w:val="00B64666"/>
    <w:rsid w:val="00B8092D"/>
    <w:rsid w:val="00B81BE0"/>
    <w:rsid w:val="00B85A2B"/>
    <w:rsid w:val="00B9323C"/>
    <w:rsid w:val="00BC2B39"/>
    <w:rsid w:val="00BC42DD"/>
    <w:rsid w:val="00BD346F"/>
    <w:rsid w:val="00C24C26"/>
    <w:rsid w:val="00C25722"/>
    <w:rsid w:val="00C372D2"/>
    <w:rsid w:val="00C44067"/>
    <w:rsid w:val="00CA22A5"/>
    <w:rsid w:val="00CA34FC"/>
    <w:rsid w:val="00CA50DE"/>
    <w:rsid w:val="00CD128E"/>
    <w:rsid w:val="00CE5BDA"/>
    <w:rsid w:val="00CF39E1"/>
    <w:rsid w:val="00CF51F1"/>
    <w:rsid w:val="00D01733"/>
    <w:rsid w:val="00D71919"/>
    <w:rsid w:val="00D90DEA"/>
    <w:rsid w:val="00D97E83"/>
    <w:rsid w:val="00DC184E"/>
    <w:rsid w:val="00E11E0B"/>
    <w:rsid w:val="00E56E53"/>
    <w:rsid w:val="00E609AE"/>
    <w:rsid w:val="00E750BD"/>
    <w:rsid w:val="00E91A08"/>
    <w:rsid w:val="00E965D1"/>
    <w:rsid w:val="00EB4620"/>
    <w:rsid w:val="00EC43B2"/>
    <w:rsid w:val="00F03519"/>
    <w:rsid w:val="00F03929"/>
    <w:rsid w:val="00F060C7"/>
    <w:rsid w:val="00F068F7"/>
    <w:rsid w:val="00F14561"/>
    <w:rsid w:val="00F25650"/>
    <w:rsid w:val="00F45162"/>
    <w:rsid w:val="00F5304C"/>
    <w:rsid w:val="00F870C6"/>
    <w:rsid w:val="00F92B58"/>
    <w:rsid w:val="00F96480"/>
    <w:rsid w:val="00FD0AF5"/>
    <w:rsid w:val="00FD3022"/>
    <w:rsid w:val="00FD64C8"/>
    <w:rsid w:val="00FE4A15"/>
    <w:rsid w:val="00FF6DAB"/>
    <w:rsid w:val="2F704B43"/>
    <w:rsid w:val="5396299C"/>
    <w:rsid w:val="7DF3388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qFormat="1" w:unhideWhenUsed="0"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qFormat="1" w:unhideWhenUsed="0"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qFormat="1" w:unhideWhenUsed="0" w:uiPriority="9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600" w:firstLineChars="200"/>
      <w:jc w:val="both"/>
    </w:pPr>
    <w:rPr>
      <w:rFonts w:ascii="Calibri" w:hAnsi="Calibri" w:eastAsia="仿宋_GB2312" w:cs="黑体"/>
      <w:kern w:val="2"/>
      <w:sz w:val="28"/>
      <w:szCs w:val="22"/>
      <w:lang w:val="en-US" w:eastAsia="zh-CN" w:bidi="ar-SA"/>
    </w:rPr>
  </w:style>
  <w:style w:type="paragraph" w:styleId="2">
    <w:name w:val="heading 1"/>
    <w:basedOn w:val="1"/>
    <w:next w:val="3"/>
    <w:link w:val="29"/>
    <w:qFormat/>
    <w:uiPriority w:val="99"/>
    <w:pPr>
      <w:keepNext/>
      <w:keepLines/>
      <w:spacing w:before="340" w:after="330" w:line="578" w:lineRule="auto"/>
      <w:jc w:val="left"/>
      <w:outlineLvl w:val="0"/>
    </w:pPr>
    <w:rPr>
      <w:rFonts w:ascii="Times New Roman" w:hAnsi="Times New Roman" w:cs="Times New Roman"/>
      <w:b/>
      <w:bCs/>
      <w:kern w:val="44"/>
      <w:sz w:val="32"/>
      <w:szCs w:val="44"/>
    </w:rPr>
  </w:style>
  <w:style w:type="paragraph" w:styleId="5">
    <w:name w:val="heading 2"/>
    <w:basedOn w:val="1"/>
    <w:next w:val="6"/>
    <w:link w:val="30"/>
    <w:qFormat/>
    <w:uiPriority w:val="99"/>
    <w:pPr>
      <w:keepNext/>
      <w:keepLines/>
      <w:spacing w:before="260" w:after="260" w:line="415" w:lineRule="auto"/>
      <w:ind w:firstLine="200"/>
      <w:jc w:val="left"/>
      <w:outlineLvl w:val="1"/>
    </w:pPr>
    <w:rPr>
      <w:rFonts w:ascii="Cambria" w:hAnsi="Cambria" w:cs="Times New Roman"/>
      <w:b/>
      <w:bCs/>
      <w:kern w:val="0"/>
      <w:sz w:val="30"/>
      <w:szCs w:val="32"/>
    </w:rPr>
  </w:style>
  <w:style w:type="paragraph" w:styleId="7">
    <w:name w:val="heading 3"/>
    <w:basedOn w:val="1"/>
    <w:next w:val="1"/>
    <w:link w:val="31"/>
    <w:qFormat/>
    <w:uiPriority w:val="99"/>
    <w:pPr>
      <w:keepNext/>
      <w:keepLines/>
      <w:spacing w:before="260" w:after="260" w:line="416" w:lineRule="auto"/>
      <w:jc w:val="left"/>
      <w:outlineLvl w:val="2"/>
    </w:pPr>
    <w:rPr>
      <w:rFonts w:cs="Times New Roman"/>
      <w:bCs/>
      <w:kern w:val="0"/>
      <w:szCs w:val="32"/>
    </w:rPr>
  </w:style>
  <w:style w:type="paragraph" w:styleId="8">
    <w:name w:val="heading 4"/>
    <w:basedOn w:val="1"/>
    <w:next w:val="1"/>
    <w:link w:val="32"/>
    <w:qFormat/>
    <w:uiPriority w:val="99"/>
    <w:pPr>
      <w:keepNext/>
      <w:keepLines/>
      <w:spacing w:before="280" w:after="290" w:line="376" w:lineRule="auto"/>
      <w:outlineLvl w:val="3"/>
    </w:pPr>
    <w:rPr>
      <w:rFonts w:ascii="Cambria" w:hAnsi="Cambria" w:eastAsia="宋体" w:cs="Times New Roman"/>
      <w:b/>
      <w:bCs/>
      <w:kern w:val="0"/>
      <w:szCs w:val="28"/>
    </w:rPr>
  </w:style>
  <w:style w:type="character" w:default="1" w:styleId="26">
    <w:name w:val="Default Paragraph Font"/>
    <w:semiHidden/>
    <w:qFormat/>
    <w:uiPriority w:val="99"/>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3">
    <w:name w:val="Body Text First Indent 2"/>
    <w:basedOn w:val="4"/>
    <w:link w:val="36"/>
    <w:qFormat/>
    <w:uiPriority w:val="99"/>
    <w:pPr>
      <w:ind w:firstLine="420"/>
    </w:pPr>
  </w:style>
  <w:style w:type="paragraph" w:styleId="4">
    <w:name w:val="Body Text Indent"/>
    <w:basedOn w:val="1"/>
    <w:link w:val="35"/>
    <w:semiHidden/>
    <w:qFormat/>
    <w:uiPriority w:val="99"/>
    <w:pPr>
      <w:spacing w:after="120"/>
      <w:ind w:left="420" w:leftChars="200"/>
    </w:pPr>
    <w:rPr>
      <w:rFonts w:cs="Times New Roman"/>
      <w:kern w:val="0"/>
      <w:szCs w:val="20"/>
    </w:rPr>
  </w:style>
  <w:style w:type="paragraph" w:styleId="6">
    <w:name w:val="No Spacing"/>
    <w:link w:val="43"/>
    <w:qFormat/>
    <w:uiPriority w:val="99"/>
    <w:pPr>
      <w:widowControl w:val="0"/>
      <w:ind w:firstLine="600" w:firstLineChars="200"/>
      <w:jc w:val="both"/>
    </w:pPr>
    <w:rPr>
      <w:rFonts w:ascii="Calibri" w:hAnsi="Calibri" w:eastAsia="仿宋_GB2312" w:cs="Times New Roman"/>
      <w:kern w:val="0"/>
      <w:sz w:val="28"/>
      <w:szCs w:val="22"/>
      <w:lang w:val="en-US" w:eastAsia="zh-CN" w:bidi="ar-SA"/>
    </w:rPr>
  </w:style>
  <w:style w:type="paragraph" w:styleId="9">
    <w:name w:val="toc 7"/>
    <w:basedOn w:val="1"/>
    <w:next w:val="1"/>
    <w:qFormat/>
    <w:uiPriority w:val="99"/>
    <w:pPr>
      <w:ind w:left="1680"/>
      <w:jc w:val="left"/>
    </w:pPr>
    <w:rPr>
      <w:rFonts w:cs="Calibri"/>
      <w:sz w:val="18"/>
      <w:szCs w:val="18"/>
    </w:rPr>
  </w:style>
  <w:style w:type="paragraph" w:styleId="10">
    <w:name w:val="Document Map"/>
    <w:basedOn w:val="1"/>
    <w:link w:val="42"/>
    <w:semiHidden/>
    <w:qFormat/>
    <w:uiPriority w:val="99"/>
    <w:rPr>
      <w:rFonts w:ascii="宋体" w:eastAsia="宋体" w:cs="Times New Roman"/>
      <w:kern w:val="0"/>
      <w:sz w:val="18"/>
      <w:szCs w:val="18"/>
    </w:rPr>
  </w:style>
  <w:style w:type="paragraph" w:styleId="11">
    <w:name w:val="annotation text"/>
    <w:basedOn w:val="1"/>
    <w:link w:val="40"/>
    <w:semiHidden/>
    <w:qFormat/>
    <w:uiPriority w:val="99"/>
    <w:rPr>
      <w:rFonts w:cs="Times New Roman"/>
      <w:kern w:val="0"/>
      <w:sz w:val="20"/>
      <w:szCs w:val="20"/>
    </w:rPr>
  </w:style>
  <w:style w:type="paragraph" w:styleId="12">
    <w:name w:val="toc 5"/>
    <w:basedOn w:val="1"/>
    <w:next w:val="1"/>
    <w:qFormat/>
    <w:uiPriority w:val="99"/>
    <w:pPr>
      <w:ind w:left="1120"/>
      <w:jc w:val="left"/>
    </w:pPr>
    <w:rPr>
      <w:rFonts w:cs="Calibri"/>
      <w:sz w:val="18"/>
      <w:szCs w:val="18"/>
    </w:rPr>
  </w:style>
  <w:style w:type="paragraph" w:styleId="13">
    <w:name w:val="toc 3"/>
    <w:basedOn w:val="1"/>
    <w:next w:val="1"/>
    <w:uiPriority w:val="99"/>
    <w:pPr>
      <w:ind w:left="560"/>
      <w:jc w:val="left"/>
    </w:pPr>
    <w:rPr>
      <w:rFonts w:cs="Calibri"/>
      <w:i/>
      <w:iCs/>
      <w:sz w:val="20"/>
      <w:szCs w:val="20"/>
    </w:rPr>
  </w:style>
  <w:style w:type="paragraph" w:styleId="14">
    <w:name w:val="toc 8"/>
    <w:basedOn w:val="1"/>
    <w:next w:val="1"/>
    <w:qFormat/>
    <w:uiPriority w:val="99"/>
    <w:pPr>
      <w:ind w:left="1960"/>
      <w:jc w:val="left"/>
    </w:pPr>
    <w:rPr>
      <w:rFonts w:cs="Calibri"/>
      <w:sz w:val="18"/>
      <w:szCs w:val="18"/>
    </w:rPr>
  </w:style>
  <w:style w:type="paragraph" w:styleId="15">
    <w:name w:val="Balloon Text"/>
    <w:basedOn w:val="1"/>
    <w:link w:val="38"/>
    <w:semiHidden/>
    <w:uiPriority w:val="99"/>
    <w:rPr>
      <w:rFonts w:cs="Times New Roman"/>
      <w:kern w:val="0"/>
      <w:sz w:val="18"/>
      <w:szCs w:val="18"/>
    </w:rPr>
  </w:style>
  <w:style w:type="paragraph" w:styleId="16">
    <w:name w:val="footer"/>
    <w:basedOn w:val="1"/>
    <w:link w:val="34"/>
    <w:qFormat/>
    <w:uiPriority w:val="99"/>
    <w:pPr>
      <w:tabs>
        <w:tab w:val="center" w:pos="4153"/>
        <w:tab w:val="right" w:pos="8306"/>
      </w:tabs>
      <w:snapToGrid w:val="0"/>
      <w:jc w:val="left"/>
    </w:pPr>
    <w:rPr>
      <w:sz w:val="18"/>
      <w:szCs w:val="18"/>
    </w:rPr>
  </w:style>
  <w:style w:type="paragraph" w:styleId="17">
    <w:name w:val="header"/>
    <w:basedOn w:val="1"/>
    <w:link w:val="33"/>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99"/>
    <w:pPr>
      <w:spacing w:before="120" w:after="120"/>
      <w:jc w:val="left"/>
    </w:pPr>
    <w:rPr>
      <w:rFonts w:cs="Calibri"/>
      <w:b/>
      <w:bCs/>
      <w:caps/>
      <w:sz w:val="20"/>
      <w:szCs w:val="20"/>
    </w:rPr>
  </w:style>
  <w:style w:type="paragraph" w:styleId="19">
    <w:name w:val="toc 4"/>
    <w:basedOn w:val="1"/>
    <w:next w:val="1"/>
    <w:qFormat/>
    <w:uiPriority w:val="99"/>
    <w:pPr>
      <w:ind w:left="840"/>
      <w:jc w:val="left"/>
    </w:pPr>
    <w:rPr>
      <w:rFonts w:cs="Calibri"/>
      <w:sz w:val="18"/>
      <w:szCs w:val="18"/>
    </w:rPr>
  </w:style>
  <w:style w:type="paragraph" w:styleId="20">
    <w:name w:val="toc 6"/>
    <w:basedOn w:val="1"/>
    <w:next w:val="1"/>
    <w:qFormat/>
    <w:uiPriority w:val="99"/>
    <w:pPr>
      <w:ind w:left="1400"/>
      <w:jc w:val="left"/>
    </w:pPr>
    <w:rPr>
      <w:rFonts w:cs="Calibri"/>
      <w:sz w:val="18"/>
      <w:szCs w:val="18"/>
    </w:rPr>
  </w:style>
  <w:style w:type="paragraph" w:styleId="21">
    <w:name w:val="toc 2"/>
    <w:basedOn w:val="1"/>
    <w:next w:val="1"/>
    <w:qFormat/>
    <w:uiPriority w:val="99"/>
    <w:pPr>
      <w:ind w:left="280"/>
      <w:jc w:val="left"/>
    </w:pPr>
    <w:rPr>
      <w:rFonts w:cs="Calibri"/>
      <w:smallCaps/>
      <w:sz w:val="20"/>
      <w:szCs w:val="20"/>
    </w:rPr>
  </w:style>
  <w:style w:type="paragraph" w:styleId="22">
    <w:name w:val="toc 9"/>
    <w:basedOn w:val="1"/>
    <w:next w:val="1"/>
    <w:qFormat/>
    <w:uiPriority w:val="99"/>
    <w:pPr>
      <w:ind w:left="2240"/>
      <w:jc w:val="left"/>
    </w:pPr>
    <w:rPr>
      <w:rFonts w:cs="Calibri"/>
      <w:sz w:val="18"/>
      <w:szCs w:val="18"/>
    </w:rPr>
  </w:style>
  <w:style w:type="paragraph" w:styleId="23">
    <w:name w:val="annotation subject"/>
    <w:basedOn w:val="11"/>
    <w:next w:val="11"/>
    <w:link w:val="41"/>
    <w:semiHidden/>
    <w:qFormat/>
    <w:uiPriority w:val="99"/>
    <w:rPr>
      <w:b/>
      <w:bCs/>
    </w:rPr>
  </w:style>
  <w:style w:type="table" w:styleId="25">
    <w:name w:val="Table Grid"/>
    <w:basedOn w:val="24"/>
    <w:qFormat/>
    <w:uiPriority w:val="99"/>
    <w:rPr>
      <w:rFonts w:ascii="Calibri" w:hAnsi="Calibri" w:eastAsia="宋体"/>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7">
    <w:name w:val="Hyperlink"/>
    <w:basedOn w:val="26"/>
    <w:qFormat/>
    <w:uiPriority w:val="99"/>
    <w:rPr>
      <w:rFonts w:cs="Times New Roman"/>
      <w:color w:val="0000FF"/>
      <w:u w:val="single"/>
    </w:rPr>
  </w:style>
  <w:style w:type="character" w:styleId="28">
    <w:name w:val="annotation reference"/>
    <w:basedOn w:val="26"/>
    <w:semiHidden/>
    <w:uiPriority w:val="99"/>
    <w:rPr>
      <w:rFonts w:cs="Times New Roman"/>
      <w:sz w:val="16"/>
    </w:rPr>
  </w:style>
  <w:style w:type="character" w:customStyle="1" w:styleId="29">
    <w:name w:val="Heading 1 Char"/>
    <w:basedOn w:val="26"/>
    <w:link w:val="2"/>
    <w:qFormat/>
    <w:locked/>
    <w:uiPriority w:val="99"/>
    <w:rPr>
      <w:rFonts w:ascii="Times New Roman" w:hAnsi="Times New Roman" w:eastAsia="仿宋_GB2312" w:cs="Times New Roman"/>
      <w:b/>
      <w:bCs/>
      <w:kern w:val="44"/>
      <w:sz w:val="44"/>
      <w:szCs w:val="44"/>
    </w:rPr>
  </w:style>
  <w:style w:type="character" w:customStyle="1" w:styleId="30">
    <w:name w:val="Heading 2 Char"/>
    <w:basedOn w:val="26"/>
    <w:link w:val="5"/>
    <w:qFormat/>
    <w:locked/>
    <w:uiPriority w:val="99"/>
    <w:rPr>
      <w:rFonts w:ascii="Cambria" w:hAnsi="Cambria" w:eastAsia="仿宋_GB2312" w:cs="Times New Roman"/>
      <w:b/>
      <w:bCs/>
      <w:kern w:val="0"/>
      <w:sz w:val="32"/>
      <w:szCs w:val="32"/>
    </w:rPr>
  </w:style>
  <w:style w:type="character" w:customStyle="1" w:styleId="31">
    <w:name w:val="Heading 3 Char"/>
    <w:basedOn w:val="26"/>
    <w:link w:val="7"/>
    <w:qFormat/>
    <w:locked/>
    <w:uiPriority w:val="99"/>
    <w:rPr>
      <w:rFonts w:ascii="Calibri" w:hAnsi="Calibri" w:eastAsia="仿宋_GB2312" w:cs="Times New Roman"/>
      <w:bCs/>
      <w:kern w:val="0"/>
      <w:sz w:val="32"/>
      <w:szCs w:val="32"/>
    </w:rPr>
  </w:style>
  <w:style w:type="character" w:customStyle="1" w:styleId="32">
    <w:name w:val="Heading 4 Char"/>
    <w:basedOn w:val="26"/>
    <w:link w:val="8"/>
    <w:semiHidden/>
    <w:qFormat/>
    <w:locked/>
    <w:uiPriority w:val="99"/>
    <w:rPr>
      <w:rFonts w:ascii="Cambria" w:hAnsi="Cambria" w:eastAsia="宋体" w:cs="Times New Roman"/>
      <w:b/>
      <w:bCs/>
      <w:kern w:val="0"/>
      <w:sz w:val="28"/>
      <w:szCs w:val="28"/>
    </w:rPr>
  </w:style>
  <w:style w:type="character" w:customStyle="1" w:styleId="33">
    <w:name w:val="Header Char"/>
    <w:basedOn w:val="26"/>
    <w:link w:val="17"/>
    <w:qFormat/>
    <w:locked/>
    <w:uiPriority w:val="99"/>
    <w:rPr>
      <w:rFonts w:cs="Times New Roman"/>
      <w:sz w:val="18"/>
      <w:szCs w:val="18"/>
    </w:rPr>
  </w:style>
  <w:style w:type="character" w:customStyle="1" w:styleId="34">
    <w:name w:val="Footer Char"/>
    <w:basedOn w:val="26"/>
    <w:link w:val="16"/>
    <w:qFormat/>
    <w:locked/>
    <w:uiPriority w:val="99"/>
    <w:rPr>
      <w:rFonts w:cs="Times New Roman"/>
      <w:sz w:val="18"/>
      <w:szCs w:val="18"/>
    </w:rPr>
  </w:style>
  <w:style w:type="character" w:customStyle="1" w:styleId="35">
    <w:name w:val="Body Text Indent Char"/>
    <w:basedOn w:val="26"/>
    <w:link w:val="4"/>
    <w:semiHidden/>
    <w:locked/>
    <w:uiPriority w:val="99"/>
    <w:rPr>
      <w:rFonts w:ascii="Calibri" w:hAnsi="Calibri" w:eastAsia="仿宋_GB2312" w:cs="Times New Roman"/>
      <w:kern w:val="0"/>
      <w:sz w:val="20"/>
      <w:szCs w:val="20"/>
    </w:rPr>
  </w:style>
  <w:style w:type="character" w:customStyle="1" w:styleId="36">
    <w:name w:val="Body Text First Indent 2 Char"/>
    <w:basedOn w:val="35"/>
    <w:link w:val="3"/>
    <w:locked/>
    <w:uiPriority w:val="99"/>
  </w:style>
  <w:style w:type="character" w:customStyle="1" w:styleId="37">
    <w:name w:val="Intense Reference"/>
    <w:basedOn w:val="26"/>
    <w:qFormat/>
    <w:uiPriority w:val="99"/>
    <w:rPr>
      <w:b/>
      <w:smallCaps/>
      <w:color w:val="C0504D"/>
      <w:spacing w:val="5"/>
      <w:u w:val="single"/>
    </w:rPr>
  </w:style>
  <w:style w:type="character" w:customStyle="1" w:styleId="38">
    <w:name w:val="Balloon Text Char"/>
    <w:basedOn w:val="26"/>
    <w:link w:val="15"/>
    <w:semiHidden/>
    <w:locked/>
    <w:uiPriority w:val="99"/>
    <w:rPr>
      <w:rFonts w:ascii="Calibri" w:hAnsi="Calibri" w:eastAsia="仿宋_GB2312" w:cs="Times New Roman"/>
      <w:kern w:val="0"/>
      <w:sz w:val="18"/>
      <w:szCs w:val="18"/>
    </w:rPr>
  </w:style>
  <w:style w:type="paragraph" w:styleId="39">
    <w:name w:val="List Paragraph"/>
    <w:basedOn w:val="1"/>
    <w:qFormat/>
    <w:uiPriority w:val="99"/>
    <w:pPr>
      <w:ind w:firstLine="420"/>
    </w:pPr>
  </w:style>
  <w:style w:type="character" w:customStyle="1" w:styleId="40">
    <w:name w:val="Comment Text Char"/>
    <w:basedOn w:val="26"/>
    <w:link w:val="11"/>
    <w:semiHidden/>
    <w:qFormat/>
    <w:locked/>
    <w:uiPriority w:val="99"/>
    <w:rPr>
      <w:rFonts w:ascii="Calibri" w:hAnsi="Calibri" w:eastAsia="仿宋_GB2312" w:cs="Times New Roman"/>
      <w:kern w:val="0"/>
      <w:sz w:val="20"/>
      <w:szCs w:val="20"/>
    </w:rPr>
  </w:style>
  <w:style w:type="character" w:customStyle="1" w:styleId="41">
    <w:name w:val="Comment Subject Char"/>
    <w:basedOn w:val="40"/>
    <w:link w:val="23"/>
    <w:semiHidden/>
    <w:locked/>
    <w:uiPriority w:val="99"/>
    <w:rPr>
      <w:b/>
      <w:bCs/>
    </w:rPr>
  </w:style>
  <w:style w:type="character" w:customStyle="1" w:styleId="42">
    <w:name w:val="Document Map Char"/>
    <w:basedOn w:val="26"/>
    <w:link w:val="10"/>
    <w:semiHidden/>
    <w:locked/>
    <w:uiPriority w:val="99"/>
    <w:rPr>
      <w:rFonts w:ascii="宋体" w:hAnsi="Calibri" w:eastAsia="宋体" w:cs="Times New Roman"/>
      <w:kern w:val="0"/>
      <w:sz w:val="18"/>
      <w:szCs w:val="18"/>
    </w:rPr>
  </w:style>
  <w:style w:type="character" w:customStyle="1" w:styleId="43">
    <w:name w:val="No Spacing Char"/>
    <w:link w:val="6"/>
    <w:locked/>
    <w:uiPriority w:val="99"/>
    <w:rPr>
      <w:rFonts w:ascii="Calibri" w:hAnsi="Calibri" w:eastAsia="仿宋_GB2312"/>
      <w:sz w:val="22"/>
    </w:rPr>
  </w:style>
  <w:style w:type="paragraph" w:customStyle="1" w:styleId="44">
    <w:name w:val="闻政-正文段落文字"/>
    <w:basedOn w:val="1"/>
    <w:link w:val="45"/>
    <w:uiPriority w:val="99"/>
    <w:pPr>
      <w:spacing w:line="500" w:lineRule="exact"/>
      <w:ind w:firstLine="200"/>
    </w:pPr>
    <w:rPr>
      <w:rFonts w:ascii="Times New Roman" w:hAnsi="Times New Roman" w:cs="Times New Roman"/>
      <w:kern w:val="0"/>
      <w:szCs w:val="28"/>
    </w:rPr>
  </w:style>
  <w:style w:type="character" w:customStyle="1" w:styleId="45">
    <w:name w:val="闻政-正文段落文字 Char"/>
    <w:link w:val="44"/>
    <w:locked/>
    <w:uiPriority w:val="99"/>
    <w:rPr>
      <w:rFonts w:ascii="Times New Roman" w:hAnsi="Times New Roman" w:eastAsia="仿宋_GB2312"/>
      <w:kern w:val="0"/>
      <w:sz w:val="28"/>
    </w:rPr>
  </w:style>
  <w:style w:type="paragraph" w:customStyle="1" w:styleId="46">
    <w:name w:val="闻政-正文二级标题"/>
    <w:basedOn w:val="5"/>
    <w:next w:val="44"/>
    <w:link w:val="47"/>
    <w:uiPriority w:val="99"/>
    <w:pPr>
      <w:spacing w:before="120" w:after="60" w:line="500" w:lineRule="exact"/>
      <w:ind w:left="200" w:leftChars="200" w:firstLine="0" w:firstLineChars="0"/>
    </w:pPr>
    <w:rPr>
      <w:rFonts w:ascii="Times New Roman" w:hAnsi="Times New Roman"/>
      <w:sz w:val="28"/>
    </w:rPr>
  </w:style>
  <w:style w:type="character" w:customStyle="1" w:styleId="47">
    <w:name w:val="闻政-正文二级标题 Char"/>
    <w:link w:val="46"/>
    <w:locked/>
    <w:uiPriority w:val="99"/>
    <w:rPr>
      <w:rFonts w:ascii="Times New Roman" w:hAnsi="Times New Roman" w:eastAsia="仿宋_GB2312"/>
      <w:b/>
      <w:kern w:val="0"/>
      <w:sz w:val="32"/>
    </w:rPr>
  </w:style>
  <w:style w:type="paragraph" w:customStyle="1" w:styleId="48">
    <w:name w:val="闻政-正文三级标题"/>
    <w:basedOn w:val="1"/>
    <w:next w:val="44"/>
    <w:link w:val="49"/>
    <w:uiPriority w:val="99"/>
    <w:pPr>
      <w:widowControl/>
      <w:spacing w:before="120" w:after="60" w:line="500" w:lineRule="exact"/>
      <w:ind w:left="200" w:leftChars="200" w:firstLine="0" w:firstLineChars="0"/>
    </w:pPr>
    <w:rPr>
      <w:rFonts w:ascii="Times New Roman" w:hAnsi="Times New Roman" w:cs="Times New Roman"/>
      <w:b/>
      <w:kern w:val="0"/>
      <w:szCs w:val="28"/>
    </w:rPr>
  </w:style>
  <w:style w:type="character" w:customStyle="1" w:styleId="49">
    <w:name w:val="闻政-正文三级标题 Char"/>
    <w:link w:val="48"/>
    <w:qFormat/>
    <w:locked/>
    <w:uiPriority w:val="99"/>
    <w:rPr>
      <w:rFonts w:ascii="Times New Roman" w:hAnsi="Times New Roman" w:eastAsia="仿宋_GB2312"/>
      <w:b/>
      <w:snapToGrid w:val="0"/>
      <w:kern w:val="0"/>
      <w:sz w:val="28"/>
    </w:rPr>
  </w:style>
  <w:style w:type="paragraph" w:customStyle="1" w:styleId="50">
    <w:name w:val="闻政-正文四级标题"/>
    <w:basedOn w:val="48"/>
    <w:next w:val="44"/>
    <w:link w:val="51"/>
    <w:uiPriority w:val="99"/>
    <w:rPr>
      <w:b w:val="0"/>
    </w:rPr>
  </w:style>
  <w:style w:type="character" w:customStyle="1" w:styleId="51">
    <w:name w:val="闻政-正文四级标题 Char"/>
    <w:link w:val="50"/>
    <w:locked/>
    <w:uiPriority w:val="99"/>
    <w:rPr>
      <w:rFonts w:ascii="Times New Roman" w:hAnsi="Times New Roman" w:eastAsia="仿宋_GB2312"/>
      <w:snapToGrid w:val="0"/>
      <w:kern w:val="0"/>
      <w:sz w:val="28"/>
    </w:rPr>
  </w:style>
  <w:style w:type="paragraph" w:customStyle="1" w:styleId="52">
    <w:name w:val="闻政-正文一级标题"/>
    <w:basedOn w:val="7"/>
    <w:next w:val="44"/>
    <w:link w:val="53"/>
    <w:uiPriority w:val="99"/>
    <w:pPr>
      <w:spacing w:before="120" w:after="60" w:line="500" w:lineRule="exact"/>
      <w:ind w:firstLine="0" w:firstLineChars="0"/>
      <w:outlineLvl w:val="0"/>
    </w:pPr>
    <w:rPr>
      <w:rFonts w:ascii="黑体" w:hAnsi="黑体" w:eastAsia="黑体"/>
      <w:sz w:val="32"/>
    </w:rPr>
  </w:style>
  <w:style w:type="character" w:customStyle="1" w:styleId="53">
    <w:name w:val="闻政-正文一级标题 Char"/>
    <w:link w:val="52"/>
    <w:locked/>
    <w:uiPriority w:val="99"/>
    <w:rPr>
      <w:rFonts w:ascii="黑体" w:hAnsi="黑体" w:eastAsia="黑体"/>
      <w:kern w:val="0"/>
      <w:sz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11</Pages>
  <Words>2700</Words>
  <Characters>2901</Characters>
  <Lines>0</Lines>
  <Paragraphs>0</Paragraphs>
  <TotalTime>17</TotalTime>
  <ScaleCrop>false</ScaleCrop>
  <LinksUpToDate>false</LinksUpToDate>
  <CharactersWithSpaces>2936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2020-07-13T07:59:00Z</dcterms:created>
  <dc:creator>qq</dc:creator>
  <cp:lastModifiedBy>贺敏</cp:lastModifiedBy>
  <dcterms:modified xsi:type="dcterms:W3CDTF">2022-03-29T07:20:24Z</dcterms:modified>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A1AC3315CC774AC8BCF560DCC63439DF</vt:lpwstr>
  </property>
</Properties>
</file>