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三馆运行经费</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tabs>
          <w:tab w:val="left" w:pos="620"/>
        </w:tabs>
        <w:ind w:firstLine="0" w:firstLineChars="0"/>
        <w:rPr>
          <w:rFonts w:ascii="Calibri" w:hAnsi="Calibri" w:eastAsia="仿宋_GB2312" w:cs="黑体"/>
          <w:kern w:val="2"/>
          <w:sz w:val="28"/>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_Toc2332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_Toc24008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_Toc25304 </w:instrText>
      </w:r>
      <w:r>
        <w:fldChar w:fldCharType="separate"/>
      </w:r>
      <w:r>
        <w:t>2</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_Toc4764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_Toc11750 </w:instrText>
      </w:r>
      <w:r>
        <w:fldChar w:fldCharType="separate"/>
      </w:r>
      <w:r>
        <w:t>3</w:t>
      </w:r>
      <w:r>
        <w:fldChar w:fldCharType="end"/>
      </w:r>
    </w:p>
    <w:p>
      <w:pPr>
        <w:pStyle w:val="21"/>
        <w:tabs>
          <w:tab w:val="right" w:leader="dot" w:pos="8306"/>
        </w:tabs>
      </w:pPr>
      <w:r>
        <w:rPr>
          <w:rFonts w:hint="eastAsia"/>
        </w:rPr>
        <w:t>（三）项目效益情况</w:t>
      </w:r>
      <w:r>
        <w:tab/>
      </w:r>
      <w:r>
        <w:fldChar w:fldCharType="begin"/>
      </w:r>
      <w:r>
        <w:instrText xml:space="preserve"> PAGEREF _Toc26102 </w:instrText>
      </w:r>
      <w:r>
        <w:fldChar w:fldCharType="separate"/>
      </w:r>
      <w:r>
        <w:t>4</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_Toc17137 </w:instrText>
      </w:r>
      <w:r>
        <w:fldChar w:fldCharType="separate"/>
      </w:r>
      <w:r>
        <w:t>5</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_Toc29612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_Toc17639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_Toc14241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_Toc14882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_Toc14529 </w:instrText>
      </w:r>
      <w:r>
        <w:fldChar w:fldCharType="separate"/>
      </w:r>
      <w:r>
        <w:t>6</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_Toc10226 </w:instrText>
      </w:r>
      <w:r>
        <w:fldChar w:fldCharType="separate"/>
      </w:r>
      <w:r>
        <w:t>1</w:t>
      </w:r>
      <w:r>
        <w:fldChar w:fldCharType="end"/>
      </w:r>
    </w:p>
    <w:p>
      <w:pPr>
        <w:pStyle w:val="18"/>
        <w:tabs>
          <w:tab w:val="right" w:leader="dot" w:pos="8296"/>
        </w:tabs>
        <w:ind w:firstLine="275" w:firstLineChars="137"/>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2332"/>
      <w:r>
        <w:rPr>
          <w:rFonts w:hint="eastAsia" w:ascii="仿宋" w:hAnsi="仿宋" w:eastAsia="仿宋" w:cs="仿宋"/>
          <w:b/>
          <w:bCs w:val="0"/>
        </w:rPr>
        <w:t>一、项目的基本情况</w:t>
      </w:r>
      <w:bookmarkEnd w:id="0"/>
    </w:p>
    <w:p>
      <w:pPr>
        <w:pStyle w:val="46"/>
        <w:ind w:left="560"/>
      </w:pPr>
      <w:bookmarkStart w:id="1" w:name="_Toc24008"/>
      <w:r>
        <w:rPr>
          <w:rFonts w:hint="eastAsia"/>
        </w:rPr>
        <w:t>（一）项目概况</w:t>
      </w:r>
      <w:bookmarkEnd w:id="1"/>
    </w:p>
    <w:p>
      <w:pPr>
        <w:pStyle w:val="44"/>
        <w:ind w:left="280" w:firstLine="562"/>
      </w:pPr>
      <w:r>
        <w:rPr>
          <w:rFonts w:hint="eastAsia"/>
          <w:b/>
          <w:bCs/>
        </w:rPr>
        <w:t>项目概况：</w:t>
      </w:r>
      <w:r>
        <w:t>公共图书馆、文化馆、美术馆于2018年10月份开始修建，与2020年4月投入使用。三馆主要用于文化馆和图书馆的免费开放工作，保障全县群众有足够的文化活动场所，用于丰富群众文化生活，提高群众文化素养，提升我县文化水平。</w:t>
      </w:r>
    </w:p>
    <w:p>
      <w:pPr>
        <w:pStyle w:val="44"/>
        <w:ind w:left="280" w:firstLine="562"/>
      </w:pPr>
      <w:r>
        <w:rPr>
          <w:rFonts w:hint="eastAsia"/>
          <w:b/>
          <w:bCs/>
        </w:rPr>
        <w:t>立项依据：</w:t>
      </w:r>
      <w:r>
        <w:t>公共图书馆、文化馆、美术馆于2020年正式运行，目前已运行的图书馆和文化馆是免费开放，为全县居民提供文化场所，不收取任何费用，因此需要相关配套经费用于维持三馆日常运行经费和管理费用，包括水费、电费及相关时物业管理费用等，保障三馆工作的正常运行。</w:t>
      </w:r>
    </w:p>
    <w:p>
      <w:pPr>
        <w:pStyle w:val="44"/>
        <w:ind w:left="280" w:firstLine="562"/>
      </w:pPr>
      <w:r>
        <w:rPr>
          <w:rFonts w:hint="eastAsia"/>
          <w:b/>
          <w:bCs/>
        </w:rPr>
        <w:t>设立的必要性：</w:t>
      </w:r>
      <w:r>
        <w:t>保障全县群众有足够的文化活动场所，用于丰富群众文化生活，提高群众文化素养，提升我县文化水平。</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rPr>
          <w:rFonts w:hint="eastAsia"/>
          <w:b w:val="0"/>
          <w:bCs w:val="0"/>
          <w:lang w:eastAsia="zh-CN"/>
        </w:rPr>
        <w:t>支付三馆</w:t>
      </w:r>
      <w:r>
        <w:rPr>
          <w:b w:val="0"/>
          <w:bCs w:val="0"/>
        </w:rPr>
        <w:t>全</w:t>
      </w:r>
      <w:r>
        <w:t>年水费、电费、物业管理费。</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19.99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19.99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19.99</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0.01</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0.01</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0.01</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99.95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99.95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99.95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2" w:name="_Toc25304"/>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52"/>
        <w:rPr>
          <w:rFonts w:ascii="仿宋" w:hAnsi="仿宋" w:eastAsia="仿宋" w:cs="仿宋"/>
          <w:b/>
          <w:bCs w:val="0"/>
        </w:rPr>
      </w:pPr>
      <w:bookmarkStart w:id="3" w:name="_Toc4764"/>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三馆运行经费</w:t>
      </w:r>
      <w:r>
        <w:rPr>
          <w:rFonts w:hint="eastAsia"/>
        </w:rPr>
        <w:t>项目绩效自评价结果为</w:t>
      </w:r>
      <w:r>
        <w:t>:</w:t>
      </w:r>
      <w:r>
        <w:rPr>
          <w:rFonts w:hint="eastAsia"/>
        </w:rPr>
        <w:t>总得分</w:t>
      </w:r>
      <w:r>
        <w:t>94.</w:t>
      </w:r>
      <w:r>
        <w:rPr>
          <w:rFonts w:hint="eastAsia"/>
          <w:lang w:val="en-US" w:eastAsia="zh-CN"/>
        </w:rPr>
        <w:t>67</w:t>
      </w:r>
      <w:r>
        <w:rPr>
          <w:rFonts w:hint="eastAsia"/>
        </w:rPr>
        <w:t>分，属于</w:t>
      </w:r>
      <w:r>
        <w:t>"优秀"</w:t>
      </w:r>
      <w:r>
        <w:rPr>
          <w:rFonts w:hint="eastAsia"/>
        </w:rPr>
        <w:t>。</w:t>
      </w:r>
    </w:p>
    <w:p>
      <w:pPr>
        <w:pStyle w:val="46"/>
        <w:ind w:left="560"/>
      </w:pPr>
      <w:bookmarkStart w:id="4" w:name="_Toc11750"/>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99.95%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pPr>
      <w:r>
        <w:rPr>
          <w:rFonts w:hint="eastAsia"/>
        </w:rPr>
        <w:t>（二）项目产出情况</w:t>
      </w:r>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物业管理数量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物业管理水平</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整洁卫生</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三馆缴纳费用及时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运行管理维护成本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19.99万元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r>
    </w:tbl>
    <w:p>
      <w:pPr>
        <w:ind w:firstLine="0" w:firstLineChars="0"/>
        <w:rPr>
          <w:szCs w:val="44"/>
        </w:rPr>
      </w:pPr>
    </w:p>
    <w:p>
      <w:pPr>
        <w:pStyle w:val="46"/>
        <w:ind w:left="560"/>
      </w:pPr>
      <w:bookmarkStart w:id="5" w:name="_Toc26102"/>
      <w:r>
        <w:rPr>
          <w:rFonts w:hint="eastAsia"/>
        </w:rPr>
        <w:t>（三）项目效益情况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提升群众文化水平</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13.42</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r>
    </w:tbl>
    <w:p>
      <w:pPr>
        <w:ind w:firstLine="0" w:firstLineChars="0"/>
        <w:rPr>
          <w:szCs w:val="44"/>
        </w:rPr>
      </w:pPr>
    </w:p>
    <w:p>
      <w:pPr>
        <w:widowControl/>
        <w:ind w:firstLine="0" w:firstLineChars="0"/>
        <w:jc w:val="left"/>
      </w:pPr>
      <w:r>
        <w:rPr>
          <w:rFonts w:hint="eastAsia"/>
        </w:rPr>
        <w:t>（四）项目满意度情况</w:t>
      </w:r>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ind w:firstLine="0" w:firstLineChars="0"/>
        <w:rPr>
          <w:szCs w:val="44"/>
        </w:rPr>
      </w:pPr>
    </w:p>
    <w:p>
      <w:pPr>
        <w:widowControl/>
        <w:ind w:firstLine="0" w:firstLineChars="0"/>
        <w:jc w:val="left"/>
        <w:rPr>
          <w:rFonts w:ascii="仿宋" w:hAnsi="仿宋" w:eastAsia="仿宋" w:cs="仿宋"/>
          <w:b/>
          <w:bCs w:val="0"/>
        </w:rPr>
      </w:pPr>
      <w:r>
        <w:rPr>
          <w:rFonts w:hint="eastAsia" w:ascii="仿宋" w:hAnsi="仿宋" w:eastAsia="仿宋" w:cs="仿宋"/>
          <w:b/>
          <w:bCs w:val="0"/>
        </w:rPr>
        <w:t>三、</w:t>
      </w:r>
      <w:bookmarkStart w:id="6" w:name="_Toc17451"/>
      <w:bookmarkStart w:id="7" w:name="_Toc23655"/>
      <w:r>
        <w:rPr>
          <w:rFonts w:hint="eastAsia" w:ascii="仿宋" w:hAnsi="仿宋" w:eastAsia="仿宋" w:cs="仿宋"/>
          <w:b/>
          <w:bCs w:val="0"/>
        </w:rPr>
        <w:t>项目绩效分析</w:t>
      </w:r>
      <w:bookmarkEnd w:id="6"/>
      <w:bookmarkEnd w:id="7"/>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rPr>
          <w:rFonts w:ascii="仿宋_GB2312"/>
          <w:bCs/>
        </w:rPr>
      </w:pPr>
      <w:r>
        <w:rPr>
          <w:rFonts w:hint="eastAsia" w:ascii="仿宋_GB2312"/>
          <w:bCs/>
          <w:lang w:eastAsia="zh-CN"/>
        </w:rPr>
        <w:t>全年的三馆运行经费保障了三馆的正常运行，水费、电费、物业费全部支付，保障了文化场所的正常运转。</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1134" w:leftChars="405" w:firstLine="426" w:firstLineChars="0"/>
        <w:rPr>
          <w:rFonts w:ascii="仿宋_GB2312"/>
          <w:bCs/>
        </w:rPr>
      </w:pPr>
      <w:r>
        <w:rPr>
          <w:rFonts w:hint="eastAsia" w:ascii="仿宋_GB2312"/>
          <w:bCs/>
          <w:lang w:eastAsia="zh-CN"/>
        </w:rPr>
        <w:t>通过雇佣第三方物业公司打扫三馆，从而保障三馆的卫生情况，使群众能够在一个良好的环境下进行文化交流，阅读书籍等</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400" w:firstLineChars="500"/>
        <w:rPr>
          <w:rFonts w:ascii="仿宋_GB2312"/>
          <w:bCs/>
        </w:rPr>
      </w:pPr>
      <w:r>
        <w:rPr>
          <w:rFonts w:hint="eastAsia" w:ascii="仿宋_GB2312"/>
          <w:bCs/>
          <w:lang w:val="en-US" w:eastAsia="zh-CN"/>
        </w:rPr>
        <w:t>三馆的正常开放，让群众拥有了更加丰富的文化活动场所，对提升我县公共文化服务体系有重大意义。</w:t>
      </w:r>
    </w:p>
    <w:p>
      <w:pPr>
        <w:pStyle w:val="44"/>
        <w:rPr>
          <w:rFonts w:ascii="仿宋_GB2312"/>
          <w:bCs/>
        </w:rPr>
      </w:pPr>
      <w:r>
        <w:rPr>
          <w:rFonts w:hint="eastAsia" w:ascii="仿宋_GB2312"/>
          <w:bCs/>
          <w:lang w:val="en-US" w:eastAsia="zh-CN"/>
        </w:rPr>
        <w:t>有助于提升群众文化水平，丰富文化氛围。</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三馆建立后整体管理水平较好，群众反响不错。</w:t>
      </w:r>
    </w:p>
    <w:p>
      <w:pPr>
        <w:pStyle w:val="52"/>
      </w:pPr>
      <w:bookmarkStart w:id="8" w:name="_Toc17137"/>
      <w:r>
        <w:rPr>
          <w:rFonts w:hint="eastAsia" w:ascii="仿宋" w:hAnsi="仿宋" w:eastAsia="仿宋" w:cs="仿宋"/>
          <w:b/>
          <w:bCs w:val="0"/>
        </w:rPr>
        <w:t>四、项目主要经验做法</w:t>
      </w:r>
      <w:bookmarkEnd w:id="8"/>
      <w:r>
        <w:t xml:space="preserve"> </w:t>
      </w:r>
    </w:p>
    <w:p>
      <w:pPr>
        <w:pStyle w:val="44"/>
        <w:ind w:firstLine="840" w:firstLineChars="300"/>
      </w:pPr>
      <w:r>
        <w:rPr>
          <w:rFonts w:hint="eastAsia"/>
        </w:rPr>
        <w:t>水、电费及时缴纳，跟物业公司进行有效沟通，保障三馆正常运行。</w:t>
      </w:r>
    </w:p>
    <w:p>
      <w:pPr>
        <w:pStyle w:val="52"/>
        <w:rPr>
          <w:rFonts w:ascii="仿宋" w:hAnsi="仿宋" w:eastAsia="仿宋" w:cs="仿宋"/>
          <w:b/>
          <w:bCs w:val="0"/>
        </w:rPr>
      </w:pPr>
      <w:bookmarkStart w:id="9" w:name="_Toc29612"/>
      <w:r>
        <w:rPr>
          <w:rFonts w:hint="eastAsia" w:ascii="仿宋" w:hAnsi="仿宋" w:eastAsia="仿宋" w:cs="仿宋"/>
          <w:b/>
          <w:bCs w:val="0"/>
        </w:rPr>
        <w:t>五、项目管理中存在问题及原因分析</w:t>
      </w:r>
      <w:bookmarkEnd w:id="9"/>
    </w:p>
    <w:p>
      <w:pPr>
        <w:pStyle w:val="44"/>
        <w:ind w:firstLine="840" w:firstLineChars="300"/>
        <w:rPr>
          <w:rFonts w:hint="eastAsia" w:eastAsia="仿宋_GB2312"/>
          <w:lang w:eastAsia="zh-CN"/>
        </w:rPr>
      </w:pPr>
      <w:r>
        <w:rPr>
          <w:rFonts w:hint="eastAsia"/>
          <w:lang w:eastAsia="zh-CN"/>
        </w:rPr>
        <w:t>无</w:t>
      </w:r>
    </w:p>
    <w:p>
      <w:pPr>
        <w:pStyle w:val="52"/>
      </w:pPr>
      <w:bookmarkStart w:id="10" w:name="_Toc17639"/>
      <w:r>
        <w:rPr>
          <w:rFonts w:hint="eastAsia" w:ascii="仿宋" w:hAnsi="仿宋" w:eastAsia="仿宋" w:cs="仿宋"/>
          <w:b/>
          <w:bCs w:val="0"/>
        </w:rPr>
        <w:t>六、进一步加强项目管理措施及建议</w:t>
      </w:r>
      <w:bookmarkEnd w:id="10"/>
    </w:p>
    <w:p>
      <w:pPr>
        <w:pStyle w:val="46"/>
        <w:ind w:left="560"/>
        <w:rPr>
          <w:rFonts w:hint="eastAsia"/>
        </w:rPr>
      </w:pPr>
      <w:bookmarkStart w:id="11" w:name="_Toc12870"/>
      <w:bookmarkStart w:id="12" w:name="_Toc64998062"/>
      <w:bookmarkStart w:id="13" w:name="_Toc14241"/>
      <w:r>
        <w:rPr>
          <w:rFonts w:hint="eastAsia"/>
        </w:rPr>
        <w:t>（一）预算安排和执行方面</w:t>
      </w:r>
      <w:bookmarkEnd w:id="11"/>
      <w:bookmarkEnd w:id="12"/>
      <w:bookmarkEnd w:id="13"/>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4" w:name="_Toc64998064"/>
      <w:bookmarkStart w:id="15" w:name="_Toc14701"/>
      <w:bookmarkStart w:id="16" w:name="_Toc14882"/>
      <w:r>
        <w:rPr>
          <w:rFonts w:hint="eastAsia"/>
        </w:rPr>
        <w:t>（</w:t>
      </w:r>
      <w:r>
        <w:rPr>
          <w:rFonts w:hint="eastAsia"/>
          <w:lang w:eastAsia="zh-CN"/>
        </w:rPr>
        <w:t>二</w:t>
      </w:r>
      <w:r>
        <w:rPr>
          <w:rFonts w:hint="eastAsia"/>
        </w:rPr>
        <w:t>） 项目管理方面</w:t>
      </w:r>
      <w:bookmarkEnd w:id="14"/>
      <w:bookmarkEnd w:id="15"/>
      <w:bookmarkEnd w:id="16"/>
    </w:p>
    <w:p>
      <w:pPr>
        <w:pStyle w:val="44"/>
        <w:ind w:firstLine="560"/>
        <w:rPr>
          <w:rFonts w:hint="eastAsia" w:eastAsia="仿宋_GB2312"/>
          <w:lang w:eastAsia="zh-CN"/>
        </w:rPr>
      </w:pPr>
      <w:r>
        <w:rPr>
          <w:rFonts w:hint="eastAsia"/>
        </w:rPr>
        <w:tab/>
      </w:r>
      <w:r>
        <w:rPr>
          <w:rFonts w:hint="eastAsia"/>
        </w:rPr>
        <w:t>通过三馆免费开放运行，让全县群众的文化素养得到提升，丰富群众文化生活</w:t>
      </w:r>
      <w:r>
        <w:rPr>
          <w:rFonts w:hint="eastAsia"/>
          <w:lang w:eastAsia="zh-CN"/>
        </w:rPr>
        <w:t>，水、电费及时缴纳，跟物业公司进行有效沟通，保障三馆正常运行。</w:t>
      </w:r>
    </w:p>
    <w:p>
      <w:pPr>
        <w:pStyle w:val="46"/>
        <w:ind w:left="0" w:leftChars="0" w:firstLine="562" w:firstLineChars="200"/>
        <w:rPr>
          <w:rFonts w:hint="eastAsia"/>
        </w:rPr>
      </w:pPr>
      <w:bookmarkStart w:id="17" w:name="_Toc64998065"/>
      <w:bookmarkStart w:id="18" w:name="_Toc14529"/>
      <w:bookmarkStart w:id="19" w:name="_Toc18438"/>
      <w:r>
        <w:rPr>
          <w:rFonts w:hint="eastAsia"/>
        </w:rPr>
        <w:t>（</w:t>
      </w:r>
      <w:r>
        <w:rPr>
          <w:rFonts w:hint="eastAsia"/>
          <w:lang w:eastAsia="zh-CN"/>
        </w:rPr>
        <w:t>三</w:t>
      </w:r>
      <w:r>
        <w:rPr>
          <w:rFonts w:hint="eastAsia"/>
        </w:rPr>
        <w:t>）资金管理方面</w:t>
      </w:r>
      <w:bookmarkEnd w:id="17"/>
      <w:bookmarkEnd w:id="18"/>
      <w:bookmarkEnd w:id="19"/>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0" w:name="_Toc10226"/>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0"/>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剩余资金财政收回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物业管理数量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物业管理水平</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整洁卫生</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整体整洁度较高，有些许瑕疵</w:t>
            </w:r>
          </w:p>
        </w:tc>
      </w:tr>
      <w:tr>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三馆缴纳费用及时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运行管理维护成本</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19.99万元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剩余资金财政收回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提升群众文化水平</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89.47%</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13.42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文化提升工作想不断加强</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文化提升工作想不断加强</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bookmarkStart w:id="21" w:name="_GoBack"/>
            <w:bookmarkEnd w:id="21"/>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7A85C48"/>
    <w:rsid w:val="1ACB1AAF"/>
    <w:rsid w:val="4FFB7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2378</Words>
  <Characters>2620</Characters>
  <Lines>0</Lines>
  <Paragraphs>0</Paragraphs>
  <TotalTime>0</TotalTime>
  <ScaleCrop>false</ScaleCrop>
  <LinksUpToDate>false</LinksUpToDate>
  <CharactersWithSpaces>2653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cp:lastPrinted>2022-03-29T09:46:03Z</cp:lastPrinted>
  <dcterms:modified xsi:type="dcterms:W3CDTF">2022-03-29T09:46:55Z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48D4CB0622EC43348A708B636D1575DC</vt:lpwstr>
  </property>
</Properties>
</file>