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仿宋_GB2312" w:hAnsi="Times New Roman" w:cs="Times New Roman"/>
          <w:kern w:val="0"/>
          <w:sz w:val="30"/>
          <w:szCs w:val="30"/>
        </w:rPr>
      </w:pP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公共数字文化建设</w:t>
      </w: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大宁县文化和旅游局</w:t>
      </w: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大宁县文化和旅游局-202001</w:t>
      </w: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tabs>
          <w:tab w:val="left" w:pos="620"/>
        </w:tabs>
        <w:ind w:firstLine="0" w:firstLineChars="0"/>
        <w:rPr>
          <w:rFonts w:ascii="Calibri" w:hAnsi="Calibri" w:eastAsia="仿宋_GB2312" w:cs="黑体"/>
          <w:kern w:val="2"/>
          <w:sz w:val="28"/>
          <w:szCs w:val="44"/>
          <w:lang w:val="en-US" w:eastAsia="zh-CN" w:bidi="ar-SA"/>
        </w:rPr>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pPr>
        <w:pStyle w:val="18"/>
        <w:tabs>
          <w:tab w:val="right" w:leader="dot" w:pos="8306"/>
        </w:tabs>
      </w:pPr>
      <w:r>
        <w:rPr>
          <w:rFonts w:hint="eastAsia" w:ascii="仿宋" w:hAnsi="仿宋" w:eastAsia="仿宋" w:cs="仿宋"/>
          <w:bCs w:val="0"/>
        </w:rPr>
        <w:t>一、项目的基本情况</w:t>
      </w:r>
      <w:r>
        <w:tab/>
      </w:r>
      <w:r>
        <w:fldChar w:fldCharType="begin"/>
      </w:r>
      <w:r>
        <w:instrText xml:space="preserve"> PAGEREF _Toc6569 </w:instrText>
      </w:r>
      <w:r>
        <w:fldChar w:fldCharType="separate"/>
      </w:r>
      <w:r>
        <w:t>1</w:t>
      </w:r>
      <w:r>
        <w:fldChar w:fldCharType="end"/>
      </w:r>
    </w:p>
    <w:p>
      <w:pPr>
        <w:pStyle w:val="21"/>
        <w:tabs>
          <w:tab w:val="right" w:leader="dot" w:pos="8306"/>
        </w:tabs>
      </w:pPr>
      <w:r>
        <w:rPr>
          <w:rFonts w:hint="eastAsia"/>
        </w:rPr>
        <w:t>（一）项目概况</w:t>
      </w:r>
      <w:r>
        <w:tab/>
      </w:r>
      <w:r>
        <w:fldChar w:fldCharType="begin"/>
      </w:r>
      <w:r>
        <w:instrText xml:space="preserve"> PAGEREF _Toc30570 </w:instrText>
      </w:r>
      <w:r>
        <w:fldChar w:fldCharType="separate"/>
      </w:r>
      <w:r>
        <w:t>1</w:t>
      </w:r>
      <w:r>
        <w:fldChar w:fldCharType="end"/>
      </w:r>
    </w:p>
    <w:p>
      <w:pPr>
        <w:pStyle w:val="21"/>
        <w:tabs>
          <w:tab w:val="right" w:leader="dot" w:pos="8306"/>
        </w:tabs>
      </w:pPr>
      <w:r>
        <w:rPr>
          <w:rFonts w:hint="eastAsia"/>
        </w:rPr>
        <w:t>（三）项目绩效目标</w:t>
      </w:r>
      <w:r>
        <w:tab/>
      </w:r>
      <w:r>
        <w:fldChar w:fldCharType="begin"/>
      </w:r>
      <w:r>
        <w:instrText xml:space="preserve"> PAGEREF _Toc7470 </w:instrText>
      </w:r>
      <w:r>
        <w:fldChar w:fldCharType="separate"/>
      </w:r>
      <w:r>
        <w:t>2</w:t>
      </w:r>
      <w:r>
        <w:fldChar w:fldCharType="end"/>
      </w:r>
    </w:p>
    <w:p>
      <w:pPr>
        <w:pStyle w:val="18"/>
        <w:tabs>
          <w:tab w:val="right" w:leader="dot" w:pos="8306"/>
        </w:tabs>
      </w:pPr>
      <w:r>
        <w:rPr>
          <w:rFonts w:hint="eastAsia" w:ascii="仿宋" w:hAnsi="仿宋" w:eastAsia="仿宋" w:cs="仿宋"/>
          <w:bCs w:val="0"/>
        </w:rPr>
        <w:t>二、项目绩效情况</w:t>
      </w:r>
      <w:r>
        <w:tab/>
      </w:r>
      <w:r>
        <w:fldChar w:fldCharType="begin"/>
      </w:r>
      <w:r>
        <w:instrText xml:space="preserve"> PAGEREF _Toc21177 </w:instrText>
      </w:r>
      <w:r>
        <w:fldChar w:fldCharType="separate"/>
      </w:r>
      <w:r>
        <w:t>3</w:t>
      </w:r>
      <w:r>
        <w:fldChar w:fldCharType="end"/>
      </w:r>
    </w:p>
    <w:p>
      <w:pPr>
        <w:pStyle w:val="21"/>
        <w:tabs>
          <w:tab w:val="right" w:leader="dot" w:pos="8306"/>
        </w:tabs>
      </w:pPr>
      <w:r>
        <w:rPr>
          <w:rFonts w:hint="eastAsia"/>
        </w:rPr>
        <w:t>（一）预算执行情况</w:t>
      </w:r>
      <w:r>
        <w:tab/>
      </w:r>
      <w:r>
        <w:fldChar w:fldCharType="begin"/>
      </w:r>
      <w:r>
        <w:instrText xml:space="preserve"> PAGEREF _Toc20932 </w:instrText>
      </w:r>
      <w:r>
        <w:fldChar w:fldCharType="separate"/>
      </w:r>
      <w:r>
        <w:t>3</w:t>
      </w:r>
      <w:r>
        <w:fldChar w:fldCharType="end"/>
      </w:r>
    </w:p>
    <w:p>
      <w:pPr>
        <w:pStyle w:val="21"/>
        <w:tabs>
          <w:tab w:val="right" w:leader="dot" w:pos="8306"/>
        </w:tabs>
      </w:pPr>
      <w:r>
        <w:rPr>
          <w:rFonts w:hint="eastAsia"/>
        </w:rPr>
        <w:t>（三）项目效益情况</w:t>
      </w:r>
      <w:r>
        <w:tab/>
      </w:r>
      <w:r>
        <w:fldChar w:fldCharType="begin"/>
      </w:r>
      <w:r>
        <w:instrText xml:space="preserve"> PAGEREF _Toc30996 </w:instrText>
      </w:r>
      <w:r>
        <w:fldChar w:fldCharType="separate"/>
      </w:r>
      <w:r>
        <w:t>4</w:t>
      </w:r>
      <w:r>
        <w:fldChar w:fldCharType="end"/>
      </w:r>
    </w:p>
    <w:p>
      <w:pPr>
        <w:pStyle w:val="18"/>
        <w:tabs>
          <w:tab w:val="right" w:leader="dot" w:pos="8306"/>
        </w:tabs>
      </w:pPr>
      <w:r>
        <w:rPr>
          <w:rFonts w:hint="eastAsia" w:ascii="仿宋" w:hAnsi="仿宋" w:eastAsia="仿宋" w:cs="仿宋"/>
          <w:bCs w:val="0"/>
        </w:rPr>
        <w:t>四、项目主要经验做法</w:t>
      </w:r>
      <w:r>
        <w:tab/>
      </w:r>
      <w:r>
        <w:fldChar w:fldCharType="begin"/>
      </w:r>
      <w:r>
        <w:instrText xml:space="preserve"> PAGEREF _Toc19327 </w:instrText>
      </w:r>
      <w:r>
        <w:fldChar w:fldCharType="separate"/>
      </w:r>
      <w:r>
        <w:t>6</w:t>
      </w:r>
      <w:r>
        <w:fldChar w:fldCharType="end"/>
      </w:r>
    </w:p>
    <w:p>
      <w:pPr>
        <w:pStyle w:val="18"/>
        <w:tabs>
          <w:tab w:val="right" w:leader="dot" w:pos="8306"/>
        </w:tabs>
      </w:pPr>
      <w:r>
        <w:rPr>
          <w:rFonts w:hint="eastAsia" w:ascii="仿宋" w:hAnsi="仿宋" w:eastAsia="仿宋" w:cs="仿宋"/>
          <w:bCs w:val="0"/>
        </w:rPr>
        <w:t>五、项目管理中存在问题及原因分析</w:t>
      </w:r>
      <w:r>
        <w:tab/>
      </w:r>
      <w:r>
        <w:fldChar w:fldCharType="begin"/>
      </w:r>
      <w:r>
        <w:instrText xml:space="preserve"> PAGEREF _Toc6685 </w:instrText>
      </w:r>
      <w:r>
        <w:fldChar w:fldCharType="separate"/>
      </w:r>
      <w:r>
        <w:t>6</w:t>
      </w:r>
      <w:r>
        <w:fldChar w:fldCharType="end"/>
      </w:r>
    </w:p>
    <w:p>
      <w:pPr>
        <w:pStyle w:val="18"/>
        <w:tabs>
          <w:tab w:val="right" w:leader="dot" w:pos="8306"/>
        </w:tabs>
      </w:pPr>
      <w:r>
        <w:rPr>
          <w:rFonts w:hint="eastAsia" w:ascii="仿宋" w:hAnsi="仿宋" w:eastAsia="仿宋" w:cs="仿宋"/>
          <w:bCs w:val="0"/>
        </w:rPr>
        <w:t>六、进一步加强项目管理措施及建议</w:t>
      </w:r>
      <w:r>
        <w:tab/>
      </w:r>
      <w:r>
        <w:fldChar w:fldCharType="begin"/>
      </w:r>
      <w:r>
        <w:instrText xml:space="preserve"> PAGEREF _Toc16341 </w:instrText>
      </w:r>
      <w:r>
        <w:fldChar w:fldCharType="separate"/>
      </w:r>
      <w:r>
        <w:t>6</w:t>
      </w:r>
      <w:r>
        <w:fldChar w:fldCharType="end"/>
      </w:r>
    </w:p>
    <w:p>
      <w:pPr>
        <w:pStyle w:val="21"/>
        <w:tabs>
          <w:tab w:val="right" w:leader="dot" w:pos="8306"/>
        </w:tabs>
      </w:pPr>
      <w:r>
        <w:rPr>
          <w:rFonts w:hint="eastAsia"/>
        </w:rPr>
        <w:t>（一）预算安排和执行方面</w:t>
      </w:r>
      <w:r>
        <w:tab/>
      </w:r>
      <w:r>
        <w:fldChar w:fldCharType="begin"/>
      </w:r>
      <w:r>
        <w:instrText xml:space="preserve"> PAGEREF _Toc12388 </w:instrText>
      </w:r>
      <w:r>
        <w:fldChar w:fldCharType="separate"/>
      </w:r>
      <w:r>
        <w:t>6</w:t>
      </w:r>
      <w:r>
        <w:fldChar w:fldCharType="end"/>
      </w:r>
    </w:p>
    <w:p>
      <w:pPr>
        <w:pStyle w:val="21"/>
        <w:tabs>
          <w:tab w:val="right" w:leader="dot" w:pos="8306"/>
        </w:tabs>
      </w:pPr>
      <w:r>
        <w:rPr>
          <w:rFonts w:hint="eastAsia"/>
        </w:rPr>
        <w:t>（</w:t>
      </w:r>
      <w:r>
        <w:rPr>
          <w:rFonts w:hint="eastAsia"/>
          <w:lang w:eastAsia="zh-CN"/>
        </w:rPr>
        <w:t>二</w:t>
      </w:r>
      <w:r>
        <w:rPr>
          <w:rFonts w:hint="eastAsia"/>
        </w:rPr>
        <w:t>） 项目管理方面</w:t>
      </w:r>
      <w:r>
        <w:tab/>
      </w:r>
      <w:r>
        <w:fldChar w:fldCharType="begin"/>
      </w:r>
      <w:r>
        <w:instrText xml:space="preserve"> PAGEREF _Toc13890 </w:instrText>
      </w:r>
      <w:r>
        <w:fldChar w:fldCharType="separate"/>
      </w:r>
      <w:r>
        <w:t>6</w:t>
      </w:r>
      <w:r>
        <w:fldChar w:fldCharType="end"/>
      </w:r>
    </w:p>
    <w:p>
      <w:pPr>
        <w:pStyle w:val="21"/>
        <w:tabs>
          <w:tab w:val="right" w:leader="dot" w:pos="8306"/>
        </w:tabs>
      </w:pPr>
      <w:r>
        <w:rPr>
          <w:rFonts w:hint="eastAsia"/>
          <w:bCs w:val="0"/>
        </w:rPr>
        <w:t>启用专业人员提供专业服务，提出建议与指导，认真贯彻落实相关政策，为完成项目打好基础。</w:t>
      </w:r>
      <w:r>
        <w:tab/>
      </w:r>
      <w:r>
        <w:fldChar w:fldCharType="begin"/>
      </w:r>
      <w:r>
        <w:instrText xml:space="preserve"> PAGEREF _Toc26618 </w:instrText>
      </w:r>
      <w:r>
        <w:fldChar w:fldCharType="separate"/>
      </w:r>
      <w:r>
        <w:t>6</w:t>
      </w:r>
      <w:r>
        <w:fldChar w:fldCharType="end"/>
      </w:r>
    </w:p>
    <w:p>
      <w:pPr>
        <w:pStyle w:val="21"/>
        <w:tabs>
          <w:tab w:val="right" w:leader="dot" w:pos="8306"/>
        </w:tabs>
      </w:pPr>
      <w:r>
        <w:rPr>
          <w:rFonts w:hint="eastAsia"/>
        </w:rPr>
        <w:t>（</w:t>
      </w:r>
      <w:r>
        <w:rPr>
          <w:rFonts w:hint="eastAsia"/>
          <w:lang w:eastAsia="zh-CN"/>
        </w:rPr>
        <w:t>三</w:t>
      </w:r>
      <w:r>
        <w:rPr>
          <w:rFonts w:hint="eastAsia"/>
        </w:rPr>
        <w:t>）资金管理方面</w:t>
      </w:r>
      <w:r>
        <w:tab/>
      </w:r>
      <w:r>
        <w:fldChar w:fldCharType="begin"/>
      </w:r>
      <w:r>
        <w:instrText xml:space="preserve"> PAGEREF _Toc27401 </w:instrText>
      </w:r>
      <w:r>
        <w:fldChar w:fldCharType="separate"/>
      </w:r>
      <w:r>
        <w:t>6</w:t>
      </w:r>
      <w:r>
        <w:fldChar w:fldCharType="end"/>
      </w:r>
    </w:p>
    <w:p>
      <w:pPr>
        <w:pStyle w:val="18"/>
        <w:tabs>
          <w:tab w:val="right" w:leader="dot" w:pos="8306"/>
        </w:tabs>
      </w:pPr>
      <w:r>
        <w:rPr>
          <w:rFonts w:hint="eastAsia" w:ascii="仿宋" w:hAnsi="仿宋" w:eastAsia="仿宋" w:cs="仿宋"/>
          <w:bCs w:val="0"/>
        </w:rPr>
        <w:t>附件</w:t>
      </w:r>
      <w:r>
        <w:rPr>
          <w:rFonts w:ascii="仿宋" w:hAnsi="仿宋" w:eastAsia="仿宋" w:cs="仿宋"/>
          <w:bCs w:val="0"/>
        </w:rPr>
        <w:t>1.</w:t>
      </w:r>
      <w:r>
        <w:rPr>
          <w:rFonts w:hint="eastAsia" w:ascii="仿宋" w:hAnsi="仿宋" w:eastAsia="仿宋" w:cs="仿宋"/>
          <w:bCs w:val="0"/>
        </w:rPr>
        <w:t>项目支出绩效自评表</w:t>
      </w:r>
      <w:r>
        <w:tab/>
      </w:r>
      <w:r>
        <w:fldChar w:fldCharType="begin"/>
      </w:r>
      <w:r>
        <w:instrText xml:space="preserve"> PAGEREF _Toc12964 </w:instrText>
      </w:r>
      <w:r>
        <w:fldChar w:fldCharType="separate"/>
      </w:r>
      <w:r>
        <w:t>1</w:t>
      </w:r>
      <w:r>
        <w:fldChar w:fldCharType="end"/>
      </w:r>
    </w:p>
    <w:p>
      <w:pPr>
        <w:pStyle w:val="18"/>
        <w:tabs>
          <w:tab w:val="right" w:leader="dot" w:pos="8296"/>
        </w:tabs>
        <w:ind w:firstLine="275" w:firstLineChars="137"/>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rPr>
      </w:pPr>
      <w:bookmarkStart w:id="0" w:name="_Toc6569"/>
      <w:r>
        <w:rPr>
          <w:rFonts w:hint="eastAsia" w:ascii="仿宋" w:hAnsi="仿宋" w:eastAsia="仿宋" w:cs="仿宋"/>
          <w:b/>
          <w:bCs w:val="0"/>
        </w:rPr>
        <w:t>一、项目的基本情况</w:t>
      </w:r>
      <w:bookmarkEnd w:id="0"/>
    </w:p>
    <w:p>
      <w:pPr>
        <w:pStyle w:val="46"/>
        <w:ind w:left="560"/>
      </w:pPr>
      <w:bookmarkStart w:id="1" w:name="_Toc30570"/>
      <w:r>
        <w:rPr>
          <w:rFonts w:hint="eastAsia"/>
        </w:rPr>
        <w:t>（一）项目概况</w:t>
      </w:r>
      <w:bookmarkEnd w:id="1"/>
    </w:p>
    <w:p>
      <w:pPr>
        <w:pStyle w:val="44"/>
        <w:ind w:left="280" w:firstLine="562"/>
      </w:pPr>
      <w:r>
        <w:rPr>
          <w:rFonts w:hint="eastAsia"/>
          <w:b/>
          <w:bCs/>
        </w:rPr>
        <w:t>项目概况：</w:t>
      </w:r>
      <w:r>
        <w:t>依据山西公共文化超市云平台县级分管平台，推动原国家级贫困县文化馆开展基层高质量全民艺术普及服务；完善发布、更新当地动态、直播、活动、培训、场馆等全民艺术普及资源与服务；加大推广与人员培训力度、线上线下联动。</w:t>
      </w:r>
    </w:p>
    <w:p>
      <w:pPr>
        <w:pStyle w:val="44"/>
        <w:ind w:left="280" w:firstLine="562"/>
      </w:pPr>
      <w:r>
        <w:rPr>
          <w:rFonts w:hint="eastAsia"/>
          <w:b/>
          <w:bCs/>
        </w:rPr>
        <w:t>立项依据：</w:t>
      </w:r>
      <w:r>
        <w:t>大财教二【2021】53号关于下达2021年公共文化服务体系建设中央补助资金（公共数字文化建设）的通知</w:t>
      </w:r>
    </w:p>
    <w:p>
      <w:pPr>
        <w:pStyle w:val="44"/>
        <w:ind w:left="280" w:firstLine="562"/>
        <w:rPr>
          <w:rFonts w:hint="eastAsia" w:eastAsia="仿宋_GB2312"/>
          <w:lang w:eastAsia="zh-CN"/>
        </w:rPr>
      </w:pPr>
      <w:r>
        <w:rPr>
          <w:rFonts w:hint="eastAsia"/>
          <w:b/>
          <w:bCs/>
        </w:rPr>
        <w:t>设立的必要性：</w:t>
      </w:r>
      <w:r>
        <w:t>推动原国家级贫困县文化馆开展基层高质量全民艺术普及服务</w:t>
      </w:r>
      <w:r>
        <w:rPr>
          <w:rFonts w:hint="eastAsia"/>
          <w:lang w:eastAsia="zh-CN"/>
        </w:rPr>
        <w:t>。</w:t>
      </w:r>
    </w:p>
    <w:p>
      <w:pPr>
        <w:pStyle w:val="44"/>
        <w:ind w:left="280" w:firstLine="562"/>
      </w:pPr>
      <w:r>
        <w:rPr>
          <w:rFonts w:hint="eastAsia"/>
          <w:b/>
          <w:bCs/>
        </w:rPr>
        <w:t>保证项目实施的措施与制度：</w:t>
      </w:r>
      <w:r>
        <w:t>（一）规范管理的原则。基本支出执行县级财政确定的定额标准，优先用于保障各单位正常运转需要；项目支出按照批复的预算和有关制度规定执行。 （二）绩效管理的原则。各单位对预算安排特定用途项目的专项资金，应当按批准的项目和用途使用，专款专用， 不得自行改变项目内容或扩大使用范围， 若需调整， 应按规定程序报批。 （三）先审后付的原则。财务室依照国家有关财务会计制度，对核算单位经费支出原始凭证的真实性、完整性、合法性进行审核，并核对核算单位负责人或授权人预留签名，审核无误后办理结算。对记载不准确、手续不完整的支出凭证，有权要求更正、补充；对不合法、不真实的凭证不予受理。 各单位负责人要切实履行好法定职责，自觉遵守相关财经制度，严格经费支出审批，支持财会人员依法履行职责。 核算单位应自觉接受上级主管部门，财政、审计、监察等有关部门的监督检查，并按照要求如实提供有关资料。</w:t>
      </w:r>
    </w:p>
    <w:p>
      <w:pPr>
        <w:pStyle w:val="44"/>
        <w:ind w:left="280" w:firstLine="562"/>
      </w:pPr>
      <w:r>
        <w:rPr>
          <w:rFonts w:hint="eastAsia"/>
          <w:b/>
          <w:bCs/>
        </w:rPr>
        <w:t>项目实施计划：</w:t>
      </w:r>
      <w:r>
        <w:t>通过委托业务将云平台与软件公司公共合作，进行线上新媒体宣传与线下服务推广活动，不断更新域推送在线场馆及活动信息，扩大艺术普及线上服务，提升全民艺术普及较高质量线上服务。</w:t>
      </w:r>
    </w:p>
    <w:p>
      <w:pPr>
        <w:widowControl/>
        <w:ind w:firstLine="0" w:firstLineChars="0"/>
        <w:jc w:val="left"/>
      </w:pPr>
      <w:r>
        <w:rPr>
          <w:rFonts w:hint="eastAsia"/>
        </w:rPr>
        <w:t>（二）预算执行情况</w:t>
      </w:r>
    </w:p>
    <w:p>
      <w:pPr>
        <w:ind w:firstLine="0" w:firstLineChars="0"/>
        <w:jc w:val="left"/>
        <w:rPr>
          <w:b/>
          <w:szCs w:val="28"/>
        </w:rPr>
      </w:pPr>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blPrEx>
          <w:tblCellMar>
            <w:top w:w="0" w:type="dxa"/>
            <w:left w:w="30" w:type="dxa"/>
            <w:bottom w:w="0" w:type="dxa"/>
            <w:right w:w="30" w:type="dxa"/>
          </w:tblCellMar>
        </w:tblPrEx>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blPrEx>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rFonts w:hint="eastAsia" w:eastAsia="仿宋_GB2312"/>
                <w:sz w:val="21"/>
                <w:lang w:eastAsia="zh-CN"/>
              </w:rPr>
            </w:pPr>
            <w:r>
              <w:rPr>
                <w:rFonts w:hint="eastAsia"/>
                <w:sz w:val="21"/>
                <w:lang w:val="en-US" w:eastAsia="zh-CN"/>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eastAsia="仿宋_GB2312"/>
                <w:sz w:val="21"/>
                <w:lang w:eastAsia="zh-CN"/>
              </w:rPr>
            </w:pPr>
            <w:r>
              <w:rPr>
                <w:rFonts w:hint="eastAsia"/>
                <w:sz w:val="21"/>
                <w:lang w:val="en-US" w:eastAsia="zh-CN"/>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20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20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19.9</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19.9</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19.9</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0.1</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0.1</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0.1</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99.5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99.5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99.5</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bl>
    <w:p>
      <w:pPr>
        <w:pStyle w:val="46"/>
        <w:ind w:left="560"/>
      </w:pPr>
      <w:bookmarkStart w:id="2" w:name="_Toc7470"/>
      <w:r>
        <w:rPr>
          <w:rFonts w:hint="eastAsia"/>
        </w:rPr>
        <w:t>（三）项目绩效目标</w:t>
      </w:r>
      <w:bookmarkEnd w:id="2"/>
    </w:p>
    <w:p>
      <w:pPr>
        <w:pStyle w:val="48"/>
        <w:ind w:left="560"/>
      </w:pPr>
      <w:r>
        <w:rPr>
          <w:rFonts w:hint="eastAsia"/>
        </w:rPr>
        <w:t>（</w:t>
      </w:r>
      <w:r>
        <w:t>1</w:t>
      </w:r>
      <w:r>
        <w:rPr>
          <w:rFonts w:hint="eastAsia"/>
        </w:rPr>
        <w:t>）</w:t>
      </w:r>
      <w:r>
        <w:t xml:space="preserve">. </w:t>
      </w:r>
      <w:r>
        <w:rPr>
          <w:rFonts w:hint="eastAsia"/>
        </w:rPr>
        <w:t>项目实施期绩效目标</w:t>
      </w:r>
    </w:p>
    <w:p>
      <w:pPr>
        <w:pStyle w:val="44"/>
        <w:ind w:left="280" w:firstLine="560"/>
      </w:pPr>
      <w:r>
        <w:t>推动原国家级贫困县文化馆开展基层高质量全民艺术普及服务；完善发布、更新当地动态、直播、活动、培训、场馆等全民艺术普及资源与服务；加大推广与人员培训力度、线上线下联动。</w:t>
      </w:r>
    </w:p>
    <w:p>
      <w:pPr>
        <w:pStyle w:val="48"/>
        <w:ind w:left="560"/>
      </w:pPr>
      <w:r>
        <w:rPr>
          <w:rFonts w:hint="eastAsia"/>
        </w:rPr>
        <w:t>（</w:t>
      </w:r>
      <w:r>
        <w:t>2</w:t>
      </w:r>
      <w:r>
        <w:rPr>
          <w:rFonts w:hint="eastAsia"/>
        </w:rPr>
        <w:t>）</w:t>
      </w:r>
      <w:r>
        <w:t xml:space="preserve">. </w:t>
      </w:r>
      <w:r>
        <w:rPr>
          <w:rFonts w:hint="eastAsia"/>
        </w:rPr>
        <w:t>项目年度目标</w:t>
      </w:r>
    </w:p>
    <w:p>
      <w:pPr>
        <w:pStyle w:val="44"/>
        <w:ind w:left="280" w:firstLine="560"/>
      </w:pPr>
      <w:r>
        <w:t>推动原国家级贫困县文化馆开展基层高质量全民艺术普及服务；完善发布、更新当地动态、直播、活动、培训、场馆等全民艺术普及资源与服务；加大推广与人员培训力度、线上线下联动。</w:t>
      </w:r>
    </w:p>
    <w:p>
      <w:pPr>
        <w:pStyle w:val="52"/>
        <w:rPr>
          <w:rFonts w:ascii="仿宋" w:hAnsi="仿宋" w:eastAsia="仿宋" w:cs="仿宋"/>
          <w:b/>
          <w:bCs w:val="0"/>
        </w:rPr>
      </w:pPr>
      <w:bookmarkStart w:id="3" w:name="_Toc21177"/>
      <w:r>
        <w:rPr>
          <w:rFonts w:hint="eastAsia" w:ascii="仿宋" w:hAnsi="仿宋" w:eastAsia="仿宋" w:cs="仿宋"/>
          <w:b/>
          <w:bCs w:val="0"/>
        </w:rPr>
        <w:t>二、项目绩效情况</w:t>
      </w:r>
      <w:bookmarkEnd w:id="3"/>
    </w:p>
    <w:p>
      <w:pPr>
        <w:pStyle w:val="44"/>
        <w:ind w:left="140" w:leftChars="50" w:firstLine="560"/>
      </w:pPr>
      <w:r>
        <w:rPr>
          <w:rFonts w:hint="eastAsia"/>
        </w:rPr>
        <w:t>综合考虑预算执行情况、产出、效益、服务对象满意度各方面因素，通过数据采集及分析，最终评分结果：</w:t>
      </w:r>
      <w:r>
        <w:t>公共数字文化建设</w:t>
      </w:r>
      <w:r>
        <w:rPr>
          <w:rFonts w:hint="eastAsia"/>
        </w:rPr>
        <w:t>项目绩效自评价结果为</w:t>
      </w:r>
      <w:r>
        <w:t>:</w:t>
      </w:r>
      <w:r>
        <w:rPr>
          <w:rFonts w:hint="eastAsia"/>
        </w:rPr>
        <w:t>总得分</w:t>
      </w:r>
      <w:r>
        <w:rPr>
          <w:rFonts w:hint="eastAsia"/>
          <w:lang w:val="en-US" w:eastAsia="zh-CN"/>
        </w:rPr>
        <w:t>92.9</w:t>
      </w:r>
      <w:r>
        <w:rPr>
          <w:rFonts w:hint="eastAsia"/>
        </w:rPr>
        <w:t>分，属于</w:t>
      </w:r>
      <w:r>
        <w:t>"</w:t>
      </w:r>
      <w:r>
        <w:rPr>
          <w:rFonts w:hint="eastAsia"/>
          <w:lang w:eastAsia="zh-CN"/>
        </w:rPr>
        <w:t>优秀</w:t>
      </w:r>
      <w:r>
        <w:t>"</w:t>
      </w:r>
      <w:r>
        <w:rPr>
          <w:rFonts w:hint="eastAsia"/>
        </w:rPr>
        <w:t>。</w:t>
      </w:r>
    </w:p>
    <w:p>
      <w:pPr>
        <w:pStyle w:val="46"/>
        <w:ind w:left="560"/>
      </w:pPr>
      <w:bookmarkStart w:id="4" w:name="_Toc20932"/>
      <w:r>
        <w:rPr>
          <w:rFonts w:hint="eastAsia"/>
        </w:rPr>
        <w:t>（一）预算执行情况</w:t>
      </w:r>
      <w:bookmarkEnd w:id="4"/>
    </w:p>
    <w:tbl>
      <w:tblPr>
        <w:tblStyle w:val="24"/>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99.5%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9.95</w:t>
            </w:r>
          </w:p>
        </w:tc>
      </w:tr>
    </w:tbl>
    <w:p>
      <w:pPr>
        <w:widowControl/>
        <w:ind w:firstLine="0" w:firstLineChars="0"/>
        <w:jc w:val="left"/>
      </w:pPr>
      <w:r>
        <w:rPr>
          <w:rFonts w:hint="eastAsia"/>
        </w:rPr>
        <w:t>（二）项目产出情况</w:t>
      </w:r>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项目完成率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验收合格率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完成及时性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及时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验收及时性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及时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成本控制</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19.9万元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bl>
    <w:p>
      <w:pPr>
        <w:ind w:firstLine="0" w:firstLineChars="0"/>
        <w:rPr>
          <w:szCs w:val="44"/>
        </w:rPr>
      </w:pPr>
    </w:p>
    <w:p>
      <w:pPr>
        <w:pStyle w:val="46"/>
        <w:ind w:left="560"/>
      </w:pPr>
      <w:bookmarkStart w:id="5" w:name="_Toc30996"/>
      <w:r>
        <w:rPr>
          <w:rFonts w:hint="eastAsia"/>
        </w:rPr>
        <w:t>（三）项目效益情况</w:t>
      </w:r>
      <w:bookmarkEnd w:id="5"/>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本区域线上全民艺术普及增长率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持续开展全民艺术普及较高质量的线上服务</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长期</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13.5</w:t>
            </w:r>
          </w:p>
        </w:tc>
      </w:tr>
    </w:tbl>
    <w:p>
      <w:pPr>
        <w:ind w:firstLine="0" w:firstLineChars="0"/>
        <w:rPr>
          <w:szCs w:val="44"/>
        </w:rPr>
      </w:pPr>
    </w:p>
    <w:p>
      <w:pPr>
        <w:widowControl/>
        <w:ind w:firstLine="0" w:firstLineChars="0"/>
        <w:jc w:val="left"/>
      </w:pPr>
      <w:r>
        <w:rPr>
          <w:rFonts w:hint="eastAsia"/>
        </w:rPr>
        <w:t>（四）项目满意度情况</w:t>
      </w:r>
    </w:p>
    <w:tbl>
      <w:tblPr>
        <w:tblStyle w:val="24"/>
        <w:tblW w:w="0" w:type="auto"/>
        <w:jc w:val="center"/>
        <w:tblLayout w:type="fixed"/>
        <w:tblCellMar>
          <w:top w:w="0" w:type="dxa"/>
          <w:left w:w="108" w:type="dxa"/>
          <w:bottom w:w="0" w:type="dxa"/>
          <w:right w:w="108" w:type="dxa"/>
        </w:tblCellMar>
      </w:tblPr>
      <w:tblGrid>
        <w:gridCol w:w="1404"/>
        <w:gridCol w:w="2916"/>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916"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2916"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受众群体满意度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p>
        </w:tc>
      </w:tr>
    </w:tbl>
    <w:p>
      <w:pPr>
        <w:ind w:firstLine="0" w:firstLineChars="0"/>
        <w:rPr>
          <w:szCs w:val="44"/>
        </w:rPr>
      </w:pPr>
    </w:p>
    <w:p>
      <w:pPr>
        <w:widowControl/>
        <w:ind w:firstLine="0" w:firstLineChars="0"/>
        <w:jc w:val="left"/>
        <w:rPr>
          <w:rFonts w:ascii="仿宋" w:hAnsi="仿宋" w:eastAsia="仿宋" w:cs="仿宋"/>
          <w:b/>
          <w:bCs w:val="0"/>
        </w:rPr>
      </w:pPr>
      <w:r>
        <w:rPr>
          <w:rFonts w:hint="eastAsia" w:ascii="仿宋" w:hAnsi="仿宋" w:eastAsia="仿宋" w:cs="仿宋"/>
          <w:b/>
          <w:bCs w:val="0"/>
        </w:rPr>
        <w:t>三、</w:t>
      </w:r>
      <w:bookmarkStart w:id="6" w:name="_Toc17451"/>
      <w:bookmarkStart w:id="7" w:name="_Toc23655"/>
      <w:r>
        <w:rPr>
          <w:rFonts w:hint="eastAsia" w:ascii="仿宋" w:hAnsi="仿宋" w:eastAsia="仿宋" w:cs="仿宋"/>
          <w:b/>
          <w:bCs w:val="0"/>
        </w:rPr>
        <w:t>项目绩效分析</w:t>
      </w:r>
      <w:bookmarkEnd w:id="6"/>
      <w:bookmarkEnd w:id="7"/>
    </w:p>
    <w:p>
      <w:pPr>
        <w:pStyle w:val="44"/>
        <w:numPr>
          <w:ilvl w:val="0"/>
          <w:numId w:val="1"/>
        </w:numPr>
        <w:ind w:left="700" w:leftChars="250" w:firstLineChars="0"/>
        <w:rPr>
          <w:rFonts w:ascii="仿宋_GB2312"/>
          <w:b/>
        </w:rPr>
      </w:pPr>
      <w:r>
        <w:rPr>
          <w:rFonts w:hint="eastAsia" w:ascii="仿宋_GB2312"/>
          <w:b/>
        </w:rPr>
        <w:t>项目实施和预算执行情况及分析</w:t>
      </w:r>
    </w:p>
    <w:p>
      <w:pPr>
        <w:pStyle w:val="44"/>
        <w:rPr>
          <w:rFonts w:hint="eastAsia" w:ascii="仿宋_GB2312" w:eastAsia="仿宋_GB2312"/>
          <w:bCs/>
          <w:lang w:eastAsia="zh-CN"/>
        </w:rPr>
      </w:pPr>
      <w:r>
        <w:rPr>
          <w:rFonts w:hint="eastAsia"/>
          <w:lang w:eastAsia="zh-CN"/>
        </w:rPr>
        <w:t>通过委托第三方公司与</w:t>
      </w:r>
      <w:r>
        <w:t>山西公共文化超市云平台</w:t>
      </w:r>
      <w:r>
        <w:rPr>
          <w:rFonts w:hint="eastAsia"/>
          <w:lang w:eastAsia="zh-CN"/>
        </w:rPr>
        <w:t>对接</w:t>
      </w:r>
      <w:r>
        <w:t>，</w:t>
      </w:r>
      <w:r>
        <w:rPr>
          <w:rFonts w:hint="eastAsia"/>
          <w:lang w:eastAsia="zh-CN"/>
        </w:rPr>
        <w:t>通过</w:t>
      </w:r>
      <w:r>
        <w:t>完善发布、更新当地动态、直播、活动、培训、场馆等全民艺术普及资源与服务；加大推广与人员培训力度、线上线下联动</w:t>
      </w:r>
      <w:r>
        <w:rPr>
          <w:rFonts w:hint="eastAsia"/>
          <w:lang w:eastAsia="zh-CN"/>
        </w:rPr>
        <w:t>。</w:t>
      </w:r>
    </w:p>
    <w:p>
      <w:pPr>
        <w:pStyle w:val="44"/>
        <w:numPr>
          <w:ilvl w:val="0"/>
          <w:numId w:val="1"/>
        </w:numPr>
        <w:ind w:left="700" w:leftChars="250" w:firstLineChars="0"/>
        <w:rPr>
          <w:rFonts w:ascii="仿宋_GB2312"/>
          <w:b/>
        </w:rPr>
      </w:pPr>
      <w:r>
        <w:rPr>
          <w:rFonts w:hint="eastAsia" w:ascii="仿宋_GB2312"/>
          <w:b/>
        </w:rPr>
        <w:t>产出情况及分析</w:t>
      </w:r>
    </w:p>
    <w:p>
      <w:pPr>
        <w:pStyle w:val="44"/>
        <w:ind w:left="1134" w:leftChars="405" w:firstLine="426" w:firstLineChars="0"/>
        <w:rPr>
          <w:rFonts w:ascii="仿宋_GB2312"/>
          <w:bCs/>
        </w:rPr>
      </w:pPr>
      <w:r>
        <w:rPr>
          <w:rFonts w:hint="eastAsia" w:ascii="仿宋_GB2312"/>
          <w:bCs/>
          <w:lang w:eastAsia="zh-CN"/>
        </w:rPr>
        <w:t>通过云平台及时上传直播、培训等，完成上级下达的任务指标，同时促进文化艺术交流，文化馆负责验收作品完成质量，在及时完成后将资金支出</w:t>
      </w:r>
      <w:r>
        <w:rPr>
          <w:rFonts w:hint="eastAsia" w:ascii="仿宋_GB2312"/>
          <w:bCs/>
          <w:lang w:val="en-US" w:eastAsia="zh-CN"/>
        </w:rPr>
        <w:t>。</w:t>
      </w:r>
    </w:p>
    <w:p>
      <w:pPr>
        <w:pStyle w:val="44"/>
        <w:numPr>
          <w:ilvl w:val="0"/>
          <w:numId w:val="1"/>
        </w:numPr>
        <w:ind w:left="700" w:leftChars="250" w:firstLineChars="0"/>
        <w:rPr>
          <w:rFonts w:ascii="仿宋_GB2312"/>
          <w:b/>
        </w:rPr>
      </w:pPr>
      <w:r>
        <w:rPr>
          <w:rFonts w:hint="eastAsia" w:ascii="仿宋_GB2312"/>
          <w:b/>
        </w:rPr>
        <w:t>效益情况及分析</w:t>
      </w:r>
    </w:p>
    <w:p>
      <w:pPr>
        <w:pStyle w:val="44"/>
        <w:ind w:left="1134" w:leftChars="405" w:firstLine="426" w:firstLineChars="0"/>
        <w:rPr>
          <w:rFonts w:ascii="仿宋_GB2312"/>
          <w:bCs/>
        </w:rPr>
      </w:pPr>
      <w:r>
        <w:rPr>
          <w:rFonts w:hint="eastAsia" w:ascii="仿宋_GB2312"/>
          <w:bCs/>
          <w:lang w:eastAsia="zh-CN"/>
        </w:rPr>
        <w:t>增长了本区域线上全民艺术普及率，长期开展全民艺术普及较高质量的线上服务</w:t>
      </w:r>
      <w:r>
        <w:rPr>
          <w:rFonts w:hint="eastAsia" w:ascii="仿宋_GB2312"/>
          <w:bCs/>
          <w:lang w:val="en-US" w:eastAsia="zh-CN"/>
        </w:rPr>
        <w:t>。</w:t>
      </w:r>
    </w:p>
    <w:p>
      <w:pPr>
        <w:pStyle w:val="44"/>
        <w:numPr>
          <w:ilvl w:val="0"/>
          <w:numId w:val="1"/>
        </w:numPr>
        <w:ind w:left="700" w:leftChars="250" w:firstLineChars="0"/>
        <w:rPr>
          <w:rFonts w:ascii="仿宋_GB2312"/>
          <w:b/>
        </w:rPr>
      </w:pPr>
      <w:r>
        <w:rPr>
          <w:rFonts w:hint="eastAsia" w:ascii="仿宋_GB2312"/>
          <w:b/>
        </w:rPr>
        <w:t>满意度情况及分析</w:t>
      </w:r>
    </w:p>
    <w:p>
      <w:pPr>
        <w:pStyle w:val="44"/>
        <w:ind w:firstLine="1120" w:firstLineChars="400"/>
        <w:rPr>
          <w:rFonts w:ascii="仿宋_GB2312"/>
          <w:bCs/>
        </w:rPr>
      </w:pPr>
      <w:r>
        <w:rPr>
          <w:rFonts w:hint="eastAsia" w:ascii="仿宋_GB2312"/>
          <w:bCs/>
          <w:lang w:eastAsia="zh-CN"/>
        </w:rPr>
        <w:t>公共数字文化建设项目通过网络让远方的人们同样感受到当地的文化，有助于当地文化发展，也促进各方文化的交流。</w:t>
      </w:r>
    </w:p>
    <w:p>
      <w:pPr>
        <w:pStyle w:val="52"/>
      </w:pPr>
      <w:bookmarkStart w:id="8" w:name="_Toc19327"/>
      <w:r>
        <w:rPr>
          <w:rFonts w:hint="eastAsia" w:ascii="仿宋" w:hAnsi="仿宋" w:eastAsia="仿宋" w:cs="仿宋"/>
          <w:b/>
          <w:bCs w:val="0"/>
        </w:rPr>
        <w:t>四、项目主要经验做法</w:t>
      </w:r>
      <w:bookmarkEnd w:id="8"/>
      <w:r>
        <w:t xml:space="preserve"> </w:t>
      </w:r>
    </w:p>
    <w:p>
      <w:pPr>
        <w:pStyle w:val="44"/>
        <w:ind w:firstLine="840" w:firstLineChars="300"/>
      </w:pPr>
      <w:r>
        <w:rPr>
          <w:rFonts w:hint="eastAsia"/>
        </w:rPr>
        <w:t>利用本地区特有资源及专业人才进行相关拍摄和制作精美视频，吸引群众观看，扩大影响力，提高艺术普及范围。</w:t>
      </w:r>
    </w:p>
    <w:p>
      <w:pPr>
        <w:pStyle w:val="52"/>
        <w:rPr>
          <w:rFonts w:ascii="仿宋" w:hAnsi="仿宋" w:eastAsia="仿宋" w:cs="仿宋"/>
          <w:b/>
          <w:bCs w:val="0"/>
        </w:rPr>
      </w:pPr>
      <w:bookmarkStart w:id="9" w:name="_Toc6685"/>
      <w:r>
        <w:rPr>
          <w:rFonts w:hint="eastAsia" w:ascii="仿宋" w:hAnsi="仿宋" w:eastAsia="仿宋" w:cs="仿宋"/>
          <w:b/>
          <w:bCs w:val="0"/>
        </w:rPr>
        <w:t>五、项目管理中存在问题及原因分析</w:t>
      </w:r>
      <w:bookmarkEnd w:id="9"/>
    </w:p>
    <w:p>
      <w:pPr>
        <w:pStyle w:val="44"/>
        <w:ind w:firstLine="840" w:firstLineChars="300"/>
        <w:rPr>
          <w:rFonts w:hint="eastAsia" w:eastAsia="仿宋_GB2312"/>
          <w:lang w:eastAsia="zh-CN"/>
        </w:rPr>
      </w:pPr>
      <w:r>
        <w:rPr>
          <w:rFonts w:hint="eastAsia"/>
          <w:lang w:eastAsia="zh-CN"/>
        </w:rPr>
        <w:t>在政策宣传方面还是有不足之处，需要弥补；人才方面还需要多培训专业人才。</w:t>
      </w:r>
    </w:p>
    <w:p>
      <w:pPr>
        <w:pStyle w:val="52"/>
        <w:rPr>
          <w:rFonts w:ascii="仿宋" w:hAnsi="仿宋" w:eastAsia="仿宋" w:cs="仿宋"/>
          <w:b/>
          <w:bCs w:val="0"/>
        </w:rPr>
      </w:pPr>
      <w:bookmarkStart w:id="10" w:name="_Toc16341"/>
      <w:r>
        <w:rPr>
          <w:rFonts w:hint="eastAsia" w:ascii="仿宋" w:hAnsi="仿宋" w:eastAsia="仿宋" w:cs="仿宋"/>
          <w:b/>
          <w:bCs w:val="0"/>
        </w:rPr>
        <w:t>六、进一步加强项目管理措施及建议</w:t>
      </w:r>
      <w:bookmarkEnd w:id="10"/>
    </w:p>
    <w:p>
      <w:pPr>
        <w:pStyle w:val="46"/>
        <w:ind w:left="560"/>
        <w:rPr>
          <w:rFonts w:hint="eastAsia"/>
        </w:rPr>
      </w:pPr>
      <w:bookmarkStart w:id="11" w:name="_Toc64998062"/>
      <w:bookmarkStart w:id="12" w:name="_Toc12388"/>
      <w:bookmarkStart w:id="13" w:name="_Toc12870"/>
      <w:r>
        <w:rPr>
          <w:rFonts w:hint="eastAsia"/>
        </w:rPr>
        <w:t>（一）预算安排和执行方面</w:t>
      </w:r>
      <w:bookmarkEnd w:id="11"/>
      <w:bookmarkEnd w:id="12"/>
      <w:bookmarkEnd w:id="13"/>
    </w:p>
    <w:p>
      <w:pPr>
        <w:pStyle w:val="44"/>
        <w:ind w:firstLine="560"/>
        <w:rPr>
          <w:rFonts w:hint="eastAsia"/>
        </w:rPr>
      </w:pPr>
      <w:r>
        <w:rPr>
          <w:rFonts w:hint="eastAsia"/>
        </w:rPr>
        <w:tab/>
      </w:r>
      <w:r>
        <w:rPr>
          <w:rFonts w:hint="eastAsia"/>
        </w:rPr>
        <w:t>预算安排方面及时制定合理的管理制度，保证预算资金到位及时，通过财务管理制度保证预算执行率。</w:t>
      </w:r>
    </w:p>
    <w:p>
      <w:pPr>
        <w:pStyle w:val="46"/>
        <w:ind w:left="0" w:leftChars="0" w:firstLine="562" w:firstLineChars="200"/>
        <w:rPr>
          <w:rFonts w:hint="eastAsia"/>
        </w:rPr>
      </w:pPr>
      <w:bookmarkStart w:id="14" w:name="_Toc64998064"/>
      <w:bookmarkStart w:id="15" w:name="_Toc13890"/>
      <w:bookmarkStart w:id="16" w:name="_Toc14701"/>
      <w:r>
        <w:rPr>
          <w:rFonts w:hint="eastAsia"/>
        </w:rPr>
        <w:t>（</w:t>
      </w:r>
      <w:r>
        <w:rPr>
          <w:rFonts w:hint="eastAsia"/>
          <w:lang w:eastAsia="zh-CN"/>
        </w:rPr>
        <w:t>二</w:t>
      </w:r>
      <w:r>
        <w:rPr>
          <w:rFonts w:hint="eastAsia"/>
        </w:rPr>
        <w:t>） 项目管理方面</w:t>
      </w:r>
      <w:bookmarkEnd w:id="14"/>
      <w:bookmarkEnd w:id="15"/>
      <w:bookmarkEnd w:id="16"/>
    </w:p>
    <w:p>
      <w:pPr>
        <w:pStyle w:val="46"/>
        <w:ind w:left="0" w:leftChars="0" w:firstLine="560" w:firstLineChars="200"/>
        <w:rPr>
          <w:rFonts w:hint="eastAsia"/>
          <w:b w:val="0"/>
          <w:bCs w:val="0"/>
        </w:rPr>
      </w:pPr>
      <w:bookmarkStart w:id="17" w:name="_Toc26618"/>
      <w:bookmarkStart w:id="18" w:name="_Toc64998065"/>
      <w:bookmarkStart w:id="19" w:name="_Toc18438"/>
      <w:r>
        <w:rPr>
          <w:rFonts w:hint="eastAsia"/>
          <w:b w:val="0"/>
          <w:bCs w:val="0"/>
        </w:rPr>
        <w:t>启用专业人员提供专业服务，提出建议与指导，认真贯彻落实相关政策，为完成项目打好基础。</w:t>
      </w:r>
      <w:bookmarkEnd w:id="17"/>
    </w:p>
    <w:p>
      <w:pPr>
        <w:pStyle w:val="46"/>
        <w:ind w:left="0" w:leftChars="0" w:firstLine="562" w:firstLineChars="200"/>
        <w:rPr>
          <w:rFonts w:hint="eastAsia"/>
        </w:rPr>
      </w:pPr>
      <w:bookmarkStart w:id="20" w:name="_Toc27401"/>
      <w:r>
        <w:rPr>
          <w:rFonts w:hint="eastAsia"/>
        </w:rPr>
        <w:t>（</w:t>
      </w:r>
      <w:r>
        <w:rPr>
          <w:rFonts w:hint="eastAsia"/>
          <w:lang w:eastAsia="zh-CN"/>
        </w:rPr>
        <w:t>三</w:t>
      </w:r>
      <w:r>
        <w:rPr>
          <w:rFonts w:hint="eastAsia"/>
        </w:rPr>
        <w:t>）资金管理方面</w:t>
      </w:r>
      <w:bookmarkEnd w:id="18"/>
      <w:bookmarkEnd w:id="19"/>
      <w:bookmarkEnd w:id="20"/>
    </w:p>
    <w:p>
      <w:pPr>
        <w:pStyle w:val="44"/>
        <w:ind w:firstLine="560"/>
        <w:sectPr>
          <w:footerReference r:id="rId11" w:type="default"/>
          <w:pgSz w:w="16838" w:h="11906" w:orient="landscape"/>
          <w:pgMar w:top="1800" w:right="1440" w:bottom="1800" w:left="1440" w:header="851" w:footer="992" w:gutter="0"/>
          <w:pgNumType w:start="1"/>
          <w:cols w:space="425" w:num="1"/>
          <w:docGrid w:type="lines" w:linePitch="381" w:charSpace="0"/>
        </w:sectPr>
      </w:pPr>
      <w:r>
        <w:rPr>
          <w:rFonts w:hint="eastAsia"/>
        </w:rPr>
        <w:tab/>
      </w:r>
      <w:r>
        <w:rPr>
          <w:rFonts w:hint="eastAsia"/>
        </w:rPr>
        <w:t>预算安排方面及时制定合理的管理制度，保证预算资金到位及时，通过财务管理制度保证预算执行率</w:t>
      </w:r>
      <w:r>
        <w:rPr>
          <w:rFonts w:hint="eastAsia"/>
          <w:lang w:eastAsia="zh-CN"/>
        </w:rPr>
        <w:t>。</w:t>
      </w:r>
    </w:p>
    <w:p>
      <w:pPr>
        <w:pStyle w:val="52"/>
        <w:rPr>
          <w:rFonts w:ascii="仿宋" w:hAnsi="仿宋" w:eastAsia="仿宋" w:cs="仿宋"/>
          <w:b/>
          <w:bCs w:val="0"/>
        </w:rPr>
      </w:pPr>
      <w:bookmarkStart w:id="21" w:name="_Toc12964"/>
      <w:r>
        <w:rPr>
          <w:rFonts w:hint="eastAsia" w:ascii="仿宋" w:hAnsi="仿宋" w:eastAsia="仿宋" w:cs="仿宋"/>
          <w:b/>
          <w:bCs w:val="0"/>
        </w:rPr>
        <w:t>附件</w:t>
      </w:r>
      <w:r>
        <w:rPr>
          <w:rFonts w:ascii="仿宋" w:hAnsi="仿宋" w:eastAsia="仿宋" w:cs="仿宋"/>
          <w:b/>
          <w:bCs w:val="0"/>
        </w:rPr>
        <w:t>1.</w:t>
      </w:r>
      <w:r>
        <w:rPr>
          <w:rFonts w:hint="eastAsia" w:ascii="仿宋" w:hAnsi="仿宋" w:eastAsia="仿宋" w:cs="仿宋"/>
          <w:b/>
          <w:bCs w:val="0"/>
        </w:rPr>
        <w:t>项目支出绩效自评表</w:t>
      </w:r>
      <w:bookmarkEnd w:id="21"/>
    </w:p>
    <w:p>
      <w:pPr>
        <w:ind w:firstLine="560"/>
      </w:pPr>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99.50%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9.95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项目已完成，剩余资金财政收回</w:t>
            </w: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项目完成率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验收合格率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完成及时性</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及时</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验收及时性</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及时</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成本控制</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19.9万元</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99.50%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项目已完成，剩余资金财政收回</w:t>
            </w: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本区域线上全民艺术普及增长率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宣传力度有待加强</w:t>
            </w: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持续开展全民艺术普及较高质量的线上服务</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bookmarkStart w:id="22" w:name="_GoBack"/>
            <w:bookmarkEnd w:id="22"/>
            <w:r>
              <w:rPr>
                <w:rFonts w:ascii="仿宋" w:hAnsi="等线" w:eastAsia="仿宋" w:cs="仿宋"/>
                <w:color w:val="000000"/>
                <w:kern w:val="0"/>
                <w:sz w:val="24"/>
                <w:szCs w:val="24"/>
                <w:highlight w:val="white"/>
              </w:rPr>
              <w:t>长期</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13.5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相关人才较少，需培养专业人才</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受众群体满意度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89.47%</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8.95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不足之处，今后会根据实际需求进行更改。</w:t>
            </w:r>
          </w:p>
        </w:tc>
      </w:tr>
    </w:tbl>
    <w:p>
      <w:pPr>
        <w:pStyle w:val="44"/>
        <w:ind w:firstLine="560"/>
        <w:sectPr>
          <w:footerReference r:id="rId12" w:type="default"/>
          <w:pgSz w:w="16838" w:h="11906" w:orient="landscape"/>
          <w:pgMar w:top="1800" w:right="1440" w:bottom="1800" w:left="1440" w:header="851" w:footer="992" w:gutter="0"/>
          <w:pgNumType w:start="1"/>
          <w:cols w:space="425" w:num="1"/>
          <w:docGrid w:type="lines" w:linePitch="381" w:charSpace="0"/>
        </w:sectPr>
      </w:pPr>
    </w:p>
    <w:p>
      <w:pPr>
        <w:ind w:firstLine="0" w:firstLineChars="0"/>
      </w:pPr>
    </w:p>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7</w:t>
    </w:r>
    <w:r>
      <w:rPr>
        <w:lang w:val="zh-CN"/>
      </w:rPr>
      <w:fldChar w:fldCharType="end"/>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53022"/>
    <w:multiLevelType w:val="singleLevel"/>
    <w:tmpl w:val="E3B53022"/>
    <w:lvl w:ilvl="0" w:tentative="0">
      <w:start w:val="1"/>
      <w:numFmt w:val="decimal"/>
      <w:lvlText w:val="%1."/>
      <w:lvlJc w:val="left"/>
      <w:pPr>
        <w:ind w:left="425"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 w:val="3957341C"/>
    <w:rsid w:val="4D1123E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29"/>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0"/>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1"/>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2"/>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6">
    <w:name w:val="Default Paragraph Font"/>
    <w:semiHidden/>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qFormat/>
    <w:uiPriority w:val="99"/>
    <w:pPr>
      <w:ind w:firstLine="420"/>
    </w:pPr>
  </w:style>
  <w:style w:type="paragraph" w:styleId="4">
    <w:name w:val="Body Text Indent"/>
    <w:basedOn w:val="1"/>
    <w:link w:val="35"/>
    <w:semiHidden/>
    <w:qFormat/>
    <w:uiPriority w:val="99"/>
    <w:pPr>
      <w:spacing w:after="120"/>
      <w:ind w:left="420" w:leftChars="200"/>
    </w:pPr>
    <w:rPr>
      <w:rFonts w:cs="Times New Roman"/>
      <w:kern w:val="0"/>
      <w:szCs w:val="20"/>
    </w:rPr>
  </w:style>
  <w:style w:type="paragraph" w:styleId="6">
    <w:name w:val="No Spacing"/>
    <w:link w:val="43"/>
    <w:qFormat/>
    <w:uiPriority w:val="99"/>
    <w:pPr>
      <w:widowControl w:val="0"/>
      <w:ind w:firstLine="600" w:firstLineChars="200"/>
      <w:jc w:val="both"/>
    </w:pPr>
    <w:rPr>
      <w:rFonts w:ascii="Calibri" w:hAnsi="Calibri" w:eastAsia="仿宋_GB2312" w:cs="Times New Roman"/>
      <w:kern w:val="0"/>
      <w:sz w:val="28"/>
      <w:szCs w:val="22"/>
      <w:lang w:val="en-US" w:eastAsia="zh-CN" w:bidi="ar-SA"/>
    </w:rPr>
  </w:style>
  <w:style w:type="paragraph" w:styleId="9">
    <w:name w:val="toc 7"/>
    <w:basedOn w:val="1"/>
    <w:next w:val="1"/>
    <w:qFormat/>
    <w:uiPriority w:val="99"/>
    <w:pPr>
      <w:ind w:left="1680"/>
      <w:jc w:val="left"/>
    </w:pPr>
    <w:rPr>
      <w:rFonts w:cs="Calibri"/>
      <w:sz w:val="18"/>
      <w:szCs w:val="18"/>
    </w:rPr>
  </w:style>
  <w:style w:type="paragraph" w:styleId="10">
    <w:name w:val="Document Map"/>
    <w:basedOn w:val="1"/>
    <w:link w:val="42"/>
    <w:semiHidden/>
    <w:qFormat/>
    <w:uiPriority w:val="99"/>
    <w:rPr>
      <w:rFonts w:ascii="宋体" w:eastAsia="宋体" w:cs="Times New Roman"/>
      <w:kern w:val="0"/>
      <w:sz w:val="18"/>
      <w:szCs w:val="18"/>
    </w:rPr>
  </w:style>
  <w:style w:type="paragraph" w:styleId="11">
    <w:name w:val="annotation text"/>
    <w:basedOn w:val="1"/>
    <w:link w:val="40"/>
    <w:semiHidden/>
    <w:qFormat/>
    <w:uiPriority w:val="99"/>
    <w:rPr>
      <w:rFonts w:cs="Times New Roman"/>
      <w:kern w:val="0"/>
      <w:sz w:val="20"/>
      <w:szCs w:val="20"/>
    </w:rPr>
  </w:style>
  <w:style w:type="paragraph" w:styleId="12">
    <w:name w:val="toc 5"/>
    <w:basedOn w:val="1"/>
    <w:next w:val="1"/>
    <w:qFormat/>
    <w:uiPriority w:val="99"/>
    <w:pPr>
      <w:ind w:left="1120"/>
      <w:jc w:val="left"/>
    </w:pPr>
    <w:rPr>
      <w:rFonts w:cs="Calibri"/>
      <w:sz w:val="18"/>
      <w:szCs w:val="18"/>
    </w:rPr>
  </w:style>
  <w:style w:type="paragraph" w:styleId="13">
    <w:name w:val="toc 3"/>
    <w:basedOn w:val="1"/>
    <w:next w:val="1"/>
    <w:qFormat/>
    <w:uiPriority w:val="99"/>
    <w:pPr>
      <w:ind w:left="560"/>
      <w:jc w:val="left"/>
    </w:pPr>
    <w:rPr>
      <w:rFonts w:cs="Calibri"/>
      <w:i/>
      <w:iCs/>
      <w:sz w:val="20"/>
      <w:szCs w:val="20"/>
    </w:rPr>
  </w:style>
  <w:style w:type="paragraph" w:styleId="14">
    <w:name w:val="toc 8"/>
    <w:basedOn w:val="1"/>
    <w:next w:val="1"/>
    <w:qFormat/>
    <w:uiPriority w:val="99"/>
    <w:pPr>
      <w:ind w:left="1960"/>
      <w:jc w:val="left"/>
    </w:pPr>
    <w:rPr>
      <w:rFonts w:cs="Calibri"/>
      <w:sz w:val="18"/>
      <w:szCs w:val="18"/>
    </w:rPr>
  </w:style>
  <w:style w:type="paragraph" w:styleId="15">
    <w:name w:val="Balloon Text"/>
    <w:basedOn w:val="1"/>
    <w:link w:val="38"/>
    <w:semiHidden/>
    <w:qFormat/>
    <w:uiPriority w:val="99"/>
    <w:rPr>
      <w:rFonts w:cs="Times New Roman"/>
      <w:kern w:val="0"/>
      <w:sz w:val="18"/>
      <w:szCs w:val="18"/>
    </w:rPr>
  </w:style>
  <w:style w:type="paragraph" w:styleId="16">
    <w:name w:val="footer"/>
    <w:basedOn w:val="1"/>
    <w:link w:val="34"/>
    <w:qFormat/>
    <w:uiPriority w:val="99"/>
    <w:pPr>
      <w:tabs>
        <w:tab w:val="center" w:pos="4153"/>
        <w:tab w:val="right" w:pos="8306"/>
      </w:tabs>
      <w:snapToGrid w:val="0"/>
      <w:jc w:val="left"/>
    </w:pPr>
    <w:rPr>
      <w:sz w:val="18"/>
      <w:szCs w:val="18"/>
    </w:rPr>
  </w:style>
  <w:style w:type="paragraph" w:styleId="17">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cs="Calibri"/>
      <w:b/>
      <w:bCs/>
      <w:caps/>
      <w:sz w:val="20"/>
      <w:szCs w:val="20"/>
    </w:rPr>
  </w:style>
  <w:style w:type="paragraph" w:styleId="19">
    <w:name w:val="toc 4"/>
    <w:basedOn w:val="1"/>
    <w:next w:val="1"/>
    <w:qFormat/>
    <w:uiPriority w:val="99"/>
    <w:pPr>
      <w:ind w:left="840"/>
      <w:jc w:val="left"/>
    </w:pPr>
    <w:rPr>
      <w:rFonts w:cs="Calibri"/>
      <w:sz w:val="18"/>
      <w:szCs w:val="18"/>
    </w:rPr>
  </w:style>
  <w:style w:type="paragraph" w:styleId="20">
    <w:name w:val="toc 6"/>
    <w:basedOn w:val="1"/>
    <w:next w:val="1"/>
    <w:qFormat/>
    <w:uiPriority w:val="99"/>
    <w:pPr>
      <w:ind w:left="1400"/>
      <w:jc w:val="left"/>
    </w:pPr>
    <w:rPr>
      <w:rFonts w:cs="Calibri"/>
      <w:sz w:val="18"/>
      <w:szCs w:val="18"/>
    </w:rPr>
  </w:style>
  <w:style w:type="paragraph" w:styleId="21">
    <w:name w:val="toc 2"/>
    <w:basedOn w:val="1"/>
    <w:next w:val="1"/>
    <w:qFormat/>
    <w:uiPriority w:val="99"/>
    <w:pPr>
      <w:ind w:left="280"/>
      <w:jc w:val="left"/>
    </w:pPr>
    <w:rPr>
      <w:rFonts w:cs="Calibri"/>
      <w:smallCaps/>
      <w:sz w:val="20"/>
      <w:szCs w:val="20"/>
    </w:rPr>
  </w:style>
  <w:style w:type="paragraph" w:styleId="22">
    <w:name w:val="toc 9"/>
    <w:basedOn w:val="1"/>
    <w:next w:val="1"/>
    <w:qFormat/>
    <w:uiPriority w:val="99"/>
    <w:pPr>
      <w:ind w:left="2240"/>
      <w:jc w:val="left"/>
    </w:pPr>
    <w:rPr>
      <w:rFonts w:cs="Calibri"/>
      <w:sz w:val="18"/>
      <w:szCs w:val="18"/>
    </w:rPr>
  </w:style>
  <w:style w:type="paragraph" w:styleId="23">
    <w:name w:val="annotation subject"/>
    <w:basedOn w:val="11"/>
    <w:next w:val="11"/>
    <w:link w:val="41"/>
    <w:semiHidden/>
    <w:qFormat/>
    <w:uiPriority w:val="99"/>
    <w:rPr>
      <w:b/>
      <w:bCs/>
    </w:rPr>
  </w:style>
  <w:style w:type="table" w:styleId="25">
    <w:name w:val="Table Grid"/>
    <w:basedOn w:val="24"/>
    <w:qFormat/>
    <w:uiPriority w:val="99"/>
    <w:rPr>
      <w:rFonts w:ascii="Calibri" w:hAnsi="Calibri"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basedOn w:val="26"/>
    <w:uiPriority w:val="99"/>
    <w:rPr>
      <w:rFonts w:cs="Times New Roman"/>
      <w:color w:val="0000FF"/>
      <w:u w:val="single"/>
    </w:rPr>
  </w:style>
  <w:style w:type="character" w:styleId="28">
    <w:name w:val="annotation reference"/>
    <w:basedOn w:val="26"/>
    <w:semiHidden/>
    <w:qFormat/>
    <w:uiPriority w:val="99"/>
    <w:rPr>
      <w:rFonts w:cs="Times New Roman"/>
      <w:sz w:val="16"/>
    </w:rPr>
  </w:style>
  <w:style w:type="character" w:customStyle="1" w:styleId="29">
    <w:name w:val="Heading 1 Char"/>
    <w:basedOn w:val="26"/>
    <w:link w:val="2"/>
    <w:locked/>
    <w:uiPriority w:val="99"/>
    <w:rPr>
      <w:rFonts w:ascii="Times New Roman" w:hAnsi="Times New Roman" w:eastAsia="仿宋_GB2312" w:cs="Times New Roman"/>
      <w:b/>
      <w:bCs/>
      <w:kern w:val="44"/>
      <w:sz w:val="44"/>
      <w:szCs w:val="44"/>
    </w:rPr>
  </w:style>
  <w:style w:type="character" w:customStyle="1" w:styleId="30">
    <w:name w:val="Heading 2 Char"/>
    <w:basedOn w:val="26"/>
    <w:link w:val="5"/>
    <w:qFormat/>
    <w:locked/>
    <w:uiPriority w:val="99"/>
    <w:rPr>
      <w:rFonts w:ascii="Cambria" w:hAnsi="Cambria" w:eastAsia="仿宋_GB2312" w:cs="Times New Roman"/>
      <w:b/>
      <w:bCs/>
      <w:kern w:val="0"/>
      <w:sz w:val="32"/>
      <w:szCs w:val="32"/>
    </w:rPr>
  </w:style>
  <w:style w:type="character" w:customStyle="1" w:styleId="31">
    <w:name w:val="Heading 3 Char"/>
    <w:basedOn w:val="26"/>
    <w:link w:val="7"/>
    <w:locked/>
    <w:uiPriority w:val="99"/>
    <w:rPr>
      <w:rFonts w:ascii="Calibri" w:hAnsi="Calibri" w:eastAsia="仿宋_GB2312" w:cs="Times New Roman"/>
      <w:bCs/>
      <w:kern w:val="0"/>
      <w:sz w:val="32"/>
      <w:szCs w:val="32"/>
    </w:rPr>
  </w:style>
  <w:style w:type="character" w:customStyle="1" w:styleId="32">
    <w:name w:val="Heading 4 Char"/>
    <w:basedOn w:val="26"/>
    <w:link w:val="8"/>
    <w:semiHidden/>
    <w:locked/>
    <w:uiPriority w:val="99"/>
    <w:rPr>
      <w:rFonts w:ascii="Cambria" w:hAnsi="Cambria" w:eastAsia="宋体" w:cs="Times New Roman"/>
      <w:b/>
      <w:bCs/>
      <w:kern w:val="0"/>
      <w:sz w:val="28"/>
      <w:szCs w:val="28"/>
    </w:rPr>
  </w:style>
  <w:style w:type="character" w:customStyle="1" w:styleId="33">
    <w:name w:val="Header Char"/>
    <w:basedOn w:val="26"/>
    <w:link w:val="17"/>
    <w:qFormat/>
    <w:locked/>
    <w:uiPriority w:val="99"/>
    <w:rPr>
      <w:rFonts w:cs="Times New Roman"/>
      <w:sz w:val="18"/>
      <w:szCs w:val="18"/>
    </w:rPr>
  </w:style>
  <w:style w:type="character" w:customStyle="1" w:styleId="34">
    <w:name w:val="Footer Char"/>
    <w:basedOn w:val="26"/>
    <w:link w:val="16"/>
    <w:qFormat/>
    <w:locked/>
    <w:uiPriority w:val="99"/>
    <w:rPr>
      <w:rFonts w:cs="Times New Roman"/>
      <w:sz w:val="18"/>
      <w:szCs w:val="18"/>
    </w:rPr>
  </w:style>
  <w:style w:type="character" w:customStyle="1" w:styleId="35">
    <w:name w:val="Body Text Indent Char"/>
    <w:basedOn w:val="26"/>
    <w:link w:val="4"/>
    <w:semiHidden/>
    <w:qFormat/>
    <w:locked/>
    <w:uiPriority w:val="99"/>
    <w:rPr>
      <w:rFonts w:ascii="Calibri" w:hAnsi="Calibri" w:eastAsia="仿宋_GB2312" w:cs="Times New Roman"/>
      <w:kern w:val="0"/>
      <w:sz w:val="20"/>
      <w:szCs w:val="20"/>
    </w:rPr>
  </w:style>
  <w:style w:type="character" w:customStyle="1" w:styleId="36">
    <w:name w:val="Body Text First Indent 2 Char"/>
    <w:basedOn w:val="35"/>
    <w:link w:val="3"/>
    <w:qFormat/>
    <w:locked/>
    <w:uiPriority w:val="99"/>
  </w:style>
  <w:style w:type="character" w:customStyle="1" w:styleId="37">
    <w:name w:val="Intense Reference"/>
    <w:basedOn w:val="26"/>
    <w:qFormat/>
    <w:uiPriority w:val="99"/>
    <w:rPr>
      <w:b/>
      <w:smallCaps/>
      <w:color w:val="C0504D"/>
      <w:spacing w:val="5"/>
      <w:u w:val="single"/>
    </w:rPr>
  </w:style>
  <w:style w:type="character" w:customStyle="1" w:styleId="38">
    <w:name w:val="Balloon Text Char"/>
    <w:basedOn w:val="26"/>
    <w:link w:val="15"/>
    <w:semiHidden/>
    <w:qFormat/>
    <w:locked/>
    <w:uiPriority w:val="99"/>
    <w:rPr>
      <w:rFonts w:ascii="Calibri" w:hAnsi="Calibri" w:eastAsia="仿宋_GB2312" w:cs="Times New Roman"/>
      <w:kern w:val="0"/>
      <w:sz w:val="18"/>
      <w:szCs w:val="18"/>
    </w:rPr>
  </w:style>
  <w:style w:type="paragraph" w:styleId="39">
    <w:name w:val="List Paragraph"/>
    <w:basedOn w:val="1"/>
    <w:qFormat/>
    <w:uiPriority w:val="99"/>
    <w:pPr>
      <w:ind w:firstLine="420"/>
    </w:pPr>
  </w:style>
  <w:style w:type="character" w:customStyle="1" w:styleId="40">
    <w:name w:val="Comment Text Char"/>
    <w:basedOn w:val="26"/>
    <w:link w:val="11"/>
    <w:semiHidden/>
    <w:qFormat/>
    <w:locked/>
    <w:uiPriority w:val="99"/>
    <w:rPr>
      <w:rFonts w:ascii="Calibri" w:hAnsi="Calibri" w:eastAsia="仿宋_GB2312" w:cs="Times New Roman"/>
      <w:kern w:val="0"/>
      <w:sz w:val="20"/>
      <w:szCs w:val="20"/>
    </w:rPr>
  </w:style>
  <w:style w:type="character" w:customStyle="1" w:styleId="41">
    <w:name w:val="Comment Subject Char"/>
    <w:basedOn w:val="40"/>
    <w:link w:val="23"/>
    <w:semiHidden/>
    <w:qFormat/>
    <w:locked/>
    <w:uiPriority w:val="99"/>
    <w:rPr>
      <w:b/>
      <w:bCs/>
    </w:rPr>
  </w:style>
  <w:style w:type="character" w:customStyle="1" w:styleId="42">
    <w:name w:val="Document Map Char"/>
    <w:basedOn w:val="26"/>
    <w:link w:val="10"/>
    <w:semiHidden/>
    <w:qFormat/>
    <w:locked/>
    <w:uiPriority w:val="99"/>
    <w:rPr>
      <w:rFonts w:ascii="宋体" w:hAnsi="Calibri" w:eastAsia="宋体" w:cs="Times New Roman"/>
      <w:kern w:val="0"/>
      <w:sz w:val="18"/>
      <w:szCs w:val="18"/>
    </w:rPr>
  </w:style>
  <w:style w:type="character" w:customStyle="1" w:styleId="43">
    <w:name w:val="No Spacing Char"/>
    <w:link w:val="6"/>
    <w:qFormat/>
    <w:locked/>
    <w:uiPriority w:val="99"/>
    <w:rPr>
      <w:rFonts w:ascii="Calibri" w:hAnsi="Calibri" w:eastAsia="仿宋_GB2312"/>
      <w:sz w:val="22"/>
    </w:rPr>
  </w:style>
  <w:style w:type="paragraph" w:customStyle="1" w:styleId="44">
    <w:name w:val="闻政-正文段落文字"/>
    <w:basedOn w:val="1"/>
    <w:link w:val="45"/>
    <w:qFormat/>
    <w:uiPriority w:val="99"/>
    <w:pPr>
      <w:spacing w:line="500" w:lineRule="exact"/>
      <w:ind w:firstLine="200"/>
    </w:pPr>
    <w:rPr>
      <w:rFonts w:ascii="Times New Roman" w:hAnsi="Times New Roman" w:cs="Times New Roman"/>
      <w:kern w:val="0"/>
      <w:szCs w:val="28"/>
    </w:rPr>
  </w:style>
  <w:style w:type="character" w:customStyle="1" w:styleId="45">
    <w:name w:val="闻政-正文段落文字 Char"/>
    <w:link w:val="44"/>
    <w:qFormat/>
    <w:locked/>
    <w:uiPriority w:val="99"/>
    <w:rPr>
      <w:rFonts w:ascii="Times New Roman" w:hAnsi="Times New Roman" w:eastAsia="仿宋_GB2312"/>
      <w:kern w:val="0"/>
      <w:sz w:val="28"/>
    </w:rPr>
  </w:style>
  <w:style w:type="paragraph" w:customStyle="1" w:styleId="46">
    <w:name w:val="闻政-正文二级标题"/>
    <w:basedOn w:val="5"/>
    <w:next w:val="44"/>
    <w:link w:val="47"/>
    <w:qFormat/>
    <w:uiPriority w:val="99"/>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qFormat/>
    <w:locked/>
    <w:uiPriority w:val="99"/>
    <w:rPr>
      <w:rFonts w:ascii="Times New Roman" w:hAnsi="Times New Roman" w:eastAsia="仿宋_GB2312"/>
      <w:b/>
      <w:kern w:val="0"/>
      <w:sz w:val="32"/>
    </w:rPr>
  </w:style>
  <w:style w:type="paragraph" w:customStyle="1" w:styleId="48">
    <w:name w:val="闻政-正文三级标题"/>
    <w:basedOn w:val="1"/>
    <w:next w:val="44"/>
    <w:link w:val="49"/>
    <w:qFormat/>
    <w:uiPriority w:val="99"/>
    <w:pPr>
      <w:widowControl/>
      <w:spacing w:before="120" w:after="60" w:line="500" w:lineRule="exact"/>
      <w:ind w:left="200" w:leftChars="200" w:firstLine="0" w:firstLineChars="0"/>
    </w:pPr>
    <w:rPr>
      <w:rFonts w:ascii="Times New Roman" w:hAnsi="Times New Roman" w:cs="Times New Roman"/>
      <w:b/>
      <w:kern w:val="0"/>
      <w:szCs w:val="28"/>
    </w:rPr>
  </w:style>
  <w:style w:type="character" w:customStyle="1" w:styleId="49">
    <w:name w:val="闻政-正文三级标题 Char"/>
    <w:link w:val="48"/>
    <w:qFormat/>
    <w:locked/>
    <w:uiPriority w:val="99"/>
    <w:rPr>
      <w:rFonts w:ascii="Times New Roman" w:hAnsi="Times New Roman" w:eastAsia="仿宋_GB2312"/>
      <w:b/>
      <w:snapToGrid w:val="0"/>
      <w:kern w:val="0"/>
      <w:sz w:val="28"/>
    </w:rPr>
  </w:style>
  <w:style w:type="paragraph" w:customStyle="1" w:styleId="50">
    <w:name w:val="闻政-正文四级标题"/>
    <w:basedOn w:val="48"/>
    <w:next w:val="44"/>
    <w:link w:val="51"/>
    <w:qFormat/>
    <w:uiPriority w:val="99"/>
    <w:rPr>
      <w:b w:val="0"/>
    </w:rPr>
  </w:style>
  <w:style w:type="character" w:customStyle="1" w:styleId="51">
    <w:name w:val="闻政-正文四级标题 Char"/>
    <w:link w:val="50"/>
    <w:qFormat/>
    <w:locked/>
    <w:uiPriority w:val="99"/>
    <w:rPr>
      <w:rFonts w:ascii="Times New Roman" w:hAnsi="Times New Roman" w:eastAsia="仿宋_GB2312"/>
      <w:snapToGrid w:val="0"/>
      <w:kern w:val="0"/>
      <w:sz w:val="28"/>
    </w:rPr>
  </w:style>
  <w:style w:type="paragraph" w:customStyle="1" w:styleId="52">
    <w:name w:val="闻政-正文一级标题"/>
    <w:basedOn w:val="7"/>
    <w:next w:val="44"/>
    <w:link w:val="53"/>
    <w:qFormat/>
    <w:uiPriority w:val="99"/>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locked/>
    <w:uiPriority w:val="99"/>
    <w:rPr>
      <w:rFonts w:ascii="黑体" w:hAnsi="黑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2450</Words>
  <Characters>2705</Characters>
  <Lines>0</Lines>
  <Paragraphs>0</Paragraphs>
  <TotalTime>8</TotalTime>
  <ScaleCrop>false</ScaleCrop>
  <LinksUpToDate>false</LinksUpToDate>
  <CharactersWithSpaces>2737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2020-07-13T07:59:00Z</dcterms:created>
  <dc:creator>qq</dc:creator>
  <cp:lastModifiedBy>贺敏</cp:lastModifiedBy>
  <dcterms:modified xsi:type="dcterms:W3CDTF">2022-03-29T09:00:19Z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03BBD12C12F641A586B5F0BD8C383119</vt:lpwstr>
  </property>
</Properties>
</file>