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2558" w:leftChars="228" w:hanging="1920" w:hangingChars="6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大宁县公共图书馆、文化馆、美术馆室外建设项目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大宁县文化和旅游局-202001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  <w:rPr>
          <w:rFonts w:ascii="Calibri" w:hAnsi="Calibri" w:eastAsia="仿宋_GB2312" w:cs="Calibri"/>
          <w:b/>
          <w:bCs/>
          <w:caps/>
          <w:kern w:val="2"/>
          <w:sz w:val="20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_Toc7500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_Toc4014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_Toc26984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_Toc29517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_Toc21330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_Toc12630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_Toc30591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_Toc13591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_Toc31240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_Toc26685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_Toc1011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_Toc25983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（一）预算安排和执行方面</w:t>
      </w:r>
      <w:r>
        <w:tab/>
      </w:r>
      <w:r>
        <w:fldChar w:fldCharType="begin"/>
      </w:r>
      <w:r>
        <w:instrText xml:space="preserve"> PAGEREF _Toc11203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r>
        <w:tab/>
      </w:r>
      <w:r>
        <w:fldChar w:fldCharType="begin"/>
      </w:r>
      <w:r>
        <w:instrText xml:space="preserve"> PAGEREF _Toc15727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r>
        <w:tab/>
      </w:r>
      <w:r>
        <w:fldChar w:fldCharType="begin"/>
      </w:r>
      <w:r>
        <w:instrText xml:space="preserve"> PAGEREF _Toc11121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_Toc18190 </w:instrText>
      </w:r>
      <w:r>
        <w:fldChar w:fldCharType="separate"/>
      </w:r>
      <w:r>
        <w:t>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7500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4014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大宁县公共图书馆、文化馆、美术馆建设项目于2018年10月开工，2019年9月竣工并投入使用。目前，三馆室外的清淤换填、土方回填及附属工程已完工。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大宁县人民政府第17次常务会议纪要</w:t>
      </w:r>
    </w:p>
    <w:p>
      <w:pPr>
        <w:pStyle w:val="44"/>
        <w:ind w:left="280" w:firstLine="562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  <w:lang w:eastAsia="zh-CN"/>
        </w:rPr>
        <w:t>该资金为</w:t>
      </w:r>
      <w:r>
        <w:rPr>
          <w:b w:val="0"/>
          <w:bCs w:val="0"/>
        </w:rPr>
        <w:t>大宁</w:t>
      </w:r>
      <w:r>
        <w:t>县公共图书馆、文化馆、美术馆</w:t>
      </w:r>
      <w:r>
        <w:rPr>
          <w:rFonts w:hint="eastAsia"/>
          <w:lang w:eastAsia="zh-CN"/>
        </w:rPr>
        <w:t>室外</w:t>
      </w:r>
      <w:r>
        <w:t>项目</w:t>
      </w:r>
      <w:r>
        <w:rPr>
          <w:rFonts w:hint="eastAsia"/>
          <w:lang w:eastAsia="zh-CN"/>
        </w:rPr>
        <w:t>尾款，拖欠时间较长，需及时支付。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（一）规范管理的原则。基本支出执行县级财政确定的定额标准，优先用于保障各单位正常运转需要；项目支出按照批复的预算和有关制度规定执行。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（三）先审后付的原则。财务室依照国家有关财务会计制度，对核算单位经费支出原始凭证的真实性、完整性、合法性进行审核，并核对核算单位负责人或授权人预留签名，审核无误后办理结算。对记载不准确、手续不完整的支出凭证，有权要求更正、补充；对不合法、不真实的凭证不予受理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将欠款支付给施工方，不拖欠薪资。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26984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9517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推动我县公共文化服务体系建设，提升公共文化场馆的服务效能，满足人民群众日益增长的文化活动需求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推动我县公共文化服务体系建设，提升公共文化场馆的服务效能，满足人民群众日益增长的文化活动需求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1330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大宁县公共图书馆、文化馆、美术馆室外建设项目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89</w:t>
      </w:r>
      <w:r>
        <w:rPr>
          <w:rFonts w:hint="eastAsia"/>
          <w:lang w:val="en-US" w:eastAsia="zh-CN"/>
        </w:rPr>
        <w:t>.8</w:t>
      </w:r>
      <w:r>
        <w:rPr>
          <w:rFonts w:hint="eastAsia"/>
        </w:rPr>
        <w:t>分，属于</w:t>
      </w:r>
      <w:r>
        <w:t>"良好"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2630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6" w:name="_Toc30591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室外工程量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79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157万元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13591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提升公共文化服务体系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b/>
          <w:bCs/>
        </w:rPr>
      </w:pPr>
      <w:r>
        <w:rPr>
          <w:rFonts w:hint="eastAsia"/>
          <w:b/>
          <w:bCs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8" w:name="_Toc31240"/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三馆室外建设项目在</w:t>
      </w:r>
      <w:r>
        <w:rPr>
          <w:rFonts w:hint="eastAsia" w:ascii="仿宋_GB2312"/>
          <w:bCs/>
          <w:lang w:val="en-US" w:eastAsia="zh-CN"/>
        </w:rPr>
        <w:t>2021前已实施完工，但因资金问题，我单位一直未能及时支付工程款，2021年年底通过积极争取资金，终于在年底将工程款支付完毕，做到不拖欠任何项目资金，提高信用度</w:t>
      </w:r>
      <w:r>
        <w:rPr>
          <w:rFonts w:hint="eastAsia" w:ascii="仿宋_GB2312"/>
          <w:bCs/>
          <w:lang w:eastAsia="zh-CN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三馆室外建设工程建设时施工方全部采用有资质的公司，并按时按质的完成工作，验收方也及时对项目进行了验收，确保了三馆室外工程的安全性，保障了三馆能够正常开放，无任何安全问题。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三馆室外项目的建设完毕，保障了三馆的正常开放，让群众拥有了更加丰富的文化活动场所，对提升我县公共文化服务体系有重大意义。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随着三馆的发放，群众门有了文化、阅读一体的活动场所，丰富了群众文化生活，得到了群众的认可。</w:t>
      </w:r>
    </w:p>
    <w:p>
      <w:pPr>
        <w:pStyle w:val="52"/>
      </w:pPr>
      <w:bookmarkStart w:id="11" w:name="_Toc26685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1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项目在建设时，及时申请项目资金，争取不拖欠项目款。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2" w:name="_Toc1011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2"/>
    </w:p>
    <w:p>
      <w:pPr>
        <w:pStyle w:val="44"/>
        <w:ind w:firstLine="840" w:firstLineChars="300"/>
      </w:pPr>
      <w:r>
        <w:rPr>
          <w:rFonts w:hint="eastAsia"/>
        </w:rPr>
        <w:t>大宁县公共图书馆、文化馆、美术馆室外建设项目与2021年前已完成，未支付工程款，现今才进行支付。</w:t>
      </w:r>
    </w:p>
    <w:p>
      <w:pPr>
        <w:pStyle w:val="52"/>
      </w:pPr>
      <w:bookmarkStart w:id="13" w:name="_Toc25983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3"/>
    </w:p>
    <w:p>
      <w:pPr>
        <w:pStyle w:val="46"/>
        <w:ind w:left="560"/>
        <w:rPr>
          <w:rFonts w:hint="eastAsia"/>
        </w:rPr>
      </w:pPr>
      <w:bookmarkStart w:id="14" w:name="_Toc11203"/>
      <w:bookmarkStart w:id="15" w:name="_Toc1894"/>
      <w:bookmarkStart w:id="16" w:name="_Toc64998062"/>
      <w:bookmarkStart w:id="17" w:name="_Toc12870"/>
      <w:r>
        <w:rPr>
          <w:rFonts w:hint="eastAsia"/>
        </w:rPr>
        <w:t>（一）预算安排和执行方面</w:t>
      </w:r>
      <w:bookmarkEnd w:id="14"/>
      <w:bookmarkEnd w:id="15"/>
      <w:bookmarkEnd w:id="16"/>
      <w:bookmarkEnd w:id="17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预算安排方面及时制定合理的管理制度，保证预算资金到位及时，通过财务管理制度保证预算执行率。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18" w:name="_Toc15727"/>
      <w:bookmarkStart w:id="19" w:name="_Toc11096"/>
      <w:bookmarkStart w:id="20" w:name="_Toc64998064"/>
      <w:bookmarkStart w:id="21" w:name="_Toc14701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bookmarkEnd w:id="18"/>
      <w:bookmarkEnd w:id="19"/>
      <w:bookmarkEnd w:id="20"/>
      <w:bookmarkEnd w:id="21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加大项目管理制度执行有效性，每个项目成立领导小组，对项目严格把控。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22" w:name="_Toc64998065"/>
      <w:bookmarkStart w:id="23" w:name="_Toc18438"/>
      <w:bookmarkStart w:id="24" w:name="_Toc11349"/>
      <w:bookmarkStart w:id="25" w:name="_Toc11121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bookmarkEnd w:id="22"/>
      <w:bookmarkEnd w:id="23"/>
      <w:bookmarkEnd w:id="24"/>
      <w:bookmarkEnd w:id="25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ab/>
      </w:r>
      <w:r>
        <w:rPr>
          <w:rFonts w:hint="eastAsia"/>
        </w:rPr>
        <w:t>健全资金管理制度，确保每一笔资金的使用都合规、有效，加强财务人员的职业素养，保证及时了解政策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6" w:name="_Toc1819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6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室外工程量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79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79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15.8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该项目为跨年项目，支付资金不够及时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157万元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提升公共文化服务体系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</w:t>
            </w:r>
            <w:bookmarkStart w:id="27" w:name="_GoBack"/>
            <w:bookmarkEnd w:id="27"/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文化方面提升还需不断加强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文化方面提升还需不断加强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EE37BFA"/>
    <w:rsid w:val="244D715E"/>
    <w:rsid w:val="24F64102"/>
    <w:rsid w:val="444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2123</Words>
  <Characters>2331</Characters>
  <Lines>0</Lines>
  <Paragraphs>0</Paragraphs>
  <TotalTime>10</TotalTime>
  <ScaleCrop>false</ScaleCrop>
  <LinksUpToDate>false</LinksUpToDate>
  <CharactersWithSpaces>2367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cp:lastPrinted>2022-03-15T07:43:00Z</cp:lastPrinted>
  <dcterms:modified xsi:type="dcterms:W3CDTF">2022-03-29T08:16:05Z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10953C777BAD40089721A27D294948A9</vt:lpwstr>
  </property>
</Properties>
</file>