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2558" w:leftChars="228" w:hanging="1920" w:hangingChars="6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2021年中央支持地方公共文化服务体系建设补助资金（戏曲进乡村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大宁县文化和旅游局-202001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_Toc11475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_Toc25257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_Toc29941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_Toc26521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_Toc1086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_Toc15630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_Toc24849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_Toc22943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_Toc4706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_Toc20546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（一）预算安排和执行方面</w:t>
      </w:r>
      <w:r>
        <w:tab/>
      </w:r>
      <w:r>
        <w:fldChar w:fldCharType="begin"/>
      </w:r>
      <w:r>
        <w:instrText xml:space="preserve"> PAGEREF _Toc12247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（二）制度建设方面</w:t>
      </w:r>
      <w:r>
        <w:tab/>
      </w:r>
      <w:r>
        <w:fldChar w:fldCharType="begin"/>
      </w:r>
      <w:r>
        <w:instrText xml:space="preserve"> PAGEREF _Toc4199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 项目管理方面</w:t>
      </w:r>
      <w:r>
        <w:tab/>
      </w:r>
      <w:r>
        <w:fldChar w:fldCharType="begin"/>
      </w:r>
      <w:r>
        <w:instrText xml:space="preserve"> PAGEREF _Toc20476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（四）资金管理方面</w:t>
      </w:r>
      <w:r>
        <w:tab/>
      </w:r>
      <w:r>
        <w:fldChar w:fldCharType="begin"/>
      </w:r>
      <w:r>
        <w:instrText xml:space="preserve"> PAGEREF _Toc4061 </w:instrText>
      </w:r>
      <w:r>
        <w:fldChar w:fldCharType="separate"/>
      </w:r>
      <w:r>
        <w:t>6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_Toc11534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0" w:name="_Toc11475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7"/>
        <w:ind w:left="560"/>
      </w:pPr>
      <w:bookmarkStart w:id="1" w:name="_Toc25257"/>
      <w:r>
        <w:rPr>
          <w:rFonts w:hint="eastAsia"/>
        </w:rPr>
        <w:t>（一）项目概况</w:t>
      </w:r>
      <w:bookmarkEnd w:id="1"/>
    </w:p>
    <w:p>
      <w:pPr>
        <w:pStyle w:val="45"/>
        <w:ind w:left="280" w:firstLine="562"/>
      </w:pPr>
      <w:r>
        <w:rPr>
          <w:rFonts w:hint="eastAsia"/>
          <w:b/>
          <w:bCs/>
        </w:rPr>
        <w:t>项目概况：</w:t>
      </w:r>
      <w:r>
        <w:t>为落实中央有关精神，进一步丰富贫苦地区公共文化服务供给，逐步满足当地人民群众精神文化需求，切实带动地方戏曲传承发展，实施送戏下乡项目，为贫苦地区配送以地方戏为主的文艺演出。</w:t>
      </w:r>
    </w:p>
    <w:p>
      <w:pPr>
        <w:pStyle w:val="45"/>
        <w:ind w:left="280" w:firstLine="562"/>
      </w:pPr>
      <w:r>
        <w:rPr>
          <w:rFonts w:hint="eastAsia"/>
          <w:b/>
          <w:bCs/>
        </w:rPr>
        <w:t>立项依据：</w:t>
      </w:r>
      <w:r>
        <w:t>大财教二【2021】40号关于下达-2021年中央支持地方公共文化服务体系建设补助资金（戏曲进乡村）的通知</w:t>
      </w:r>
    </w:p>
    <w:p>
      <w:pPr>
        <w:pStyle w:val="45"/>
        <w:ind w:left="280" w:firstLine="562"/>
        <w:rPr>
          <w:rFonts w:hint="eastAsia" w:eastAsia="仿宋_GB2312"/>
          <w:lang w:eastAsia="zh-CN"/>
        </w:rPr>
      </w:pPr>
      <w:r>
        <w:rPr>
          <w:rFonts w:hint="eastAsia"/>
          <w:b/>
          <w:bCs/>
        </w:rPr>
        <w:t>设立的必要性：</w:t>
      </w:r>
      <w:r>
        <w:t>进一步丰富贫苦地区公共文化服务供给，逐步满足当地人民群众精神文化需求，切实带动地方戏曲传承发展</w:t>
      </w:r>
      <w:r>
        <w:rPr>
          <w:rFonts w:hint="eastAsia"/>
          <w:lang w:eastAsia="zh-CN"/>
        </w:rPr>
        <w:t>。</w:t>
      </w:r>
    </w:p>
    <w:p>
      <w:pPr>
        <w:pStyle w:val="45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（一）规范管理的原则。基本支出执行县级财政确定的定额标准，优先用于保障各单位正常运转需要；项目支出按照批复的预算和有关制度规定执行。 （二）绩效管理的原则。各单位对预算安排特定用途项目的专项资金，应当按批准的项目和用途使用，专款专用， 不得自行改变项目内容或扩大使用范围， 若需调整， 应按规定程序报批。 （三）先审后付的原则。财务室依照国家有关财务会计制度，对核算单位经费支出原始凭证的真实性、完整性、合法性进行审核，并核对核算单位负责人或授权人预留签名，审核无误后办理结算。对记载不准确、手续不完整的支出凭证，有权要求更正、补充；对不合法、不真实的凭证不予受理。 各单位负责人要切实履行好法定职责，自觉遵守相关财经制度，严格经费支出审批，支持财会人员依法履行职责。 核算单位应自觉接受上级主管部门，财政、审计、监察等有关部门的监督检查，并按照要求如实提供有关资料。</w:t>
      </w:r>
    </w:p>
    <w:p>
      <w:pPr>
        <w:pStyle w:val="45"/>
        <w:ind w:left="280" w:firstLine="562"/>
      </w:pPr>
      <w:r>
        <w:rPr>
          <w:rFonts w:hint="eastAsia"/>
          <w:b/>
          <w:bCs/>
        </w:rPr>
        <w:t>项目实施计划：</w:t>
      </w:r>
      <w:r>
        <w:t>按照每个乡镇每年配送6场演出、每场演出补助5000的标准，配送36场戏曲演出。</w:t>
      </w:r>
    </w:p>
    <w:p>
      <w:pPr>
        <w:widowControl/>
        <w:ind w:firstLine="0" w:firstLineChars="0"/>
        <w:jc w:val="left"/>
      </w:pPr>
      <w:r>
        <w:rPr>
          <w:rFonts w:hint="eastAsi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</w:tbl>
    <w:p>
      <w:pPr>
        <w:pStyle w:val="47"/>
        <w:ind w:left="560"/>
      </w:pPr>
      <w:bookmarkStart w:id="2" w:name="_Toc29941"/>
      <w:r>
        <w:rPr>
          <w:rFonts w:hint="eastAsia"/>
        </w:rPr>
        <w:t>（三）项目绩效目标</w:t>
      </w:r>
      <w:bookmarkEnd w:id="2"/>
    </w:p>
    <w:p>
      <w:pPr>
        <w:pStyle w:val="49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5"/>
        <w:ind w:left="280" w:firstLine="560"/>
      </w:pPr>
      <w:r>
        <w:t>丰富贫苦地区公共文化服务供给，逐步满足当地群众精神文化需求，切实带动地方戏曲传承发展</w:t>
      </w:r>
    </w:p>
    <w:p>
      <w:pPr>
        <w:pStyle w:val="45"/>
        <w:ind w:left="280" w:firstLine="560"/>
      </w:pPr>
      <w:r>
        <w:tab/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5"/>
        <w:ind w:left="280" w:firstLine="560"/>
      </w:pPr>
      <w:r>
        <w:t>丰富贫苦地区公共文化服务供给，逐步满足当地群众精神文化需求，切实带动地方戏曲传承发展</w:t>
      </w: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3" w:name="_Toc2652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5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2021年中央支持地方公共文化服务体系建设补助资金（戏曲进乡村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89.93</w:t>
      </w:r>
      <w:r>
        <w:rPr>
          <w:rFonts w:hint="eastAsia"/>
        </w:rPr>
        <w:t>分，属于</w:t>
      </w:r>
      <w:r>
        <w:t>"良好"</w:t>
      </w:r>
      <w:r>
        <w:rPr>
          <w:rFonts w:hint="eastAsia"/>
        </w:rPr>
        <w:t>。</w:t>
      </w:r>
    </w:p>
    <w:p>
      <w:pPr>
        <w:pStyle w:val="47"/>
        <w:ind w:left="560"/>
      </w:pPr>
      <w:bookmarkStart w:id="4" w:name="_Toc1086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r>
        <w:rPr>
          <w:rFonts w:hint="eastAsi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送戏场次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36场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pStyle w:val="47"/>
        <w:ind w:left="0" w:leftChars="0" w:firstLine="0" w:firstLineChars="0"/>
      </w:pPr>
      <w:bookmarkStart w:id="5" w:name="_Toc15630"/>
      <w:r>
        <w:rPr>
          <w:rFonts w:hint="eastAsia"/>
        </w:rPr>
        <w:t>（三）项目效益情况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提升公共文化服务体系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</w:pPr>
      <w:r>
        <w:rPr>
          <w:rFonts w:hint="eastAsia"/>
        </w:rPr>
        <w:t>（四）项目满意度情况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84.21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6" w:name="_Toc24849"/>
      <w:r>
        <w:rPr>
          <w:rFonts w:hint="eastAsia" w:ascii="仿宋" w:hAnsi="仿宋" w:eastAsia="仿宋" w:cs="仿宋"/>
          <w:b/>
          <w:bCs w:val="0"/>
        </w:rPr>
        <w:t>三、</w:t>
      </w:r>
      <w:bookmarkStart w:id="7" w:name="_Toc23655"/>
      <w:bookmarkStart w:id="8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6"/>
      <w:bookmarkEnd w:id="7"/>
      <w:bookmarkEnd w:id="8"/>
    </w:p>
    <w:p>
      <w:pPr>
        <w:pStyle w:val="45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5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戏曲进乡村是党中央至上而下的一项文化政策，每年项目到位后，我单位迅速组织剧团进行演出，并在演出结束后技师支付演出费用。</w:t>
      </w:r>
    </w:p>
    <w:p>
      <w:pPr>
        <w:pStyle w:val="45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5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每年戏曲演出涵盖五个乡镇，演出次数不低于36场，不同剧种轮番演出，让群众感受到戏曲的魅力，同时也有助于传统艺术的传承与推广。</w:t>
      </w:r>
    </w:p>
    <w:p>
      <w:pPr>
        <w:pStyle w:val="45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5"/>
        <w:ind w:left="1134" w:leftChars="405" w:firstLine="426" w:firstLineChars="0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既满足了群众喜爱戏曲的爱好，也让戏曲的到推广与传承，丰富了群众文化生活，满足了当地文化供给需求。</w:t>
      </w:r>
    </w:p>
    <w:p>
      <w:pPr>
        <w:pStyle w:val="45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5"/>
        <w:ind w:firstLine="1120" w:firstLineChars="400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满足了群众文化需求，对戏曲进乡村活动十分满意。</w:t>
      </w:r>
    </w:p>
    <w:p>
      <w:pPr>
        <w:pStyle w:val="53"/>
      </w:pPr>
      <w:bookmarkStart w:id="9" w:name="_Toc22943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9"/>
      <w:r>
        <w:t xml:space="preserve"> </w:t>
      </w:r>
    </w:p>
    <w:p>
      <w:pPr>
        <w:pStyle w:val="45"/>
        <w:ind w:firstLine="840" w:firstLineChars="300"/>
      </w:pPr>
      <w:r>
        <w:rPr>
          <w:rFonts w:hint="eastAsia"/>
        </w:rPr>
        <w:t>进一步丰富贫苦地区公共文化服务供给，逐步满足当地群众精神文化需求，切实带动地方戏曲传承发展，实施送戏下乡项目，为贫苦地区配送以地方戏为主的文艺演出。每场由30名专业戏曲表演真为群众带来表演，丰富了贫苦地区人民的精神文化生活。</w:t>
      </w: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10" w:name="_Toc4706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0"/>
    </w:p>
    <w:p>
      <w:pPr>
        <w:pStyle w:val="45"/>
        <w:ind w:firstLine="840" w:firstLineChars="300"/>
      </w:pPr>
      <w:r>
        <w:rPr>
          <w:rFonts w:hint="eastAsia"/>
        </w:rPr>
        <w:t>从项目的实施情况看，存在的主要不足表现为：剧种太少，演出形式单一。</w:t>
      </w:r>
    </w:p>
    <w:p>
      <w:pPr>
        <w:pStyle w:val="53"/>
      </w:pPr>
      <w:bookmarkStart w:id="11" w:name="_Toc20546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1"/>
    </w:p>
    <w:p>
      <w:pPr>
        <w:pStyle w:val="47"/>
        <w:ind w:left="560"/>
        <w:rPr>
          <w:rFonts w:hint="eastAsia"/>
        </w:rPr>
      </w:pPr>
      <w:bookmarkStart w:id="12" w:name="_Toc12247"/>
      <w:bookmarkStart w:id="13" w:name="_Toc64998062"/>
      <w:r>
        <w:rPr>
          <w:rFonts w:hint="eastAsia"/>
        </w:rPr>
        <w:t>（一）预算安排和执行方面</w:t>
      </w:r>
      <w:bookmarkEnd w:id="12"/>
      <w:bookmarkEnd w:id="13"/>
    </w:p>
    <w:p>
      <w:pPr>
        <w:pStyle w:val="45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预算安排方面及时制定合理的管理制度，保证预算资金到位及时，通过财务管理制度保证预算执行率。</w:t>
      </w:r>
    </w:p>
    <w:p>
      <w:pPr>
        <w:pStyle w:val="47"/>
        <w:ind w:left="0" w:leftChars="0" w:firstLine="562" w:firstLineChars="200"/>
        <w:rPr>
          <w:rFonts w:hint="eastAsia"/>
        </w:rPr>
      </w:pPr>
      <w:bookmarkStart w:id="14" w:name="_Toc4199"/>
      <w:bookmarkStart w:id="15" w:name="_Toc64998063"/>
      <w:r>
        <w:rPr>
          <w:rFonts w:hint="eastAsia"/>
        </w:rPr>
        <w:t>（二）制度建设方面</w:t>
      </w:r>
      <w:bookmarkEnd w:id="14"/>
      <w:bookmarkEnd w:id="15"/>
    </w:p>
    <w:p>
      <w:pPr>
        <w:pStyle w:val="45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建立全面的管理制度，成立管理中心，设定专人负责，制定考核细则，对演出单位进行考核。</w:t>
      </w:r>
    </w:p>
    <w:p>
      <w:pPr>
        <w:pStyle w:val="47"/>
        <w:ind w:left="0" w:leftChars="0" w:firstLine="562" w:firstLineChars="200"/>
        <w:rPr>
          <w:rFonts w:hint="eastAsia"/>
        </w:rPr>
      </w:pPr>
      <w:bookmarkStart w:id="16" w:name="_Toc64998064"/>
      <w:bookmarkStart w:id="17" w:name="_Toc20476"/>
      <w:r>
        <w:rPr>
          <w:rFonts w:hint="eastAsia"/>
        </w:rPr>
        <w:t>（三） 项目管理方面</w:t>
      </w:r>
      <w:bookmarkEnd w:id="16"/>
      <w:bookmarkEnd w:id="17"/>
    </w:p>
    <w:p>
      <w:pPr>
        <w:pStyle w:val="45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加大宣传力度，让群众都了解这项惠民政策，有主与促进大宁县老百姓的精神文化提升。</w:t>
      </w:r>
    </w:p>
    <w:p>
      <w:pPr>
        <w:pStyle w:val="47"/>
        <w:ind w:left="0" w:leftChars="0" w:firstLine="562" w:firstLineChars="200"/>
        <w:rPr>
          <w:rFonts w:hint="eastAsia"/>
        </w:rPr>
      </w:pPr>
      <w:bookmarkStart w:id="18" w:name="_Toc4061"/>
      <w:bookmarkStart w:id="19" w:name="_Toc64998065"/>
      <w:r>
        <w:rPr>
          <w:rFonts w:hint="eastAsia"/>
        </w:rPr>
        <w:t>（四）资金管理方面</w:t>
      </w:r>
      <w:bookmarkEnd w:id="18"/>
      <w:bookmarkEnd w:id="19"/>
    </w:p>
    <w:p>
      <w:pPr>
        <w:pStyle w:val="45"/>
        <w:ind w:firstLine="56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加大对体育事业的资金投入，对每一笔资金做到合理、有效的使用，通过财务管理制度认真监督每一笔资金的动向，确保真实、有效。</w:t>
      </w:r>
    </w:p>
    <w:p>
      <w:pPr>
        <w:pStyle w:val="45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3"/>
        <w:rPr>
          <w:rFonts w:ascii="仿宋" w:hAnsi="仿宋" w:eastAsia="仿宋" w:cs="仿宋"/>
          <w:b/>
          <w:bCs w:val="0"/>
        </w:rPr>
      </w:pPr>
      <w:bookmarkStart w:id="20" w:name="_Toc11534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20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送戏场次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36场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16.84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疫情原因，使得演出期间有中断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验收及时性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疫情原因，使得演出期间有中断,验收时间推后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成本控制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18万元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提升公共文化服务体系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提升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12.75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疫情原因，使得演出期间有中断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13.5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疫情期间，根据实际情况安排演出时间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84.21%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hint="default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</w:pPr>
            <w:r>
              <w:rPr>
                <w:rFonts w:hint="eastAsia"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  <w:lang w:val="en-US" w:eastAsia="zh-CN"/>
              </w:rPr>
              <w:t>8.42</w:t>
            </w:r>
            <w:bookmarkStart w:id="21" w:name="_GoBack"/>
            <w:bookmarkEnd w:id="21"/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疫情原因，使得演出期间有中断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5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E4E0CC8"/>
    <w:rsid w:val="5FCB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customStyle="1" w:styleId="6">
    <w:name w:val="无间隔"/>
    <w:qFormat/>
    <w:uiPriority w:val="1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3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paragraph" w:styleId="42">
    <w:name w:val="No Spacing"/>
    <w:link w:val="44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character" w:customStyle="1" w:styleId="43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4">
    <w:name w:val="No Spacing Char"/>
    <w:link w:val="42"/>
    <w:qFormat/>
    <w:locked/>
    <w:uiPriority w:val="99"/>
    <w:rPr>
      <w:rFonts w:ascii="Calibri" w:hAnsi="Calibri" w:eastAsia="仿宋_GB2312"/>
      <w:sz w:val="22"/>
    </w:rPr>
  </w:style>
  <w:style w:type="paragraph" w:customStyle="1" w:styleId="45">
    <w:name w:val="闻政-正文段落文字"/>
    <w:basedOn w:val="1"/>
    <w:link w:val="46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6">
    <w:name w:val="闻政-正文段落文字 Char"/>
    <w:link w:val="45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7">
    <w:name w:val="闻政-正文二级标题"/>
    <w:basedOn w:val="5"/>
    <w:next w:val="45"/>
    <w:link w:val="48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8">
    <w:name w:val="闻政-正文二级标题 Char"/>
    <w:link w:val="47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9">
    <w:name w:val="闻政-正文三级标题"/>
    <w:basedOn w:val="1"/>
    <w:next w:val="45"/>
    <w:link w:val="50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50">
    <w:name w:val="闻政-正文三级标题 Char"/>
    <w:link w:val="49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1">
    <w:name w:val="闻政-正文四级标题"/>
    <w:basedOn w:val="49"/>
    <w:next w:val="45"/>
    <w:link w:val="52"/>
    <w:qFormat/>
    <w:uiPriority w:val="99"/>
    <w:rPr>
      <w:b w:val="0"/>
    </w:rPr>
  </w:style>
  <w:style w:type="character" w:customStyle="1" w:styleId="52">
    <w:name w:val="闻政-正文四级标题 Char"/>
    <w:link w:val="51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3">
    <w:name w:val="闻政-正文一级标题"/>
    <w:basedOn w:val="7"/>
    <w:next w:val="45"/>
    <w:link w:val="54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4">
    <w:name w:val="闻政-正文一级标题 Char"/>
    <w:link w:val="53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2388</Words>
  <Characters>2607</Characters>
  <Lines>0</Lines>
  <Paragraphs>0</Paragraphs>
  <TotalTime>8</TotalTime>
  <ScaleCrop>false</ScaleCrop>
  <LinksUpToDate>false</LinksUpToDate>
  <CharactersWithSpaces>2643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2022-03-29T09:30:56Z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3E026ED146AA4902AB36A086AABC3717</vt:lpwstr>
  </property>
</Properties>
</file>