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2558" w:leftChars="228" w:hanging="1920" w:hangingChars="60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2021年公共文化服务体系建设中央、省及市级补助资金（中央奖励资金）</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大宁县文化和旅游局-202001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rPr>
          <w:rFonts w:ascii="Calibri" w:hAnsi="Calibri" w:eastAsia="仿宋_GB2312" w:cs="Calibri"/>
          <w:b/>
          <w:bCs/>
          <w:caps/>
          <w:kern w:val="2"/>
          <w:sz w:val="20"/>
          <w:szCs w:val="44"/>
          <w:lang w:val="en-US" w:eastAsia="zh-CN" w:bidi="ar-SA"/>
        </w:rPr>
      </w:pPr>
      <w:r>
        <w:rPr>
          <w:rFonts w:ascii="仿宋_GB2312" w:hAnsi="Times New Roman" w:cs="Times New Roman"/>
          <w:kern w:val="0"/>
          <w:sz w:val="32"/>
          <w:szCs w:val="32"/>
        </w:rPr>
        <w:br w:type="page"/>
      </w:r>
      <w:bookmarkStart w:id="28" w:name="_GoBack"/>
      <w:bookmarkEnd w:id="28"/>
      <w:r>
        <w:rPr>
          <w:szCs w:val="44"/>
        </w:rPr>
        <w:fldChar w:fldCharType="begin"/>
      </w:r>
      <w:r>
        <w:rPr>
          <w:szCs w:val="44"/>
        </w:rPr>
        <w:instrText xml:space="preserve"> TOC \o "1-4" \f </w:instrText>
      </w:r>
      <w:r>
        <w:rPr>
          <w:szCs w:val="44"/>
        </w:rPr>
        <w:fldChar w:fldCharType="separate"/>
      </w:r>
    </w:p>
    <w:p>
      <w:pPr>
        <w:pStyle w:val="18"/>
        <w:tabs>
          <w:tab w:val="right" w:leader="dot" w:pos="8306"/>
        </w:tabs>
      </w:pPr>
      <w:r>
        <w:rPr>
          <w:rFonts w:hint="eastAsia" w:ascii="仿宋" w:hAnsi="仿宋" w:eastAsia="仿宋" w:cs="仿宋"/>
          <w:bCs w:val="0"/>
        </w:rPr>
        <w:t>一、项目的基本情况</w:t>
      </w:r>
      <w:r>
        <w:tab/>
      </w:r>
      <w:r>
        <w:fldChar w:fldCharType="begin"/>
      </w:r>
      <w:r>
        <w:instrText xml:space="preserve"> PAGEREF _Toc6723 \h </w:instrText>
      </w:r>
      <w:r>
        <w:fldChar w:fldCharType="separate"/>
      </w:r>
      <w:r>
        <w:t>1</w:t>
      </w:r>
      <w:r>
        <w:fldChar w:fldCharType="end"/>
      </w:r>
    </w:p>
    <w:p>
      <w:pPr>
        <w:pStyle w:val="21"/>
        <w:tabs>
          <w:tab w:val="right" w:leader="dot" w:pos="8306"/>
        </w:tabs>
      </w:pPr>
      <w:r>
        <w:rPr>
          <w:rFonts w:hint="eastAsia"/>
        </w:rPr>
        <w:t>（一）项目概况</w:t>
      </w:r>
      <w:r>
        <w:tab/>
      </w:r>
      <w:r>
        <w:fldChar w:fldCharType="begin"/>
      </w:r>
      <w:r>
        <w:instrText xml:space="preserve"> PAGEREF _Toc10074 \h </w:instrText>
      </w:r>
      <w:r>
        <w:fldChar w:fldCharType="separate"/>
      </w:r>
      <w:r>
        <w:t>1</w:t>
      </w:r>
      <w:r>
        <w:fldChar w:fldCharType="end"/>
      </w:r>
    </w:p>
    <w:p>
      <w:pPr>
        <w:pStyle w:val="21"/>
        <w:tabs>
          <w:tab w:val="right" w:leader="dot" w:pos="8306"/>
        </w:tabs>
      </w:pPr>
      <w:r>
        <w:rPr>
          <w:rFonts w:hint="eastAsia"/>
        </w:rPr>
        <w:t>（三）项目绩效目标</w:t>
      </w:r>
      <w:r>
        <w:tab/>
      </w:r>
      <w:r>
        <w:fldChar w:fldCharType="begin"/>
      </w:r>
      <w:r>
        <w:instrText xml:space="preserve"> PAGEREF _Toc29407 \h </w:instrText>
      </w:r>
      <w:r>
        <w:fldChar w:fldCharType="separate"/>
      </w:r>
      <w:r>
        <w:t>3</w:t>
      </w:r>
      <w:r>
        <w:fldChar w:fldCharType="end"/>
      </w:r>
    </w:p>
    <w:p>
      <w:pPr>
        <w:pStyle w:val="18"/>
        <w:tabs>
          <w:tab w:val="right" w:leader="dot" w:pos="8306"/>
        </w:tabs>
      </w:pPr>
      <w:r>
        <w:rPr>
          <w:rFonts w:hint="eastAsia" w:ascii="仿宋" w:hAnsi="仿宋" w:eastAsia="仿宋" w:cs="仿宋"/>
          <w:bCs w:val="0"/>
        </w:rPr>
        <w:t>二、项目绩效情况</w:t>
      </w:r>
      <w:r>
        <w:tab/>
      </w:r>
      <w:r>
        <w:fldChar w:fldCharType="begin"/>
      </w:r>
      <w:r>
        <w:instrText xml:space="preserve"> PAGEREF _Toc12515 \h </w:instrText>
      </w:r>
      <w:r>
        <w:fldChar w:fldCharType="separate"/>
      </w:r>
      <w:r>
        <w:t>3</w:t>
      </w:r>
      <w:r>
        <w:fldChar w:fldCharType="end"/>
      </w:r>
    </w:p>
    <w:p>
      <w:pPr>
        <w:pStyle w:val="21"/>
        <w:tabs>
          <w:tab w:val="right" w:leader="dot" w:pos="8306"/>
        </w:tabs>
      </w:pPr>
      <w:r>
        <w:rPr>
          <w:rFonts w:hint="eastAsia"/>
        </w:rPr>
        <w:t>（一）预算执行情况</w:t>
      </w:r>
      <w:r>
        <w:tab/>
      </w:r>
      <w:r>
        <w:fldChar w:fldCharType="begin"/>
      </w:r>
      <w:r>
        <w:instrText xml:space="preserve"> PAGEREF _Toc27212 \h </w:instrText>
      </w:r>
      <w:r>
        <w:fldChar w:fldCharType="separate"/>
      </w:r>
      <w:r>
        <w:t>3</w:t>
      </w:r>
      <w:r>
        <w:fldChar w:fldCharType="end"/>
      </w:r>
    </w:p>
    <w:p>
      <w:pPr>
        <w:pStyle w:val="21"/>
        <w:tabs>
          <w:tab w:val="right" w:leader="dot" w:pos="8306"/>
        </w:tabs>
      </w:pPr>
      <w:r>
        <w:rPr>
          <w:rFonts w:hint="eastAsia"/>
        </w:rPr>
        <w:t>（三）项目效益情况</w:t>
      </w:r>
      <w:r>
        <w:tab/>
      </w:r>
      <w:r>
        <w:fldChar w:fldCharType="begin"/>
      </w:r>
      <w:r>
        <w:instrText xml:space="preserve"> PAGEREF _Toc9250 \h </w:instrText>
      </w:r>
      <w:r>
        <w:fldChar w:fldCharType="separate"/>
      </w:r>
      <w:r>
        <w:t>4</w:t>
      </w:r>
      <w:r>
        <w:fldChar w:fldCharType="end"/>
      </w:r>
    </w:p>
    <w:p>
      <w:pPr>
        <w:pStyle w:val="18"/>
        <w:tabs>
          <w:tab w:val="right" w:leader="dot" w:pos="8306"/>
        </w:tabs>
      </w:pPr>
      <w:r>
        <w:rPr>
          <w:rFonts w:hint="eastAsia" w:ascii="仿宋" w:hAnsi="仿宋" w:eastAsia="仿宋" w:cs="仿宋"/>
          <w:bCs w:val="0"/>
        </w:rPr>
        <w:t>四、项目主要经验做法</w:t>
      </w:r>
      <w:r>
        <w:tab/>
      </w:r>
      <w:r>
        <w:fldChar w:fldCharType="begin"/>
      </w:r>
      <w:r>
        <w:instrText xml:space="preserve"> PAGEREF _Toc17184 \h </w:instrText>
      </w:r>
      <w:r>
        <w:fldChar w:fldCharType="separate"/>
      </w:r>
      <w:r>
        <w:t>6</w:t>
      </w:r>
      <w:r>
        <w:fldChar w:fldCharType="end"/>
      </w:r>
    </w:p>
    <w:p>
      <w:pPr>
        <w:pStyle w:val="18"/>
        <w:tabs>
          <w:tab w:val="right" w:leader="dot" w:pos="8306"/>
        </w:tabs>
      </w:pPr>
      <w:r>
        <w:rPr>
          <w:rFonts w:hint="eastAsia" w:ascii="仿宋" w:hAnsi="仿宋" w:eastAsia="仿宋" w:cs="仿宋"/>
          <w:bCs w:val="0"/>
        </w:rPr>
        <w:t>五、项目管理中存在问题及原因分析</w:t>
      </w:r>
      <w:r>
        <w:tab/>
      </w:r>
      <w:r>
        <w:fldChar w:fldCharType="begin"/>
      </w:r>
      <w:r>
        <w:instrText xml:space="preserve"> PAGEREF _Toc17559 \h </w:instrText>
      </w:r>
      <w:r>
        <w:fldChar w:fldCharType="separate"/>
      </w:r>
      <w:r>
        <w:t>6</w:t>
      </w:r>
      <w:r>
        <w:fldChar w:fldCharType="end"/>
      </w:r>
    </w:p>
    <w:p>
      <w:pPr>
        <w:pStyle w:val="18"/>
        <w:tabs>
          <w:tab w:val="right" w:leader="dot" w:pos="8306"/>
        </w:tabs>
      </w:pPr>
      <w:r>
        <w:rPr>
          <w:rFonts w:hint="eastAsia" w:ascii="仿宋" w:hAnsi="仿宋" w:eastAsia="仿宋" w:cs="仿宋"/>
          <w:bCs w:val="0"/>
        </w:rPr>
        <w:t>六、进一步加强项目管理措施及建议</w:t>
      </w:r>
      <w:r>
        <w:tab/>
      </w:r>
      <w:r>
        <w:fldChar w:fldCharType="begin"/>
      </w:r>
      <w:r>
        <w:instrText xml:space="preserve"> PAGEREF _Toc6419 \h </w:instrText>
      </w:r>
      <w:r>
        <w:fldChar w:fldCharType="separate"/>
      </w:r>
      <w:r>
        <w:t>6</w:t>
      </w:r>
      <w:r>
        <w:fldChar w:fldCharType="end"/>
      </w:r>
    </w:p>
    <w:p>
      <w:pPr>
        <w:pStyle w:val="21"/>
        <w:tabs>
          <w:tab w:val="right" w:leader="dot" w:pos="8306"/>
        </w:tabs>
      </w:pPr>
      <w:r>
        <w:rPr>
          <w:rFonts w:hint="eastAsia"/>
        </w:rPr>
        <w:t>（一）预算安排和执行方面</w:t>
      </w:r>
      <w:r>
        <w:tab/>
      </w:r>
      <w:r>
        <w:fldChar w:fldCharType="begin"/>
      </w:r>
      <w:r>
        <w:instrText xml:space="preserve"> PAGEREF _Toc29800 \h </w:instrText>
      </w:r>
      <w:r>
        <w:fldChar w:fldCharType="separate"/>
      </w:r>
      <w:r>
        <w:t>6</w:t>
      </w:r>
      <w:r>
        <w:fldChar w:fldCharType="end"/>
      </w:r>
    </w:p>
    <w:p>
      <w:pPr>
        <w:pStyle w:val="21"/>
        <w:tabs>
          <w:tab w:val="right" w:leader="dot" w:pos="8306"/>
        </w:tabs>
      </w:pPr>
      <w:r>
        <w:rPr>
          <w:rFonts w:hint="eastAsia"/>
        </w:rPr>
        <w:t>（</w:t>
      </w:r>
      <w:r>
        <w:rPr>
          <w:rFonts w:hint="eastAsia"/>
          <w:lang w:eastAsia="zh-CN"/>
        </w:rPr>
        <w:t>二</w:t>
      </w:r>
      <w:r>
        <w:rPr>
          <w:rFonts w:hint="eastAsia"/>
        </w:rPr>
        <w:t>） 项目管理方面</w:t>
      </w:r>
      <w:r>
        <w:tab/>
      </w:r>
      <w:r>
        <w:fldChar w:fldCharType="begin"/>
      </w:r>
      <w:r>
        <w:instrText xml:space="preserve"> PAGEREF _Toc28093 \h </w:instrText>
      </w:r>
      <w:r>
        <w:fldChar w:fldCharType="separate"/>
      </w:r>
      <w:r>
        <w:t>6</w:t>
      </w:r>
      <w:r>
        <w:fldChar w:fldCharType="end"/>
      </w:r>
    </w:p>
    <w:p>
      <w:pPr>
        <w:pStyle w:val="21"/>
        <w:tabs>
          <w:tab w:val="right" w:leader="dot" w:pos="8306"/>
        </w:tabs>
      </w:pPr>
      <w:r>
        <w:rPr>
          <w:rFonts w:hint="eastAsia"/>
        </w:rPr>
        <w:t>（</w:t>
      </w:r>
      <w:r>
        <w:rPr>
          <w:rFonts w:hint="eastAsia"/>
          <w:lang w:eastAsia="zh-CN"/>
        </w:rPr>
        <w:t>三</w:t>
      </w:r>
      <w:r>
        <w:rPr>
          <w:rFonts w:hint="eastAsia"/>
        </w:rPr>
        <w:t>）资金管理方面</w:t>
      </w:r>
      <w:r>
        <w:tab/>
      </w:r>
      <w:r>
        <w:fldChar w:fldCharType="begin"/>
      </w:r>
      <w:r>
        <w:instrText xml:space="preserve"> PAGEREF _Toc24243 \h </w:instrText>
      </w:r>
      <w:r>
        <w:fldChar w:fldCharType="separate"/>
      </w:r>
      <w:r>
        <w:t>6</w:t>
      </w:r>
      <w:r>
        <w:fldChar w:fldCharType="end"/>
      </w:r>
    </w:p>
    <w:p>
      <w:pPr>
        <w:pStyle w:val="18"/>
        <w:tabs>
          <w:tab w:val="right" w:leader="dot" w:pos="8306"/>
        </w:tabs>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_Toc14365 \h </w:instrText>
      </w:r>
      <w:r>
        <w:fldChar w:fldCharType="separate"/>
      </w:r>
      <w:r>
        <w:t>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723"/>
      <w:r>
        <w:rPr>
          <w:rFonts w:hint="eastAsia" w:ascii="仿宋" w:hAnsi="仿宋" w:eastAsia="仿宋" w:cs="仿宋"/>
          <w:b/>
          <w:bCs w:val="0"/>
        </w:rPr>
        <w:t>一、项目的基本情况</w:t>
      </w:r>
      <w:bookmarkEnd w:id="0"/>
    </w:p>
    <w:p>
      <w:pPr>
        <w:pStyle w:val="46"/>
        <w:ind w:left="560"/>
      </w:pPr>
      <w:bookmarkStart w:id="1" w:name="_Toc10074"/>
      <w:r>
        <w:rPr>
          <w:rFonts w:hint="eastAsia"/>
        </w:rPr>
        <w:t>（一）项目概况</w:t>
      </w:r>
      <w:bookmarkEnd w:id="1"/>
    </w:p>
    <w:p>
      <w:pPr>
        <w:pStyle w:val="44"/>
        <w:ind w:left="280" w:firstLine="562"/>
      </w:pPr>
      <w:r>
        <w:rPr>
          <w:rFonts w:hint="eastAsia"/>
          <w:b/>
          <w:bCs/>
        </w:rPr>
        <w:t>项目概况：</w:t>
      </w:r>
      <w:r>
        <w:t>该资金用文化建设，举办文艺表演，购买文艺演出专用材料，提供基层公共文化服务项目，改善基层公共文化设施条件，加大基层综合性公共服务中心建设力度，完善软硬件设施；加强基层公共文化服务人才队伍建设，开展群众文化活动，引导群众文化消费，让群众共享文化发展成果。</w:t>
      </w:r>
    </w:p>
    <w:p>
      <w:pPr>
        <w:pStyle w:val="44"/>
        <w:ind w:left="280" w:firstLine="562"/>
      </w:pPr>
      <w:r>
        <w:rPr>
          <w:rFonts w:hint="eastAsia"/>
          <w:b/>
          <w:bCs/>
        </w:rPr>
        <w:t>立项依据：</w:t>
      </w:r>
      <w:r>
        <w:t>大财教二【2021】15号关于下达2021公共文化服务体系建设中央、省及市级补助资金。</w:t>
      </w:r>
    </w:p>
    <w:p>
      <w:pPr>
        <w:pStyle w:val="44"/>
        <w:ind w:left="280" w:firstLine="562"/>
      </w:pPr>
      <w:r>
        <w:rPr>
          <w:rFonts w:hint="eastAsia"/>
          <w:b/>
          <w:bCs/>
        </w:rPr>
        <w:t>设立的必要性：</w:t>
      </w:r>
      <w:r>
        <w:t>加强基层公共文化服务人才队伍建设，开展群众文化活动，引导群众文化消费，让群众共享文化发展成果</w:t>
      </w:r>
    </w:p>
    <w:p>
      <w:pPr>
        <w:pStyle w:val="44"/>
        <w:ind w:left="280" w:firstLine="562"/>
      </w:pPr>
      <w:r>
        <w:rPr>
          <w:rFonts w:hint="eastAsia"/>
          <w:b/>
          <w:bCs/>
        </w:rPr>
        <w:t>保证项目实施的措施与制度：</w:t>
      </w:r>
      <w:r>
        <w:t>（一）规范管理的原则。基本支出执行县级财政确定的定额标准，优先用于保障各单位正常运转需要；项目支出按照批复的预算和有关制度规定执行。 （二）绩效管理的原则。各单位对预算安排特定用途项目的专项资金，应当按批准的项目和用途使用，专款专用， 不得自行改变项目内容或扩大使用范围， 若需调整， 应按规定程序报批。 （三）先审后付的原则。财务室依照国家有关财务会计制度，对核算单位经费支出原始凭证的真实性、完整性、合法性进行审核，并核对核算单位负责人或授权人预留签名，审核无误后办理结算。对记载不准确、手续不完整的支出凭证，有权要求更正、补充；对不合法、不真实的凭证不予受理。 各单位负责人要切实履行好法定职责，自觉遵守相关财经制度，严格经费支出审批，支持财会人员依法履行职责。 核算单位应自觉接受上级主管部门，财政、审计、监察等有关部门的监督检查，并按照要求如实提供有关资料。</w:t>
      </w:r>
    </w:p>
    <w:p>
      <w:pPr>
        <w:pStyle w:val="44"/>
        <w:ind w:left="280" w:firstLine="562"/>
      </w:pPr>
      <w:r>
        <w:rPr>
          <w:rFonts w:hint="eastAsia"/>
          <w:b/>
          <w:bCs/>
        </w:rPr>
        <w:t>项目实施计划：</w:t>
      </w:r>
      <w:r>
        <w:t>全年在各乡镇行政村进行文艺演出，截止11月结束演出，确保演出地点包含6个乡镇，演出内容包括美丽大宁乡村行、政策宣传等方面，让广大农村群众感受到文化的魅力，在观看节目的同时了解最新的政策，提高文化素养。在支付演出费用时，财务科室通过验收表和印证资料保障演出费用真实有效后，才会进行支付。</w:t>
      </w:r>
    </w:p>
    <w:p>
      <w:pPr>
        <w:widowControl/>
        <w:ind w:firstLine="0" w:firstLineChars="0"/>
        <w:jc w:val="left"/>
      </w:pPr>
      <w:r>
        <w:rPr>
          <w:rFonts w:hint="eastAsia"/>
        </w:rPr>
        <w:t>（二）预算执行情况</w:t>
      </w:r>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rFonts w:hint="eastAsia" w:eastAsia="仿宋_GB2312"/>
                <w:sz w:val="21"/>
                <w:lang w:eastAsia="zh-CN"/>
              </w:rPr>
            </w:pPr>
            <w:r>
              <w:rPr>
                <w:rFonts w:hint="eastAsia"/>
                <w:sz w:val="21"/>
                <w:lang w:val="en-US" w:eastAsia="zh-CN"/>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rFonts w:hint="eastAsia" w:eastAsia="仿宋_GB2312"/>
                <w:sz w:val="21"/>
                <w:lang w:eastAsia="zh-CN"/>
              </w:rPr>
            </w:pPr>
            <w:r>
              <w:rPr>
                <w:rFonts w:hint="eastAsia"/>
                <w:sz w:val="21"/>
                <w:lang w:val="en-US" w:eastAsia="zh-CN"/>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88.17</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88.17</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75.24</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7.39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88.17</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88.17</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75.24</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7.39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22.27</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22.27</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9.34</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7.39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65.9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65.9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65.9</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25.26</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25.26</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12.41</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0" w:leftChars="0" w:firstLine="0" w:firstLineChars="0"/>
      </w:pPr>
      <w:bookmarkStart w:id="2" w:name="_Toc29407"/>
      <w:r>
        <w:rPr>
          <w:rFonts w:hint="eastAsia"/>
        </w:rPr>
        <w:t>（三）项目绩效目标</w:t>
      </w:r>
      <w:bookmarkEnd w:id="2"/>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通过不断的文化建设，使群众在闲暇之余便能感受到文化的魅力，提升群众的精神文化；利用改善后的基本公共文化设施条件，达到加强基层公共文化服务人才队伍建设及引导群众文化消费的作用。</w:t>
      </w: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通过不断的文化建设，使群众在闲暇之余便能感受到文化的魅力，提升群众的精神文化；利用改善后的基本公共文化设施条件，达到加强基层公共文化服务人才队伍建设及引导群众文化消费的作用。</w:t>
      </w:r>
    </w:p>
    <w:p>
      <w:pPr>
        <w:pStyle w:val="52"/>
        <w:rPr>
          <w:rFonts w:ascii="仿宋" w:hAnsi="仿宋" w:eastAsia="仿宋" w:cs="仿宋"/>
          <w:b/>
          <w:bCs w:val="0"/>
        </w:rPr>
      </w:pPr>
      <w:bookmarkStart w:id="3" w:name="_Toc12515"/>
      <w:r>
        <w:rPr>
          <w:rFonts w:hint="eastAsia" w:ascii="仿宋" w:hAnsi="仿宋" w:eastAsia="仿宋" w:cs="仿宋"/>
          <w:b/>
          <w:bCs w:val="0"/>
        </w:rPr>
        <w:t>二、项目绩效情况</w:t>
      </w:r>
      <w:bookmarkEnd w:id="3"/>
    </w:p>
    <w:p>
      <w:pPr>
        <w:pStyle w:val="44"/>
        <w:ind w:left="140" w:leftChars="50" w:firstLine="560"/>
      </w:pPr>
      <w:r>
        <w:rPr>
          <w:rFonts w:hint="eastAsia"/>
        </w:rPr>
        <w:t>综合考虑预算执行情况、产出、效益、服务对象满意度各方面因素，通过数据采集及分析，最终评分结果：</w:t>
      </w:r>
      <w:r>
        <w:t>2021年公共文化服务体系建设中央、省及市级补助资金（中央奖励资金）</w:t>
      </w:r>
      <w:r>
        <w:rPr>
          <w:rFonts w:hint="eastAsia"/>
        </w:rPr>
        <w:t>项目绩效自评价结果为</w:t>
      </w:r>
      <w:r>
        <w:t>:</w:t>
      </w:r>
      <w:r>
        <w:rPr>
          <w:rFonts w:hint="eastAsia"/>
        </w:rPr>
        <w:t>总得分</w:t>
      </w:r>
      <w:r>
        <w:t>89.</w:t>
      </w:r>
      <w:r>
        <w:rPr>
          <w:rFonts w:hint="eastAsia"/>
          <w:lang w:val="en-US" w:eastAsia="zh-CN"/>
        </w:rPr>
        <w:t>52</w:t>
      </w:r>
      <w:r>
        <w:rPr>
          <w:rFonts w:hint="eastAsia"/>
        </w:rPr>
        <w:t>分，属于</w:t>
      </w:r>
      <w:r>
        <w:t>"良好"</w:t>
      </w:r>
      <w:r>
        <w:rPr>
          <w:rFonts w:hint="eastAsia"/>
        </w:rPr>
        <w:t>。</w:t>
      </w:r>
    </w:p>
    <w:p>
      <w:pPr>
        <w:pStyle w:val="46"/>
        <w:ind w:left="560"/>
      </w:pPr>
      <w:bookmarkStart w:id="4" w:name="_Toc27212"/>
      <w:r>
        <w:rPr>
          <w:rFonts w:hint="eastAsia"/>
        </w:rPr>
        <w:t>（一）预算执行情况</w:t>
      </w:r>
      <w:bookmarkEnd w:id="4"/>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25.25%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2.52</w:t>
            </w:r>
          </w:p>
        </w:tc>
      </w:tr>
    </w:tbl>
    <w:p>
      <w:pPr>
        <w:ind w:firstLine="0" w:firstLineChars="0"/>
        <w:rPr>
          <w:szCs w:val="44"/>
        </w:rPr>
      </w:pPr>
    </w:p>
    <w:p>
      <w:pPr>
        <w:widowControl/>
        <w:ind w:firstLine="0" w:firstLineChars="0"/>
        <w:jc w:val="left"/>
      </w:pPr>
      <w:r>
        <w:rPr>
          <w:rFonts w:hint="eastAsia"/>
        </w:rPr>
        <w:t>（二）项目产出情况</w:t>
      </w:r>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项目完成率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验收合格率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成本控制</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64.84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22.27万元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pStyle w:val="46"/>
        <w:ind w:left="560"/>
      </w:pPr>
      <w:bookmarkStart w:id="5" w:name="_Toc9250"/>
      <w:r>
        <w:rPr>
          <w:rFonts w:hint="eastAsia"/>
        </w:rPr>
        <w:t>（三）项目效益情况</w:t>
      </w:r>
      <w:bookmarkEnd w:id="5"/>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提升公共文化服务体系</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13.</w:t>
            </w:r>
            <w:r>
              <w:rPr>
                <w:rFonts w:ascii="仿宋" w:hAnsi="等线" w:eastAsia="仿宋" w:cs="仿宋"/>
                <w:color w:val="000000"/>
                <w:kern w:val="0"/>
                <w:sz w:val="24"/>
                <w:szCs w:val="24"/>
                <w:highlight w:val="white"/>
              </w:rPr>
              <w:t>5</w:t>
            </w:r>
          </w:p>
        </w:tc>
      </w:tr>
    </w:tbl>
    <w:p>
      <w:pPr>
        <w:ind w:firstLine="0" w:firstLineChars="0"/>
        <w:rPr>
          <w:szCs w:val="44"/>
        </w:rPr>
      </w:pPr>
    </w:p>
    <w:p>
      <w:pPr>
        <w:widowControl/>
        <w:ind w:firstLine="0" w:firstLineChars="0"/>
        <w:jc w:val="left"/>
      </w:pPr>
      <w:r>
        <w:rPr>
          <w:szCs w:val="44"/>
        </w:rPr>
        <w:br w:type="page"/>
      </w:r>
      <w:r>
        <w:rPr>
          <w:rFonts w:hint="eastAsia"/>
        </w:rPr>
        <w:t>（四）项目满意度情况</w:t>
      </w:r>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r>
    </w:tbl>
    <w:p>
      <w:pPr>
        <w:ind w:firstLine="0" w:firstLineChars="0"/>
        <w:rPr>
          <w:szCs w:val="44"/>
        </w:rPr>
      </w:pPr>
    </w:p>
    <w:p>
      <w:pPr>
        <w:widowControl/>
        <w:ind w:firstLine="0" w:firstLineChars="0"/>
        <w:jc w:val="left"/>
        <w:rPr>
          <w:rFonts w:ascii="仿宋" w:hAnsi="仿宋" w:eastAsia="仿宋" w:cs="仿宋"/>
          <w:b/>
          <w:bCs w:val="0"/>
        </w:rPr>
      </w:pPr>
      <w:r>
        <w:rPr>
          <w:rFonts w:hint="eastAsia" w:ascii="仿宋" w:hAnsi="仿宋" w:eastAsia="仿宋" w:cs="仿宋"/>
          <w:b/>
          <w:bCs w:val="0"/>
        </w:rPr>
        <w:t>三、</w:t>
      </w:r>
      <w:bookmarkStart w:id="6" w:name="_Toc17451"/>
      <w:bookmarkStart w:id="7" w:name="_Toc23655"/>
      <w:r>
        <w:rPr>
          <w:rFonts w:hint="eastAsia" w:ascii="仿宋" w:hAnsi="仿宋" w:eastAsia="仿宋" w:cs="仿宋"/>
          <w:b/>
          <w:bCs w:val="0"/>
        </w:rPr>
        <w:t>项目绩效分析</w:t>
      </w:r>
      <w:bookmarkEnd w:id="6"/>
      <w:bookmarkEnd w:id="7"/>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rPr>
          <w:rFonts w:ascii="仿宋_GB2312"/>
          <w:bCs/>
        </w:rPr>
      </w:pPr>
      <w:r>
        <w:rPr>
          <w:rFonts w:hint="eastAsia" w:ascii="仿宋_GB2312"/>
          <w:bCs/>
          <w:lang w:eastAsia="zh-CN"/>
        </w:rPr>
        <w:t>项目实施和预算执行方面都完成较好，预算到位及时，支出及时，项目实施进度及完成度都较高。</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1134" w:leftChars="405" w:firstLine="426" w:firstLineChars="0"/>
        <w:rPr>
          <w:rFonts w:ascii="仿宋_GB2312"/>
          <w:bCs/>
        </w:rPr>
      </w:pPr>
      <w:r>
        <w:rPr>
          <w:rFonts w:hint="eastAsia" w:ascii="仿宋_GB2312"/>
          <w:bCs/>
          <w:lang w:val="en-US" w:eastAsia="zh-CN"/>
        </w:rPr>
        <w:t>通过全年举办文艺演出，如美丽大宁乡村行、免费送戏下乡、群众文化惠民活动等丰富群众文化生活，还有为各村委购置文化器材，用于提升村委的文化设备，保障村民的文化生活。</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1134" w:leftChars="405" w:firstLine="426" w:firstLineChars="0"/>
        <w:rPr>
          <w:rFonts w:ascii="仿宋_GB2312"/>
          <w:bCs/>
        </w:rPr>
      </w:pPr>
      <w:r>
        <w:rPr>
          <w:rFonts w:hint="eastAsia" w:ascii="仿宋_GB2312"/>
          <w:bCs/>
          <w:lang w:val="en-US" w:eastAsia="zh-CN"/>
        </w:rPr>
        <w:t>有助于本地公共文化服务体系建设，提高群众参与文化活动的积极性，保障文化设备齐全，从而使点燃当地的文化热情。</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ascii="仿宋_GB2312"/>
          <w:bCs/>
        </w:rPr>
      </w:pPr>
      <w:r>
        <w:rPr>
          <w:rFonts w:hint="eastAsia" w:ascii="仿宋_GB2312"/>
          <w:bCs/>
          <w:lang w:eastAsia="zh-CN"/>
        </w:rPr>
        <w:t>当地群众通过文艺活动的开展和文化设备的配置感受到了我单位对当地文化事业发展的决心，对文化工作给予了肯定和支持。</w:t>
      </w:r>
    </w:p>
    <w:p>
      <w:pPr>
        <w:pStyle w:val="52"/>
      </w:pPr>
      <w:bookmarkStart w:id="8" w:name="_Toc17184"/>
      <w:r>
        <w:rPr>
          <w:rFonts w:hint="eastAsia" w:ascii="仿宋" w:hAnsi="仿宋" w:eastAsia="仿宋" w:cs="仿宋"/>
          <w:b/>
          <w:bCs w:val="0"/>
        </w:rPr>
        <w:t>四、项目主要经验做法</w:t>
      </w:r>
      <w:bookmarkEnd w:id="8"/>
      <w:r>
        <w:t xml:space="preserve"> </w:t>
      </w:r>
    </w:p>
    <w:p>
      <w:pPr>
        <w:pStyle w:val="44"/>
        <w:ind w:firstLine="840" w:firstLineChars="300"/>
      </w:pPr>
      <w:r>
        <w:rPr>
          <w:rFonts w:hint="eastAsia"/>
        </w:rPr>
        <w:t>多根据群众的喜好，将政策融汇到节目中，让群众在观看节目的同时了解政策</w:t>
      </w:r>
    </w:p>
    <w:p>
      <w:pPr>
        <w:pStyle w:val="52"/>
        <w:rPr>
          <w:rFonts w:ascii="仿宋" w:hAnsi="仿宋" w:eastAsia="仿宋" w:cs="仿宋"/>
          <w:b/>
          <w:bCs w:val="0"/>
        </w:rPr>
      </w:pPr>
      <w:bookmarkStart w:id="9" w:name="_Toc17559"/>
      <w:r>
        <w:rPr>
          <w:rFonts w:hint="eastAsia" w:ascii="仿宋" w:hAnsi="仿宋" w:eastAsia="仿宋" w:cs="仿宋"/>
          <w:b/>
          <w:bCs w:val="0"/>
        </w:rPr>
        <w:t>五、项目管理中存在问题及原因分析</w:t>
      </w:r>
      <w:bookmarkEnd w:id="9"/>
    </w:p>
    <w:p>
      <w:pPr>
        <w:pStyle w:val="44"/>
        <w:ind w:firstLine="840" w:firstLineChars="300"/>
      </w:pPr>
      <w:r>
        <w:rPr>
          <w:rFonts w:hint="eastAsia"/>
        </w:rPr>
        <w:t>从项目的实施情况看，存在的主要不足表现为：在政策宣传方面还是有不足之处，需要弥补。</w:t>
      </w:r>
    </w:p>
    <w:p>
      <w:pPr>
        <w:pStyle w:val="52"/>
        <w:rPr>
          <w:rFonts w:ascii="仿宋" w:hAnsi="仿宋" w:eastAsia="仿宋" w:cs="仿宋"/>
          <w:b/>
          <w:bCs w:val="0"/>
        </w:rPr>
      </w:pPr>
      <w:bookmarkStart w:id="10" w:name="_Toc31589"/>
      <w:bookmarkStart w:id="11" w:name="_Toc6419"/>
      <w:r>
        <w:rPr>
          <w:rFonts w:hint="eastAsia" w:ascii="仿宋" w:hAnsi="仿宋" w:eastAsia="仿宋" w:cs="仿宋"/>
          <w:b/>
          <w:bCs w:val="0"/>
        </w:rPr>
        <w:t>六、进一步加强项目管理措施及建议</w:t>
      </w:r>
      <w:bookmarkEnd w:id="10"/>
      <w:bookmarkEnd w:id="11"/>
    </w:p>
    <w:p>
      <w:pPr>
        <w:pStyle w:val="46"/>
        <w:ind w:left="560"/>
        <w:rPr>
          <w:rFonts w:hint="eastAsia"/>
        </w:rPr>
      </w:pPr>
      <w:bookmarkStart w:id="12" w:name="_Toc64998062"/>
      <w:bookmarkStart w:id="13" w:name="_Toc12870"/>
      <w:bookmarkStart w:id="14" w:name="_Toc1894"/>
      <w:bookmarkStart w:id="15" w:name="_Toc26291"/>
      <w:bookmarkStart w:id="16" w:name="_Toc29800"/>
      <w:r>
        <w:rPr>
          <w:rFonts w:hint="eastAsia"/>
        </w:rPr>
        <w:t>（一）预算安排和执行方面</w:t>
      </w:r>
      <w:bookmarkEnd w:id="12"/>
      <w:bookmarkEnd w:id="13"/>
      <w:bookmarkEnd w:id="14"/>
      <w:bookmarkEnd w:id="15"/>
      <w:bookmarkEnd w:id="16"/>
    </w:p>
    <w:p>
      <w:pPr>
        <w:pStyle w:val="44"/>
        <w:ind w:firstLine="560"/>
        <w:rPr>
          <w:rFonts w:hint="eastAsia"/>
        </w:rPr>
      </w:pPr>
      <w:r>
        <w:rPr>
          <w:rFonts w:hint="eastAsia"/>
        </w:rPr>
        <w:tab/>
      </w:r>
      <w:r>
        <w:rPr>
          <w:rFonts w:hint="eastAsia"/>
        </w:rPr>
        <w:t>预算安排方面及时制定合理的管理制度，保证预算资金到位及时，通过财务管理制度保证预算执行率。</w:t>
      </w:r>
    </w:p>
    <w:p>
      <w:pPr>
        <w:pStyle w:val="46"/>
        <w:ind w:left="0" w:leftChars="0" w:firstLine="562" w:firstLineChars="200"/>
        <w:rPr>
          <w:rFonts w:hint="eastAsia"/>
        </w:rPr>
      </w:pPr>
      <w:bookmarkStart w:id="17" w:name="_Toc27956"/>
      <w:bookmarkStart w:id="18" w:name="_Toc64998064"/>
      <w:bookmarkStart w:id="19" w:name="_Toc11096"/>
      <w:bookmarkStart w:id="20" w:name="_Toc14701"/>
      <w:bookmarkStart w:id="21" w:name="_Toc28093"/>
      <w:r>
        <w:rPr>
          <w:rFonts w:hint="eastAsia"/>
        </w:rPr>
        <w:t>（</w:t>
      </w:r>
      <w:r>
        <w:rPr>
          <w:rFonts w:hint="eastAsia"/>
          <w:lang w:eastAsia="zh-CN"/>
        </w:rPr>
        <w:t>二</w:t>
      </w:r>
      <w:r>
        <w:rPr>
          <w:rFonts w:hint="eastAsia"/>
        </w:rPr>
        <w:t>） 项目管理方面</w:t>
      </w:r>
      <w:bookmarkEnd w:id="17"/>
      <w:bookmarkEnd w:id="18"/>
      <w:bookmarkEnd w:id="19"/>
      <w:bookmarkEnd w:id="20"/>
      <w:bookmarkEnd w:id="21"/>
    </w:p>
    <w:p>
      <w:pPr>
        <w:pStyle w:val="44"/>
        <w:ind w:firstLine="560"/>
        <w:rPr>
          <w:rFonts w:hint="eastAsia"/>
        </w:rPr>
      </w:pPr>
      <w:r>
        <w:rPr>
          <w:rFonts w:hint="eastAsia"/>
        </w:rPr>
        <w:tab/>
      </w:r>
      <w:r>
        <w:rPr>
          <w:rFonts w:hint="eastAsia"/>
        </w:rP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46"/>
        <w:ind w:left="0" w:leftChars="0" w:firstLine="562" w:firstLineChars="200"/>
        <w:rPr>
          <w:rFonts w:hint="eastAsia"/>
        </w:rPr>
      </w:pPr>
      <w:bookmarkStart w:id="22" w:name="_Toc30433"/>
      <w:bookmarkStart w:id="23" w:name="_Toc64998065"/>
      <w:bookmarkStart w:id="24" w:name="_Toc11349"/>
      <w:bookmarkStart w:id="25" w:name="_Toc18438"/>
      <w:bookmarkStart w:id="26" w:name="_Toc24243"/>
      <w:r>
        <w:rPr>
          <w:rFonts w:hint="eastAsia"/>
        </w:rPr>
        <w:t>（</w:t>
      </w:r>
      <w:r>
        <w:rPr>
          <w:rFonts w:hint="eastAsia"/>
          <w:lang w:eastAsia="zh-CN"/>
        </w:rPr>
        <w:t>三</w:t>
      </w:r>
      <w:r>
        <w:rPr>
          <w:rFonts w:hint="eastAsia"/>
        </w:rPr>
        <w:t>）资金管理方面</w:t>
      </w:r>
      <w:bookmarkEnd w:id="22"/>
      <w:bookmarkEnd w:id="23"/>
      <w:bookmarkEnd w:id="24"/>
      <w:bookmarkEnd w:id="25"/>
      <w:bookmarkEnd w:id="26"/>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ab/>
      </w:r>
      <w:r>
        <w:rPr>
          <w:rFonts w:hint="eastAsia"/>
        </w:rPr>
        <w:t>加大对</w:t>
      </w:r>
      <w:r>
        <w:rPr>
          <w:rFonts w:hint="eastAsia"/>
          <w:lang w:eastAsia="zh-CN"/>
        </w:rPr>
        <w:t>文化</w:t>
      </w:r>
      <w:r>
        <w:rPr>
          <w:rFonts w:hint="eastAsia"/>
        </w:rPr>
        <w:t>事业的资金投入，对每一笔资金做到合理、有效的使用，通过财务管理制度认真监督每一笔资金的动向，确保真实、有效</w:t>
      </w:r>
      <w:r>
        <w:rPr>
          <w:rFonts w:hint="eastAsia"/>
          <w:lang w:val="en-US" w:eastAsia="zh-CN"/>
        </w:rPr>
        <w:t>。</w:t>
      </w:r>
    </w:p>
    <w:p>
      <w:pPr>
        <w:pStyle w:val="52"/>
        <w:rPr>
          <w:rFonts w:ascii="仿宋" w:hAnsi="仿宋" w:eastAsia="仿宋" w:cs="仿宋"/>
          <w:b/>
          <w:bCs w:val="0"/>
        </w:rPr>
      </w:pPr>
      <w:bookmarkStart w:id="27" w:name="_Toc14365"/>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27"/>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25.25%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25.25%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2.52</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剩余资金结转使用</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项目完成率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验收合格率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验收及时性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成本控制</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64.84</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22.27万元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34.35%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剩余资金结转使用</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提升公共文化服务体系</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文化方面提升还需不断加强</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13.5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文化方面提升还需不断加强</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24E648E5"/>
    <w:rsid w:val="56066C47"/>
    <w:rsid w:val="776752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uiPriority w:val="99"/>
    <w:pPr>
      <w:tabs>
        <w:tab w:val="center" w:pos="4153"/>
        <w:tab w:val="right" w:pos="8306"/>
      </w:tabs>
      <w:snapToGrid w:val="0"/>
      <w:jc w:val="left"/>
    </w:pPr>
    <w:rPr>
      <w:sz w:val="18"/>
      <w:szCs w:val="18"/>
    </w:rPr>
  </w:style>
  <w:style w:type="paragraph" w:styleId="17">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locked/>
    <w:uiPriority w:val="99"/>
    <w:rPr>
      <w:rFonts w:cs="Times New Roman"/>
      <w:sz w:val="18"/>
      <w:szCs w:val="18"/>
    </w:rPr>
  </w:style>
  <w:style w:type="character" w:customStyle="1" w:styleId="34">
    <w:name w:val="Footer Char"/>
    <w:basedOn w:val="26"/>
    <w:link w:val="16"/>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2592</Words>
  <Characters>2893</Characters>
  <Lines>0</Lines>
  <Paragraphs>0</Paragraphs>
  <TotalTime>0</TotalTime>
  <ScaleCrop>false</ScaleCrop>
  <LinksUpToDate>false</LinksUpToDate>
  <CharactersWithSpaces>2927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贺敏</cp:lastModifiedBy>
  <dcterms:modified xsi:type="dcterms:W3CDTF">2022-03-29T09:40:58Z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9A1142C0BC4C4C61B6B9A9D50C4BD742</vt:lpwstr>
  </property>
</Properties>
</file>