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新医院搬迁所需设备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  <w:rPr>
          <w:rFonts w:ascii="Calibri" w:hAnsi="Calibri" w:eastAsia="仿宋_GB2312" w:cs="Calibri"/>
          <w:b/>
          <w:bCs/>
          <w:caps/>
          <w:kern w:val="2"/>
          <w:sz w:val="20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_Toc24623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_Toc27034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_Toc27455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_Toc22736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_Toc5133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_Toc1080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_Toc1284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_Toc10728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_Toc13265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_Toc8456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_Toc6787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_Toc1248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_Toc13007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_Toc19868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4623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7034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为了做好新医院搬迁准备工作，满足全县人民看病就医需求，保障医疗安全。根据《二级综合医院评审标准实施细则》要求，经科室评估。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县委常委会研究确定。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为新医院搬迁</w:t>
      </w:r>
      <w:r>
        <w:rPr>
          <w:rFonts w:hint="eastAsia"/>
          <w:lang w:val="en-US" w:eastAsia="zh-CN"/>
        </w:rPr>
        <w:t>做好</w:t>
      </w:r>
      <w:r>
        <w:t>准备工作，满足全县人民看病就医需求，保障医疗安全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为了做好新医院搬迁准备工作，满足全县人民看病就医需求，保障医疗安全。根据《二级综合医院评审标准实施细则》要求。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1、2021年7月开始上报计划，科室评估。 2、2021年7月底根据现场施工需要（洗衣房和口腔科及供应室设备需要提前进场）提前预测设备。 3、2021年8月进行前期工作（预算评审、政府采购）。</w:t>
      </w:r>
    </w:p>
    <w:p>
      <w:pPr>
        <w:pStyle w:val="46"/>
        <w:ind w:left="560"/>
      </w:pPr>
      <w:bookmarkStart w:id="2" w:name="_Toc27455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300</w:t>
            </w:r>
            <w:bookmarkStart w:id="19" w:name="_GoBack"/>
            <w:bookmarkEnd w:id="19"/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22736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为了做好新医院搬迁准备工作，满足全县人民看病就医需求，保障医疗安全。根据《二级综合医院评审标准实施细则》要求。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财务管理制度健全，资金使用合规、项目制度健全、项目制度执行有效、项目立项规范，依据充分，项目配备人员及时到位，绩效目标合理。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5133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新医院搬迁所需设备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96.38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1080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6" w:name="_Toc1284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设备配置个数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1443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1443台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设备使用及时情况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设备成本情况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300万元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10728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设备产生的社会效益（%）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满足全县人民看病就医需求，保障医疗安全。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</w:tr>
    </w:tbl>
    <w:p>
      <w:pPr>
        <w:pStyle w:val="46"/>
        <w:ind w:left="0" w:leftChars="0" w:firstLine="562" w:firstLineChars="200"/>
      </w:pPr>
      <w:bookmarkStart w:id="8" w:name="_Toc1326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使用人员满意度（%）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9.38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项目资金总额300万元，实际支付资金300万元，预算执行率100%。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项目设立设备配置个数15个；设备合格率达到100%；设备成本300万元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项目设立能够满足全县人民看病就医需求，保障医疗安全。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购买医疗设备相关使用人员满意度达到90%</w:t>
      </w:r>
    </w:p>
    <w:p>
      <w:pPr>
        <w:pStyle w:val="52"/>
        <w:rPr>
          <w:caps w:val="0"/>
          <w:smallCaps w:val="0"/>
          <w:vanish w:val="0"/>
        </w:rPr>
      </w:pPr>
      <w:bookmarkStart w:id="11" w:name="_Toc23145"/>
      <w:bookmarkStart w:id="12" w:name="_Toc8456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bookmarkStart w:id="14" w:name="_Toc678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8253"/>
      <w:bookmarkStart w:id="16" w:name="_Toc1248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rPr>
          <w:rFonts w:hint="default" w:eastAsia="仿宋_GB2312"/>
          <w:lang w:val="en-US"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eastAsia="zh-CN"/>
        </w:rPr>
        <w:t>、</w:t>
      </w:r>
      <w:r>
        <w:rPr>
          <w:rFonts w:hint="eastAsia"/>
          <w:caps w:val="0"/>
          <w:smallCaps w:val="0"/>
          <w:vanish w:val="0"/>
          <w:lang w:val="en-US" w:eastAsia="zh-CN"/>
        </w:rPr>
        <w:t>可量化。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13007"/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7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设备配置个数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1443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1443台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设备使用及时情况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设备成本情况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300万元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设备产生的社会效益（%）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满足全县人民看病就医需求，保障医疗安全。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人民群主看病需求满意度有待提高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使用人员满意度（%）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93.75%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9.38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19868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8337F9D"/>
    <w:rsid w:val="0A7A602A"/>
    <w:rsid w:val="482F2940"/>
    <w:rsid w:val="62B10E3A"/>
    <w:rsid w:val="74C0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2022-03-25T08:49:28Z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ECDB55407BB748848A257A19764B0882</vt:lpwstr>
  </property>
</Properties>
</file>