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2021年基本公共卫生服务补助资金—大财社一【2021】26号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20" w:name="_GoBack"/>
      <w:bookmarkEnd w:id="20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_Toc2904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_Toc4972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_Toc29864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_Toc3514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_Toc20643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_Toc20544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_Toc24653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_Toc2984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_Toc7806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_Toc28920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_Toc15240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_Toc11540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904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4972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项目资金主要用于推进基层医疗卫生机构和基本公共卫生融合服务，优化常见多发慢性疾病的基层诊疗和健康管理流程。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大财社一【2021】26号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项目设立能够</w:t>
      </w:r>
      <w:r>
        <w:t>推进基层医疗卫生机构和基本公共卫生融合服务，优化常见多发慢性疾病的基层诊疗和健康管理流程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严格按照“大财社一【2021】26号”文件精神执行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根据“大财社一【2021】26号”文件通知，合理编制预算资金，按照预算管理制度，合理分配资金明细。</w:t>
      </w:r>
    </w:p>
    <w:p>
      <w:pPr>
        <w:pStyle w:val="44"/>
        <w:ind w:left="280" w:firstLine="562"/>
        <w:rPr>
          <w:rFonts w:hint="eastAsia"/>
          <w:b/>
          <w:bCs/>
        </w:rPr>
      </w:pPr>
      <w:r>
        <w:rPr>
          <w:rFonts w:hint="eastAsia"/>
          <w:b/>
          <w:bCs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49.71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Calibri" w:hAnsi="Calibri" w:eastAsia="仿宋_GB2312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29864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保障医院各项工作开展及项目工作的日常正常运转，调动医院人员开展公共卫生服务项目的积极性。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保障医院各项工作开展及项目工作的日常正常运转，调动医院人员开展公共卫生服务项目的积极性。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3514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2021年基本公共卫生服务补助资金—大财社一【2021】26号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98.69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4" w:name="_Toc20643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5" w:name="_Toc20544"/>
      <w:r>
        <w:rPr>
          <w:rFonts w:hint="eastAsia"/>
        </w:rPr>
        <w:t>（二）项目产出情况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932"/>
        <w:gridCol w:w="1043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基本公共卫生拨付资金涉及乡镇卫生院数量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公共卫生突发事件应急处置规范率（%）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项目资金总额49.71万元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&gt;=49.71万元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49.71万元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6" w:name="_Toc24653"/>
      <w:r>
        <w:rPr>
          <w:rFonts w:hint="eastAsia"/>
        </w:rPr>
        <w:t>（三）项目效益情况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基本公共卫生院服务水平是否提高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7" w:name="_Toc23655"/>
      <w:bookmarkStart w:id="8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7"/>
      <w:bookmarkEnd w:id="8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项目资金总额49.71万元，实际支付49.71万元，项目资金预算执行率达到100%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基本公共卫生拨付资金涉及乡镇卫生院数量6个；公共卫生突发事件应急处置规范率达到94%；绩效信息公开及时率达到95%；项目资金总额49.71万元。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项目设立基本公共卫生院服务水平不断提高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社会公众满意度达到95%</w:t>
      </w:r>
    </w:p>
    <w:p>
      <w:pPr>
        <w:pStyle w:val="52"/>
        <w:rPr>
          <w:caps w:val="0"/>
          <w:smallCaps w:val="0"/>
          <w:vanish w:val="0"/>
        </w:rPr>
      </w:pPr>
      <w:bookmarkStart w:id="9" w:name="_Toc23145"/>
      <w:bookmarkStart w:id="10" w:name="_Toc31691"/>
      <w:bookmarkStart w:id="11" w:name="_Toc2984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9"/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27405"/>
      <w:bookmarkStart w:id="14" w:name="_Toc7806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18567"/>
      <w:bookmarkStart w:id="16" w:name="_Toc8253"/>
      <w:bookmarkStart w:id="17" w:name="_Toc28920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ind w:firstLine="848" w:firstLineChars="303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1524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2162"/>
        <w:gridCol w:w="497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基本公共卫生拨付资金涉及乡镇卫生院数量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=6个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公共卫生突发事件应急处置规范率（%）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98.95%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9.89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公共卫生突发事件应急处置规范率有待提高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项目资金总额49.71万元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&gt;=49.71万元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49.71万元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基本公共卫生院服务水平是否提高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逐步提高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28.8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基本公共卫生服务水平有待提高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1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1154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4A546385"/>
    <w:rsid w:val="724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2022-03-25T07:58:48Z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DA33F040A4B840A0A6CEB19E81DC04A0</vt:lpwstr>
  </property>
</Properties>
</file>