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重大公共卫生（口腔卫生）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bookmarkStart w:id="19" w:name="_GoBack"/>
      <w:bookmarkEnd w:id="19"/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_Toc17481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_Toc19910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_Toc17969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_Toc1785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_Toc19576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_Toc4777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_Toc12667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_Toc8329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_Toc20931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_Toc24596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_Toc14229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_Toc12395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_Toc29641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_Toc23612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7481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9910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为了保护儿童口腔健康，降低儿童龋病患病率，为全县7-9岁儿童开展免费窝沟封闭，口腔健康教育和口腔健康检查等工作。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大财社二〔2021〕21号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保护儿童口腔健康，降低儿童龋病患病率，为全县7-9岁儿童开展免费窝沟封闭，口腔健康教育和口腔健康检查等工作。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严格执行财务管理制度，严格执行项目管理制度。严格按照文件要求，结合工作实际，按照制定的方案报送绩效目标，确保项目有序进行。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2020年1-12月，人员经费4670元，卫生材料1330元。</w:t>
      </w:r>
    </w:p>
    <w:p>
      <w:pPr>
        <w:widowControl/>
        <w:ind w:firstLine="0" w:firstLineChars="0"/>
        <w:jc w:val="left"/>
        <w:rPr>
          <w:rFonts w:hint="eastAsia"/>
        </w:rPr>
      </w:pPr>
    </w:p>
    <w:p>
      <w:pPr>
        <w:pStyle w:val="46"/>
        <w:ind w:left="560"/>
        <w:rPr>
          <w:rFonts w:hint="eastAsia"/>
        </w:rPr>
      </w:pPr>
      <w:bookmarkStart w:id="2" w:name="_Toc17969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785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严格执行财务管理制度，严格执行项目管理制度。严格按照文件要求，结合工作实际，按照制定的方案报送绩效目标，确保项目有序进行。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严格执行财务管理制度，严格执行项目管理制度。严格按照文件要求，结合工作实际，按照制定的方案报送绩效目标，确保项目有序进行。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9576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重大公共卫生（口腔卫生）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4777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12667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329"/>
        <w:gridCol w:w="1016"/>
        <w:gridCol w:w="2021"/>
        <w:gridCol w:w="763"/>
        <w:gridCol w:w="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大于500人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儿童口腔健康预防情况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保护儿童口腔健康，降低儿童龋病患病率。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儿童口腔健康情况覆盖率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保护儿童口腔健康，降低儿童龋病患病率。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儿童口腔健康成本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6000元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8329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保护儿童口腔健康，降低儿童龋病患病率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项目满意度情况</w:t>
      </w:r>
    </w:p>
    <w:p>
      <w:pPr>
        <w:widowControl/>
        <w:numPr>
          <w:ilvl w:val="0"/>
          <w:numId w:val="0"/>
        </w:numPr>
        <w:jc w:val="left"/>
        <w:rPr>
          <w:rFonts w:hint="eastAsia"/>
        </w:rPr>
      </w:pP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8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20931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2"/>
        </w:numPr>
        <w:ind w:left="1265" w:leftChars="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项目资金总额6000元，实际支付资金6000元，项目资金执行率100%</w:t>
      </w:r>
    </w:p>
    <w:p>
      <w:pPr>
        <w:pStyle w:val="44"/>
        <w:numPr>
          <w:ilvl w:val="0"/>
          <w:numId w:val="2"/>
        </w:numPr>
        <w:ind w:left="1265" w:leftChars="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涉及儿童口腔健康治疗人数500人；保护儿童口腔健康，降低儿童龋病患病率达到95%；儿童口腔健康成本6000元。</w:t>
      </w:r>
    </w:p>
    <w:p>
      <w:pPr>
        <w:pStyle w:val="44"/>
        <w:numPr>
          <w:ilvl w:val="0"/>
          <w:numId w:val="2"/>
        </w:numPr>
        <w:ind w:left="1265" w:leftChars="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项目设立保护儿童口腔健康，降低儿童龋病患病率达到96%</w:t>
      </w:r>
    </w:p>
    <w:p>
      <w:pPr>
        <w:pStyle w:val="44"/>
        <w:numPr>
          <w:ilvl w:val="0"/>
          <w:numId w:val="2"/>
        </w:numPr>
        <w:ind w:left="1265" w:leftChars="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儿童口腔健康满意度大于98%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2459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14229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1239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eastAsia" w:eastAsia="仿宋_GB2312"/>
          <w:caps w:val="0"/>
          <w:smallCaps w:val="0"/>
          <w:vanish w:val="0"/>
          <w:lang w:val="en-US"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2964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2148"/>
        <w:gridCol w:w="1514"/>
        <w:gridCol w:w="840"/>
        <w:gridCol w:w="2492"/>
        <w:gridCol w:w="628"/>
        <w:gridCol w:w="883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大于500人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儿童口腔健康预防情况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保护儿童口腔健康，降低儿童龋病患病率。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儿童龋病患病率需进一步降低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儿童口腔健康情况覆盖率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保护儿童口腔健康，降低儿童龋病患病率。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儿童龋病患病率需进一步降低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6000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6000元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保护儿童口腔健康，降低儿童龋病患病率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儿童龋病患病率需进一步降低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大于98%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361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990" w:hanging="425"/>
      </w:pPr>
      <w:rPr>
        <w:rFonts w:hint="default" w:cs="Times New Roman"/>
      </w:rPr>
    </w:lvl>
  </w:abstractNum>
  <w:abstractNum w:abstractNumId="1">
    <w:nsid w:val="F920F19A"/>
    <w:multiLevelType w:val="singleLevel"/>
    <w:tmpl w:val="F920F19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A3B6FC1"/>
    <w:rsid w:val="12C65300"/>
    <w:rsid w:val="1E647429"/>
    <w:rsid w:val="215A6FA8"/>
    <w:rsid w:val="2CCF48C1"/>
    <w:rsid w:val="5E501F09"/>
    <w:rsid w:val="6545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2022-03-25T07:37:08Z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08ACC9B372974A68844023417C8FCB59</vt:lpwstr>
  </property>
</Properties>
</file>