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重大公共卫生（口腔卫生）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_Toc31292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_Toc21704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_Toc24571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_Toc12556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_Toc23627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_Toc23535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_Toc716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_Toc24324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_Toc20830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_Toc14588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_Toc2831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_Toc27463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_Toc13245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_Toc6572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31292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1704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为了保护儿童口腔健康，降低儿童龋病患病率，为全县7-9岁儿童开展免费窝沟封闭，口腔健康教育和口腔健康检查等工作。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大财社二〔2021〕62号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项目设立能够进一步</w:t>
      </w:r>
      <w:r>
        <w:t>保护儿童口腔健康，降低儿童龋病患病率，为全县7-9岁儿童开展免费窝沟封闭，口腔健康教育和口腔健康检查等工作。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严格执行财务管理制度，严格执行项目管理制度。严格按照文件要求，结合工作实际，按照制定的方案报送绩效目标，确保项目有序进行。</w:t>
      </w:r>
    </w:p>
    <w:p>
      <w:pPr>
        <w:pStyle w:val="44"/>
        <w:ind w:left="280" w:firstLine="562"/>
        <w:rPr>
          <w:rFonts w:hint="eastAsia"/>
        </w:rPr>
      </w:pPr>
      <w:r>
        <w:rPr>
          <w:rFonts w:hint="eastAsia"/>
          <w:b/>
          <w:bCs/>
        </w:rPr>
        <w:t>项目实施计划：</w:t>
      </w:r>
      <w:r>
        <w:t>严格按照“大财社二〔2021〕62号”文件精神，合理编制预算，规划资金安排，做到应支尽支</w:t>
      </w:r>
    </w:p>
    <w:p>
      <w:pPr>
        <w:pStyle w:val="46"/>
        <w:ind w:left="560"/>
        <w:rPr>
          <w:b/>
          <w:szCs w:val="28"/>
        </w:rPr>
      </w:pPr>
      <w:bookmarkStart w:id="2" w:name="_Toc24571"/>
      <w:r>
        <w:rPr>
          <w:rFonts w:hint="eastAsia"/>
        </w:rPr>
        <w:t>（二）预算执行情况</w:t>
      </w:r>
      <w:bookmarkEnd w:id="2"/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bookmarkStart w:id="19" w:name="_GoBack" w:colFirst="4" w:colLast="4"/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bookmarkEnd w:id="19"/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12556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严格执行财务管理制度，严格执行项目管理制度。按照文件要求，结合工作实际，按照制定的方案报送绩效目标，确保项目按时进行。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严格执行财务管理制度，严格执行项目管理制度。按照文件要求，结合工作实际，按照制定的方案报送绩效目标，确保项目按时进行。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3627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重大公共卫生（口腔卫生）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23535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6" w:name="_Toc716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大于500人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儿童口腔健康预防情况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保护儿童口腔健康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儿童口腔健康情况覆盖率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保护儿童口腔健康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7500元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7500元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562" w:firstLineChars="200"/>
      </w:pPr>
      <w:bookmarkStart w:id="7" w:name="_Toc2432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儿童口腔健康社会教育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20830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32"/>
        <w:gridCol w:w="1421"/>
        <w:gridCol w:w="1394"/>
        <w:gridCol w:w="1385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儿童口腔健康满意度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23655"/>
      <w:bookmarkStart w:id="10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项目资金总额7500元，实际执行资金7500元，项目预算执行率达到100%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儿童口腔健康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治疗人员大于500人；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儿童口腔健康情况覆盖率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达到96%；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儿童口腔健康预防情况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达到100%；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儿童口腔健康成本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共计7500元。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tabs>
          <w:tab w:val="left" w:pos="1064"/>
        </w:tabs>
        <w:ind w:left="0" w:leftChars="0" w:firstLine="560" w:firstLineChars="200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项目设立进一步提高了儿童口腔健康社会教育，所产生的社会效益达到96%。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0" w:leftChars="0" w:firstLine="480" w:firstLineChars="200"/>
        <w:rPr>
          <w:rFonts w:hint="default" w:ascii="仿宋_GB2312" w:eastAsia="仿宋"/>
          <w:bCs/>
          <w:lang w:val="en-US" w:eastAsia="zh-CN"/>
        </w:rPr>
      </w:pP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儿童口腔健康满意度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达到95%</w:t>
      </w:r>
    </w:p>
    <w:p>
      <w:pPr>
        <w:pStyle w:val="52"/>
        <w:rPr>
          <w:caps w:val="0"/>
          <w:smallCaps w:val="0"/>
          <w:vanish w:val="0"/>
        </w:rPr>
      </w:pPr>
      <w:bookmarkStart w:id="11" w:name="_Toc14588"/>
      <w:bookmarkStart w:id="12" w:name="_Toc2314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1"/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19853"/>
      <w:bookmarkStart w:id="14" w:name="_Toc2831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  <w:bookmarkEnd w:id="14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5" w:name="_Toc27463"/>
      <w:bookmarkStart w:id="16" w:name="_Toc825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5"/>
      <w:bookmarkEnd w:id="16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13245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7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大于500人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儿童口腔健康预防情况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保护儿童口腔健康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儿童口腔健康情况覆盖率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保护儿童口腔健康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儿童口腔健康宣传覆盖率有待提高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7500元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7500元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儿童口腔健康社会教育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儿童口腔教育宣传需进一步提高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儿童口腔健康满意度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6572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8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6F76A05"/>
    <w:rsid w:val="3D5B364F"/>
    <w:rsid w:val="55050CFC"/>
    <w:rsid w:val="6EF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2022-03-25T03:06:02Z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5C44D73FDFB544A991BABD60D353920D</vt:lpwstr>
  </property>
</Properties>
</file>