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“医师节”活动经费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bookmarkStart w:id="19" w:name="_GoBack"/>
      <w:bookmarkEnd w:id="19"/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_Toc6145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_Toc8630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_Toc12283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_Toc8236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_Toc26378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  <w:lang w:val="en-US" w:eastAsia="zh-CN"/>
        </w:rPr>
        <w:t xml:space="preserve">（一） </w:t>
      </w:r>
      <w:r>
        <w:rPr>
          <w:rFonts w:hint="eastAsia"/>
        </w:rPr>
        <w:t>预算执行情况</w:t>
      </w:r>
      <w:r>
        <w:tab/>
      </w:r>
      <w:r>
        <w:fldChar w:fldCharType="begin"/>
      </w:r>
      <w:r>
        <w:instrText xml:space="preserve"> PAGEREF _Toc21196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 w:ascii="Times New Roman" w:hAnsi="Times New Roman" w:eastAsia="仿宋_GB2312" w:cs="Times New Roman"/>
          <w:bCs/>
          <w:kern w:val="0"/>
          <w:szCs w:val="32"/>
          <w:lang w:val="en-US" w:eastAsia="zh-CN" w:bidi="ar-SA"/>
        </w:rPr>
        <w:t>（三）项目效益情况</w:t>
      </w:r>
      <w:r>
        <w:tab/>
      </w:r>
      <w:r>
        <w:fldChar w:fldCharType="begin"/>
      </w:r>
      <w:r>
        <w:instrText xml:space="preserve"> PAGEREF _Toc31336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_Toc32544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_Toc2498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_Toc15657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_Toc4094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_Toc23444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_Toc19203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_Toc27346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45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8630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激励医务人员赓续光荣伟统，践行初心使命，医疗集团将对县医院、乡镇卫生院、村卫生室医生进行慰问、表彰。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大财社存〔2021〕7号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激励医务人员赓续光荣伟统，践行初心使命，</w:t>
      </w:r>
      <w:r>
        <w:rPr>
          <w:rFonts w:hint="eastAsia"/>
          <w:lang w:val="en-US" w:eastAsia="zh-CN"/>
        </w:rPr>
        <w:t>增强医护人员工作积极性，强化医护人员使命感，促使他们更好的投入到工作中。</w:t>
      </w:r>
      <w:r>
        <w:t>医疗集团将对县医院、乡镇卫生院、村卫生室医生进行慰问、表彰。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严格执行财务管理制度、项目管理制度。严格按照项目的用途使用，专款专用。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1、2021年8月13日，关于医师节相关事宜会议。 2、2021年8月17日，询价购买医师节奖品和纪念品及荣誉证书。 3、2021年8月19日，发放医师纪念品和优秀医师奖品及荣誉证书。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12283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99.95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99.95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99.95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8236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财务管理制度健全，资金使用合规、项目制度健全、项目制度执行有效、项目立项规范，依据充分，项目配备人员及时到位。确保此项资金发挥应有的作用。</w:t>
      </w:r>
    </w:p>
    <w:p>
      <w:pPr>
        <w:pStyle w:val="48"/>
        <w:ind w:left="560"/>
        <w:rPr>
          <w:rFonts w:hint="eastAsia"/>
        </w:rPr>
      </w:pPr>
      <w:r>
        <w:rPr>
          <w:rFonts w:hint="eastAsia"/>
        </w:rPr>
        <w:t>（2</w:t>
      </w:r>
      <w:r>
        <w:rPr>
          <w:rFonts w:hint="eastAsia"/>
        </w:rPr>
        <w:t xml:space="preserve">）.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财务管理制度健全，资金使用合规、项目制度健全、项目制度执行有效、项目立项规范，依据充分，项目配备人员及时到位。确保此项资金发挥应有的作用。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6378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“医师节”活动经费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99.58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numPr>
          <w:ilvl w:val="0"/>
          <w:numId w:val="1"/>
        </w:numPr>
        <w:ind w:left="560"/>
        <w:rPr>
          <w:rFonts w:hint="default"/>
          <w:lang w:val="en-US" w:eastAsia="zh-CN"/>
        </w:rPr>
      </w:pPr>
      <w:bookmarkStart w:id="5" w:name="_Toc21196"/>
      <w:r>
        <w:rPr>
          <w:rFonts w:hint="eastAsia"/>
        </w:rPr>
        <w:t>预算执行情况</w:t>
      </w:r>
      <w:bookmarkEnd w:id="5"/>
      <w:r>
        <w:rPr>
          <w:rFonts w:hint="eastAsia"/>
          <w:lang w:val="en-US" w:eastAsia="zh-CN"/>
        </w:rPr>
        <w:t xml:space="preserve">  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902"/>
        <w:gridCol w:w="1073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99.94%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9.99</w:t>
            </w:r>
          </w:p>
        </w:tc>
      </w:tr>
    </w:tbl>
    <w:p>
      <w:pPr>
        <w:widowControl/>
        <w:numPr>
          <w:ilvl w:val="0"/>
          <w:numId w:val="1"/>
        </w:numPr>
        <w:ind w:left="560" w:leftChars="200" w:firstLine="0" w:firstLineChars="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项目产出情况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056"/>
        <w:gridCol w:w="919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2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医师节发放奖品数量（个、套、条）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226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226个、套、条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2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医师节发放奖品质量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2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医师节发放奖品及时性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2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医师节发放奖品成本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50000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49974元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562" w:firstLineChars="200"/>
      </w:pPr>
      <w:bookmarkStart w:id="6" w:name="_Toc31336"/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（三）项目效益情况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医师节发放奖品产生的社会效益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医师节发放奖品持续性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赓续光荣传统、践行初心使命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562" w:firstLineChars="200"/>
      </w:pPr>
      <w:bookmarkStart w:id="7" w:name="_Toc32544"/>
      <w:r>
        <w:rPr>
          <w:rFonts w:hint="eastAsia"/>
        </w:rPr>
        <w:t>（四）项目满意度情况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525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医务人员满意度（%）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97%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9.79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8" w:name="_Toc2498"/>
      <w:r>
        <w:rPr>
          <w:rFonts w:hint="eastAsia" w:ascii="仿宋" w:hAnsi="仿宋" w:eastAsia="仿宋" w:cs="仿宋"/>
          <w:b/>
          <w:bCs w:val="0"/>
        </w:rPr>
        <w:t>三、</w:t>
      </w:r>
      <w:bookmarkStart w:id="9" w:name="_Toc23655"/>
      <w:bookmarkStart w:id="10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8"/>
      <w:bookmarkEnd w:id="9"/>
      <w:bookmarkEnd w:id="10"/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项目资金总额5万元，实际支付4.9974万元。剩余资金财政收回，项目预算执行率99.94%。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医师节发放奖品数量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226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（个、套、条）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eastAsia="zh-CN"/>
        </w:rPr>
        <w:t>；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医师节发放奖品质量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达到98%；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医师节发放奖品成本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49974元；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hint="default" w:ascii="仿宋_GB2312" w:eastAsia="仿宋"/>
          <w:bCs/>
          <w:lang w:val="en-US" w:eastAsia="zh-CN"/>
        </w:rPr>
      </w:pP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医师节项目执行经一步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赓续光荣传统、践行初心使命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eastAsia="zh-CN"/>
        </w:rPr>
        <w:t>，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社会效益率达到100%。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 w:eastAsia="仿宋"/>
          <w:bCs/>
          <w:lang w:val="en-US" w:eastAsia="zh-CN"/>
        </w:rPr>
      </w:pP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医务人员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对医师节活动举办、项目实施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满意度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达到95%。</w:t>
      </w:r>
    </w:p>
    <w:p>
      <w:pPr>
        <w:pStyle w:val="52"/>
        <w:rPr>
          <w:caps w:val="0"/>
          <w:smallCaps w:val="0"/>
          <w:vanish w:val="0"/>
        </w:rPr>
      </w:pPr>
      <w:bookmarkStart w:id="11" w:name="_Toc23145"/>
      <w:bookmarkStart w:id="12" w:name="_Toc15657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1"/>
      <w:bookmarkEnd w:id="12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3" w:name="_Toc19853"/>
      <w:bookmarkStart w:id="14" w:name="_Toc4094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3"/>
      <w:bookmarkEnd w:id="14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5" w:name="_Toc8253"/>
      <w:bookmarkStart w:id="16" w:name="_Toc23444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5"/>
      <w:bookmarkEnd w:id="16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</w:pPr>
      <w:bookmarkStart w:id="17" w:name="_Toc19203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7"/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2308"/>
        <w:gridCol w:w="351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23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23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99.94%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99.94%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9.99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项目资金剩余26元财政收回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23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医师节发放奖品数量（个、套、条）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226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226个、套、条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23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医师节发放奖品质量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奖品质量有待提升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23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医师节发放奖品及时性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23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医师节发放奖品成本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49974元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项目资金剩余26元财政收回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23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医师节发放奖品产生的社会效益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23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医师节发放奖品持续性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赓续光荣传统、践行初心使命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3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医务人员满意度（%）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97.94%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9.79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医务人员满意度有待提高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27346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8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abstractNum w:abstractNumId="1">
    <w:nsid w:val="FB000D1F"/>
    <w:multiLevelType w:val="singleLevel"/>
    <w:tmpl w:val="FB000D1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9335369"/>
    <w:rsid w:val="3D0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2022-03-24T08:40:01Z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598EA99D9C9C407296575B2EA5DD69C8</vt:lpwstr>
  </property>
</Properties>
</file>