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疫情防控疫苗接种购置办公用品费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18" w:name="_GoBack"/>
      <w:bookmarkEnd w:id="18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_Toc28326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_Toc27233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_Toc9196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_Toc16194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_Toc27341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_Toc12088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_Toc3525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_Toc11236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_Toc11427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_Toc16328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_Toc4642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</w:t>
      </w:r>
      <w:r>
        <w:rPr>
          <w:rFonts w:hint="eastAsia" w:ascii="仿宋" w:hAnsi="仿宋" w:eastAsia="仿宋" w:cs="仿宋"/>
          <w:bCs w:val="0"/>
        </w:rPr>
        <w:t>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_Toc21479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_Toc3981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832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7233"/>
      <w:r>
        <w:rPr>
          <w:rFonts w:hint="eastAsia"/>
        </w:rPr>
        <w:t>（一）项目概况</w:t>
      </w:r>
      <w:bookmarkEnd w:id="1"/>
    </w:p>
    <w:p>
      <w:pPr>
        <w:pStyle w:val="44"/>
        <w:ind w:left="0" w:leftChars="0" w:firstLine="562" w:firstLineChars="200"/>
      </w:pPr>
      <w:r>
        <w:rPr>
          <w:rFonts w:hint="eastAsia"/>
          <w:b/>
          <w:bCs/>
        </w:rPr>
        <w:t>项目概况：</w:t>
      </w:r>
      <w:r>
        <w:t>贯彻落实国家、省、市卫健部门决策部署，加快推进新冠病毒疫苗接种工作，各乡镇卫生院设立</w:t>
      </w:r>
    </w:p>
    <w:p>
      <w:pPr>
        <w:pStyle w:val="44"/>
        <w:ind w:left="0" w:leftChars="0" w:firstLine="0" w:firstLineChars="0"/>
      </w:pPr>
      <w:r>
        <w:t>7个接种点，为保障工作顺利进行，所需购置办公用品。</w:t>
      </w:r>
    </w:p>
    <w:p>
      <w:pPr>
        <w:pStyle w:val="44"/>
      </w:pPr>
      <w:r>
        <w:rPr>
          <w:rFonts w:hint="eastAsia"/>
          <w:b/>
          <w:bCs/>
        </w:rPr>
        <w:t>立项依据：</w:t>
      </w:r>
      <w:r>
        <w:t>县长办公会研究确定。</w:t>
      </w:r>
    </w:p>
    <w:p>
      <w:pPr>
        <w:pStyle w:val="44"/>
      </w:pPr>
      <w:r>
        <w:rPr>
          <w:rFonts w:hint="eastAsia"/>
          <w:b/>
          <w:bCs/>
        </w:rPr>
        <w:t>设立的必要性：</w:t>
      </w:r>
      <w:r>
        <w:rPr>
          <w:rFonts w:hint="eastAsia"/>
          <w:caps w:val="0"/>
          <w:smallCaps w:val="0"/>
          <w:vanish w:val="0"/>
          <w:lang w:val="en-US" w:eastAsia="zh-CN"/>
        </w:rPr>
        <w:t>项目设立能够进一步</w:t>
      </w:r>
      <w:r>
        <w:rPr>
          <w:caps w:val="0"/>
          <w:smallCaps w:val="0"/>
          <w:vanish w:val="0"/>
        </w:rPr>
        <w:t>落实防控工作要求，适当扩大“应检尽检”核酸检测范围、增加定期检测频次，巩固疫情防控成果，维护群众健康。</w:t>
      </w:r>
    </w:p>
    <w:p>
      <w:pPr>
        <w:pStyle w:val="44"/>
      </w:pPr>
      <w:r>
        <w:rPr>
          <w:rFonts w:hint="eastAsia"/>
          <w:b/>
          <w:bCs/>
        </w:rPr>
        <w:t>保证项目实施的措施与制度：</w:t>
      </w:r>
      <w:r>
        <w:t>贯彻落实国家、省、市卫健部门决策部署，加快推进新冠病毒疫苗接种工作。</w:t>
      </w:r>
    </w:p>
    <w:p>
      <w:pPr>
        <w:pStyle w:val="44"/>
      </w:pPr>
      <w:r>
        <w:rPr>
          <w:rFonts w:hint="eastAsia"/>
          <w:b/>
          <w:bCs/>
        </w:rPr>
        <w:t>项目实施计划：</w:t>
      </w:r>
      <w:r>
        <w:t xml:space="preserve">1、2021年4月开始在各乡镇卫生院设立7个接种点。 </w:t>
      </w:r>
    </w:p>
    <w:p>
      <w:pPr>
        <w:pStyle w:val="44"/>
        <w:ind w:firstLine="2520" w:firstLineChars="900"/>
      </w:pPr>
      <w:r>
        <w:t>2、2021年4月底预置笔记本电脑5台、扫码枪6个、身份证阅读器10个、打印机6台、金苗系统安装。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919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6194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贯彻落实国家、省、市卫健部门决策部署，加快推进新冠病毒疫苗接种工作。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  <w:rPr>
          <w:rFonts w:hint="eastAsia" w:eastAsia="仿宋_GB2312"/>
          <w:lang w:eastAsia="zh-CN"/>
        </w:rPr>
      </w:pPr>
      <w:r>
        <w:t>财务管理制度健全，资金使用合规、项目管理制度健全、项目制度执行有效、项目立项规范，依据充分，项目配备人员及时到位，绩效目标设定合理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73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疫情防控疫苗接种购置办公用品费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2088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562" w:firstLineChars="200"/>
        <w:jc w:val="left"/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疫苗接种所需办公用品数量（个、台）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27台、个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疫苗接种办公用品的合格率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办公设备投入使用率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推进新冠疫苗接种工作，保障工作顺利进行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疫苗接种办公用品的成本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58980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58980元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3525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加快推进新冠病毒疫苗接种工作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7" w:name="_Toc11236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大于或等于98%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三、</w:t>
      </w:r>
      <w:bookmarkStart w:id="8" w:name="_Toc23655"/>
      <w:bookmarkStart w:id="9" w:name="_Toc17451"/>
      <w:r>
        <w:rPr>
          <w:rFonts w:hint="eastAsia" w:ascii="仿宋" w:hAnsi="仿宋" w:eastAsia="仿宋" w:cs="仿宋"/>
          <w:b/>
          <w:bCs w:val="0"/>
          <w:sz w:val="32"/>
          <w:szCs w:val="32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项目资金总额58980元，实际支付资金总额58980元，项目预算执行率达到100%。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项目设立共计购买疫情防控所需办公用品数量27个；疫苗接种办公用品合格率达到100%；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办公设备投入使用率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达到100%；项目实际总成本共计58980元。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项目设立能够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加快推进新冠病毒疫苗接种工作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疫苗接种办公用品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所产生的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社会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效益达到100%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医护人员对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疫苗接种办公用品满意度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达到98%。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1142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1632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464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</w:t>
      </w:r>
    </w:p>
    <w:p>
      <w:pPr>
        <w:pStyle w:val="52"/>
      </w:pPr>
      <w:bookmarkStart w:id="16" w:name="_Toc21479"/>
      <w:r>
        <w:rPr>
          <w:rFonts w:hint="eastAsia" w:ascii="仿宋" w:hAnsi="仿宋" w:eastAsia="仿宋" w:cs="仿宋"/>
          <w:b/>
          <w:bCs w:val="0"/>
          <w:lang w:val="en-US" w:eastAsia="zh-CN"/>
        </w:rPr>
        <w:t>附</w:t>
      </w:r>
      <w:r>
        <w:rPr>
          <w:rFonts w:hint="eastAsia" w:ascii="仿宋" w:hAnsi="仿宋" w:eastAsia="仿宋" w:cs="仿宋"/>
          <w:b/>
          <w:bCs w:val="0"/>
        </w:rPr>
        <w:t>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929"/>
        <w:gridCol w:w="887"/>
        <w:gridCol w:w="1187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955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疫苗接种所需办公用品数量（个、台）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27台、个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疫苗接种办公用品的合格率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办公设备投入使用率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推进新冠疫苗接种工作，保障工作顺利进行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疫苗接种办公用品的成本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58980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58980元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加快推进新冠病毒疫苗接种工作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大于或等于98%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医护人员对疫苗接种办公用品满意度有待提高</w:t>
            </w: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398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720509C"/>
    <w:rsid w:val="42030796"/>
    <w:rsid w:val="453E4BF7"/>
    <w:rsid w:val="63B77BE4"/>
    <w:rsid w:val="71E16BD5"/>
    <w:rsid w:val="763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2022-03-24T08:28:44Z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65CECA011EA34021B5D9584212DA6FAD</vt:lpwstr>
  </property>
</Properties>
</file>