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重大公共卫生（结核病）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  <w:rPr>
          <w:rFonts w:ascii="Calibri" w:hAnsi="Calibri" w:eastAsia="仿宋_GB2312" w:cs="Calibri"/>
          <w:b/>
          <w:bCs/>
          <w:caps/>
          <w:kern w:val="2"/>
          <w:sz w:val="20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/>
        </w:rPr>
        <w:t xml:space="preserve">一、 </w:t>
      </w:r>
      <w:r>
        <w:rPr>
          <w:rFonts w:hint="eastAsia" w:ascii="仿宋" w:hAnsi="仿宋" w:eastAsia="仿宋" w:cs="仿宋"/>
          <w:bCs w:val="0"/>
        </w:rPr>
        <w:t>项目的基本情况</w:t>
      </w:r>
      <w:r>
        <w:tab/>
      </w:r>
      <w:r>
        <w:fldChar w:fldCharType="begin"/>
      </w:r>
      <w:r>
        <w:instrText xml:space="preserve"> PAGEREF _Toc17471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_Toc8987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_Toc7180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_Toc858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_Toc24318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_Toc16285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_Toc2701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_Toc19714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_Toc7879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_Toc5436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_Toc2306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_Toc6386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_Toc5449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numPr>
          <w:ilvl w:val="0"/>
          <w:numId w:val="1"/>
        </w:numPr>
      </w:pPr>
      <w:bookmarkStart w:id="0" w:name="_Toc17471"/>
      <w:r>
        <w:rPr>
          <w:rFonts w:hint="eastAsia" w:ascii="仿宋" w:hAnsi="仿宋" w:eastAsia="仿宋" w:cs="仿宋"/>
          <w:b/>
          <w:bCs w:val="0"/>
        </w:rPr>
        <w:t>项目的基本情况</w:t>
      </w:r>
      <w:bookmarkEnd w:id="0"/>
    </w:p>
    <w:p>
      <w:pPr>
        <w:pStyle w:val="52"/>
        <w:numPr>
          <w:ilvl w:val="0"/>
          <w:numId w:val="0"/>
        </w:numPr>
        <w:ind w:firstLine="640" w:firstLineChars="200"/>
      </w:pPr>
      <w:bookmarkStart w:id="1" w:name="_Toc8987"/>
      <w:r>
        <w:rPr>
          <w:rFonts w:hint="eastAsia"/>
        </w:rPr>
        <w:t>（一）项目概况</w:t>
      </w:r>
      <w:bookmarkEnd w:id="1"/>
    </w:p>
    <w:p>
      <w:pPr>
        <w:pStyle w:val="44"/>
        <w:ind w:left="0" w:leftChars="0" w:firstLine="562" w:firstLineChars="200"/>
      </w:pPr>
      <w:r>
        <w:rPr>
          <w:rFonts w:hint="eastAsia"/>
          <w:b/>
          <w:bCs/>
        </w:rPr>
        <w:t>项目概况：</w:t>
      </w:r>
      <w:r>
        <w:t>做好医疗保障和关怀救助工作，加强重点人群结核病防治，保障抗结核药品供应，进一步减少结核病危害，加快推进健康中国建设。</w:t>
      </w:r>
    </w:p>
    <w:p>
      <w:pPr>
        <w:pStyle w:val="44"/>
        <w:ind w:left="0" w:leftChars="0" w:firstLine="562" w:firstLineChars="200"/>
      </w:pPr>
      <w:r>
        <w:rPr>
          <w:rFonts w:hint="eastAsia"/>
          <w:b/>
          <w:bCs/>
        </w:rPr>
        <w:t>立项依据：</w:t>
      </w:r>
      <w:r>
        <w:t>大财社二〔2021〕62号</w:t>
      </w:r>
    </w:p>
    <w:p>
      <w:pPr>
        <w:pStyle w:val="44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项目设立能够加强</w:t>
      </w:r>
      <w:r>
        <w:t>重点人群结核病防治，保障抗结核药品供应，进一步减少结核病危害，加快推进健康中国建设。</w:t>
      </w:r>
    </w:p>
    <w:p>
      <w:pPr>
        <w:pStyle w:val="44"/>
        <w:ind w:left="0" w:leftChars="0" w:firstLine="562" w:firstLineChars="200"/>
      </w:pPr>
      <w:r>
        <w:rPr>
          <w:rFonts w:hint="eastAsia"/>
          <w:b/>
          <w:bCs/>
        </w:rPr>
        <w:t>保证项目实施的措施与制度：</w:t>
      </w:r>
      <w:r>
        <w:t>严格执行财务管理制度，项目管理制度。按照文件要求，结合工作实际，按照制定的方案报送绩效目标，确保项目有序进行。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严格按照“大财社二〔2021〕62号”文件精神，合理安排预算，做到应支尽支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7180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598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7"/>
        <w:gridCol w:w="1543"/>
        <w:gridCol w:w="1017"/>
        <w:gridCol w:w="1300"/>
        <w:gridCol w:w="827"/>
        <w:gridCol w:w="825"/>
        <w:gridCol w:w="827"/>
        <w:gridCol w:w="913"/>
        <w:gridCol w:w="2346"/>
        <w:gridCol w:w="248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01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692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34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483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2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34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77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99.56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99.56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99.56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bookmarkStart w:id="15" w:name="_GoBack"/>
            <w:bookmarkEnd w:id="15"/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77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858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严格执行财务管理制度，项目管理制度。按照文件要求，结合工作实际，按照制定的方案报送绩效目标，确保项目按时进行。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严格执行财务管理制度，项目管理制度。按照文件要求，结合工作实际，按照制定的方案报送绩效目标，确保项目按时进行。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4318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重大公共卫生（结核病）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99.89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16285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99.56%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9.96</w:t>
            </w:r>
          </w:p>
        </w:tc>
      </w:tr>
    </w:tbl>
    <w:p>
      <w:pPr>
        <w:widowControl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807"/>
        <w:gridCol w:w="1168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结核病人的治疗和监测人员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=44人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44人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结核病人治疗和监测情况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结核病人的治疗和监测时效情况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结核病人治疗和监测成本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=800元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796.5元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14.93</w:t>
            </w:r>
          </w:p>
        </w:tc>
      </w:tr>
    </w:tbl>
    <w:p>
      <w:pPr>
        <w:widowControl/>
        <w:ind w:left="0" w:leftChars="0"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</w:p>
    <w:p>
      <w:pPr>
        <w:widowControl/>
        <w:ind w:left="0" w:leftChars="0"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（三）项目效益情况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推进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pStyle w:val="46"/>
        <w:ind w:left="0" w:leftChars="0" w:firstLine="0" w:firstLineChars="0"/>
        <w:rPr>
          <w:rFonts w:hint="eastAsia"/>
        </w:rPr>
      </w:pPr>
    </w:p>
    <w:p>
      <w:pPr>
        <w:pStyle w:val="46"/>
        <w:ind w:left="0" w:leftChars="0" w:firstLine="0" w:firstLineChars="0"/>
      </w:pPr>
      <w:bookmarkStart w:id="6" w:name="_Toc2701"/>
      <w:r>
        <w:rPr>
          <w:rFonts w:hint="eastAsia"/>
        </w:rPr>
        <w:t>（四）项目满意度情况</w:t>
      </w:r>
      <w:bookmarkEnd w:id="6"/>
    </w:p>
    <w:tbl>
      <w:tblPr>
        <w:tblStyle w:val="24"/>
        <w:tblW w:w="8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96"/>
        <w:gridCol w:w="1368"/>
        <w:gridCol w:w="1392"/>
        <w:gridCol w:w="1380"/>
        <w:gridCol w:w="1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结核病人的治疗和监测满意度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&gt;=98%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7" w:name="_Toc19714"/>
      <w:r>
        <w:rPr>
          <w:rFonts w:hint="eastAsia" w:ascii="仿宋" w:hAnsi="仿宋" w:eastAsia="仿宋" w:cs="仿宋"/>
          <w:b/>
          <w:bCs w:val="0"/>
        </w:rPr>
        <w:t>三、</w:t>
      </w:r>
      <w:bookmarkStart w:id="8" w:name="_Toc23655"/>
      <w:bookmarkStart w:id="9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7"/>
      <w:bookmarkEnd w:id="8"/>
      <w:bookmarkEnd w:id="9"/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项目总金额800元，实际执行资金796.5元，财政收回剩余资金4.5元，预算执行率99.56%。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结核病人治疗和检测实际成本为796.5元，实际结核病治疗和监测人员44人。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结核病治疗和检测率推进率为100%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结核病人治疗和监测满意度为100%</w:t>
      </w:r>
    </w:p>
    <w:p>
      <w:pPr>
        <w:pStyle w:val="52"/>
      </w:pPr>
      <w:bookmarkStart w:id="10" w:name="_Toc7879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0"/>
      <w:r>
        <w:t xml:space="preserve"> </w:t>
      </w:r>
    </w:p>
    <w:p>
      <w:pPr>
        <w:pStyle w:val="44"/>
        <w:ind w:left="0" w:leftChars="0" w:firstLine="560" w:firstLineChars="200"/>
        <w:rPr>
          <w:rFonts w:hint="eastAsia"/>
        </w:rPr>
      </w:pPr>
      <w:r>
        <w:rPr>
          <w:rFonts w:hint="eastAsia"/>
        </w:rPr>
        <w:t>1.了解项目主要内容，具体做什么事项，何时做；</w:t>
      </w:r>
    </w:p>
    <w:p>
      <w:pPr>
        <w:pStyle w:val="44"/>
        <w:ind w:left="0" w:leftChars="0" w:firstLine="560" w:firstLineChars="200"/>
        <w:rPr>
          <w:rFonts w:hint="eastAsia"/>
        </w:rPr>
      </w:pPr>
      <w:r>
        <w:rPr>
          <w:rFonts w:hint="eastAsia"/>
        </w:rPr>
        <w:t>2.了解项目牵涉几方面人，如项目采购是否需要招标，是否通过政府采购平台，何时设立标书；</w:t>
      </w:r>
    </w:p>
    <w:p>
      <w:pPr>
        <w:pStyle w:val="44"/>
        <w:ind w:left="0" w:leftChars="0" w:firstLine="560" w:firstLineChars="200"/>
      </w:pPr>
      <w:r>
        <w:rPr>
          <w:rFonts w:hint="eastAsia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1" w:name="_Toc5436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1"/>
    </w:p>
    <w:p>
      <w:pPr>
        <w:pStyle w:val="44"/>
      </w:pPr>
      <w:r>
        <w:rPr>
          <w:rFonts w:hint="eastAsia"/>
          <w:lang w:val="en-US" w:eastAsia="zh-CN"/>
        </w:rPr>
        <w:t>项目存在</w:t>
      </w:r>
      <w:r>
        <w:rPr>
          <w:rFonts w:hint="eastAsia"/>
        </w:rPr>
        <w:t>指标设置不健全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不合理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使得项目指标</w:t>
      </w:r>
      <w:r>
        <w:rPr>
          <w:rFonts w:hint="eastAsia"/>
        </w:rPr>
        <w:t>未能全面反应项目全部内容。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2" w:name="_Toc2306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2"/>
    </w:p>
    <w:p>
      <w:pPr>
        <w:pStyle w:val="44"/>
        <w:ind w:left="0" w:leftChars="0" w:firstLine="560" w:firstLineChars="200"/>
        <w:rPr>
          <w:rFonts w:hint="eastAsia"/>
        </w:rPr>
      </w:pPr>
      <w:r>
        <w:rPr>
          <w:rFonts w:hint="eastAsia"/>
        </w:rPr>
        <w:t>1.加强项目指标设置，提高项目绩效管理认知度</w:t>
      </w:r>
    </w:p>
    <w:p>
      <w:pPr>
        <w:pStyle w:val="44"/>
        <w:ind w:left="0" w:leftChars="0" w:firstLine="560" w:firstLineChars="200"/>
      </w:pPr>
      <w:r>
        <w:rPr>
          <w:rFonts w:hint="eastAsia"/>
        </w:rPr>
        <w:t>2.建立项目绩效评价体系，加强结果的应用：在编制项目预算绩效目标时，参考绩效目标范本和案例，编制的项目目标要可考核、可量化。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386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3"/>
    </w:p>
    <w:p>
      <w:pPr>
        <w:ind w:firstLine="560"/>
      </w:pPr>
    </w:p>
    <w:tbl>
      <w:tblPr>
        <w:tblStyle w:val="24"/>
        <w:tblW w:w="13272" w:type="dxa"/>
        <w:tblInd w:w="2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872"/>
        <w:gridCol w:w="1992"/>
        <w:gridCol w:w="708"/>
        <w:gridCol w:w="960"/>
        <w:gridCol w:w="1296"/>
        <w:gridCol w:w="1200"/>
        <w:gridCol w:w="1212"/>
        <w:gridCol w:w="2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99.56%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99.56%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9.96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剩余资金4.5元收回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=44人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44人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结核病人治疗和监测情况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结核病人的治疗和监测时效情况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结核病人治疗和监测成本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=800元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796.5元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99.56%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14.93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剩余资金4.5元收回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推进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结核病人的治疗和监测满意度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&gt;=98%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72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hint="eastAsia" w:ascii="仿宋" w:hAnsi="仿宋" w:eastAsia="仿宋" w:cs="仿宋"/>
          <w:b/>
          <w:bCs w:val="0"/>
        </w:rPr>
      </w:pPr>
      <w:bookmarkStart w:id="14" w:name="_Toc5449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4"/>
    </w:p>
    <w:p>
      <w:pPr>
        <w:pStyle w:val="44"/>
      </w:pPr>
    </w:p>
    <w:tbl>
      <w:tblPr>
        <w:tblStyle w:val="24"/>
        <w:tblW w:w="89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3" w:hRule="atLeast"/>
          <w:jc w:val="center"/>
        </w:trPr>
        <w:tc>
          <w:tcPr>
            <w:tcW w:w="8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abstractNum w:abstractNumId="1">
    <w:nsid w:val="1D49D934"/>
    <w:multiLevelType w:val="singleLevel"/>
    <w:tmpl w:val="1D49D9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FF41572"/>
    <w:rsid w:val="2FF4178C"/>
    <w:rsid w:val="37E030CA"/>
    <w:rsid w:val="3ED423E0"/>
    <w:rsid w:val="4B7B67C1"/>
    <w:rsid w:val="4D341BC9"/>
    <w:rsid w:val="52A06996"/>
    <w:rsid w:val="54601E51"/>
    <w:rsid w:val="62E2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2022-03-25T03:03:47Z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DD1E0F9DBB48435194D9441F185FC4F0</vt:lpwstr>
  </property>
</Properties>
</file>