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304DC6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 w:rsidRPr="00304DC6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730625" cy="6311940"/>
            <wp:effectExtent l="0" t="0" r="0" b="0"/>
            <wp:docPr id="1" name="图片 1" descr="G:\上传文件\d89b73e24745df79967f35e9f1bdd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d89b73e24745df79967f35e9f1bdd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92" cy="6316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5A2B">
        <w:rPr>
          <w:rFonts w:ascii="仿宋_GB2312" w:hAnsi="Times New Roman" w:cs="Times New Roman"/>
          <w:kern w:val="0"/>
          <w:sz w:val="32"/>
          <w:szCs w:val="32"/>
        </w:rPr>
        <w:br w:type="page"/>
      </w:r>
      <w:r w:rsidR="00B85A2B">
        <w:rPr>
          <w:szCs w:val="44"/>
        </w:rPr>
        <w:fldChar w:fldCharType="begin"/>
      </w:r>
      <w:r w:rsidR="00B85A2B">
        <w:rPr>
          <w:szCs w:val="44"/>
        </w:rPr>
        <w:instrText xml:space="preserve"> TOC \o "1-4" \f </w:instrText>
      </w:r>
      <w:r w:rsidR="00B85A2B"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 w:rsidP="00304DC6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 w:rsidP="00304DC6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清理岩石、砌筑挡墙、回填砂砾垫层、摊铺水稳、摊铺沥青路面、恢复护栏。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DC2EE5" w:rsidRPr="00DC2EE5">
        <w:rPr>
          <w:rFonts w:hint="eastAsia"/>
          <w:b/>
          <w:bCs/>
        </w:rPr>
        <w:t>该项目的实施缓解了县城主街道交通压力及保障市民出行安全。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8</w:t>
      </w:r>
      <w:r>
        <w:t>月</w:t>
      </w:r>
      <w:r>
        <w:t>10</w:t>
      </w:r>
      <w:r>
        <w:t>日至</w:t>
      </w:r>
      <w:r>
        <w:t>8</w:t>
      </w:r>
      <w:r>
        <w:t>月</w:t>
      </w:r>
      <w:r>
        <w:t>30</w:t>
      </w:r>
      <w:r>
        <w:t>日抢修完工</w:t>
      </w:r>
    </w:p>
    <w:p w:rsidR="00B85A2B" w:rsidRPr="00304DC6" w:rsidRDefault="00B85A2B" w:rsidP="00304DC6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7601A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601A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601A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601A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105.7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7601A2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601A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601A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601A2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01A2" w:rsidRDefault="00486BF9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304DC6">
      <w:pPr>
        <w:pStyle w:val="-"/>
        <w:ind w:left="280" w:firstLine="560"/>
        <w:rPr>
          <w:rFonts w:hint="eastAsia"/>
        </w:rPr>
      </w:pPr>
      <w:r>
        <w:t>为了缓解县城主街道交通压力及保障市民出行安全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304DC6">
      <w:pPr>
        <w:pStyle w:val="-"/>
        <w:ind w:left="280" w:firstLine="560"/>
        <w:rPr>
          <w:rFonts w:hint="eastAsia"/>
        </w:rPr>
      </w:pPr>
      <w:r>
        <w:t>为了缓解县城主街道交通压力及保障市民出行安全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外环加油站周边道路维修资金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94.15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601A2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304DC6" w:rsidRDefault="00B85A2B" w:rsidP="00304DC6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摊铺沥青路面（平方米）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摊铺水稳（平方米）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20厘米干压级配砂砾（平方米）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851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851平方米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挖方、填方（m3）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836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836m3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所需资金（万元）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105.7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105.7万元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Default="00B85A2B" w:rsidP="00304DC6">
      <w:pPr>
        <w:pStyle w:val="-0"/>
        <w:ind w:leftChars="0" w:left="0"/>
      </w:pPr>
      <w:bookmarkStart w:id="7" w:name="_Toc61505644"/>
      <w:r>
        <w:rPr>
          <w:rFonts w:hint="eastAsia"/>
        </w:rPr>
        <w:lastRenderedPageBreak/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缓解县城主街道交通压力及保障市民出行安全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缓解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建立健全长效发展机制建设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304DC6" w:rsidRDefault="00B85A2B" w:rsidP="00304DC6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601A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304DC6" w:rsidRDefault="00B85A2B" w:rsidP="00304DC6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Pr="00304DC6" w:rsidRDefault="00B85A2B" w:rsidP="00304DC6">
      <w:pPr>
        <w:pStyle w:val="-"/>
        <w:numPr>
          <w:ilvl w:val="0"/>
          <w:numId w:val="8"/>
        </w:numPr>
        <w:ind w:leftChars="250" w:left="1125" w:firstLineChars="0"/>
        <w:rPr>
          <w:rFonts w:ascii="仿宋_GB2312" w:hint="eastAsia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DC2EE5" w:rsidP="00A52539">
      <w:pPr>
        <w:pStyle w:val="-"/>
        <w:ind w:leftChars="250" w:left="700" w:firstLineChars="0" w:firstLine="0"/>
        <w:rPr>
          <w:rFonts w:ascii="仿宋_GB2312"/>
          <w:bCs/>
        </w:rPr>
      </w:pPr>
      <w:r w:rsidRPr="00DC2EE5">
        <w:rPr>
          <w:rFonts w:ascii="仿宋_GB2312" w:hint="eastAsia"/>
          <w:bCs/>
        </w:rPr>
        <w:t>外环加油站周边道路维修预算资金105.7万元，预算执行项目资金105.7万元，预算到位率100%，预算执行率100%。目前该项目已完工。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lastRenderedPageBreak/>
        <w:t>产出情况及分析</w:t>
      </w:r>
    </w:p>
    <w:p w:rsidR="00B85A2B" w:rsidRDefault="00DC2EE5" w:rsidP="00304DC6">
      <w:pPr>
        <w:pStyle w:val="-"/>
        <w:ind w:leftChars="250" w:left="700" w:firstLineChars="0" w:firstLine="0"/>
        <w:rPr>
          <w:rFonts w:ascii="仿宋_GB2312"/>
          <w:bCs/>
        </w:rPr>
      </w:pPr>
      <w:r w:rsidRPr="00DC2EE5">
        <w:rPr>
          <w:rFonts w:hint="eastAsia"/>
        </w:rPr>
        <w:t>按照道路维修施工要求保质保量及时完成</w:t>
      </w:r>
      <w:r w:rsidRPr="00DC2EE5">
        <w:rPr>
          <w:rFonts w:ascii="仿宋_GB2312" w:hint="eastAsia"/>
          <w:bCs/>
        </w:rPr>
        <w:t>外环加油站周边道路</w:t>
      </w:r>
      <w:r>
        <w:t>清理岩石、砌筑挡墙、回填砂砾垫层、摊铺水稳、摊铺沥青路面、恢复护栏</w:t>
      </w:r>
      <w:r>
        <w:rPr>
          <w:rFonts w:hint="eastAsia"/>
        </w:rPr>
        <w:t>，</w:t>
      </w:r>
      <w:r w:rsidRPr="00DC2EE5">
        <w:rPr>
          <w:rFonts w:ascii="仿宋_GB2312" w:hint="eastAsia"/>
          <w:bCs/>
        </w:rPr>
        <w:t>目前该项目已完工。</w:t>
      </w:r>
      <w:r>
        <w:rPr>
          <w:rFonts w:ascii="仿宋_GB2312" w:hint="eastAsia"/>
          <w:bCs/>
        </w:rPr>
        <w:t xml:space="preserve"> 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DC2EE5" w:rsidP="00304DC6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DC2EE5">
        <w:rPr>
          <w:rFonts w:ascii="仿宋_GB2312" w:hint="eastAsia"/>
          <w:bCs/>
        </w:rPr>
        <w:t>该项目的实施缓解了县城主街道交通压力及保障市民出行安全。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B85A2B" w:rsidRDefault="00DC2EE5" w:rsidP="00843FC2">
      <w:pPr>
        <w:pStyle w:val="-"/>
        <w:ind w:leftChars="354" w:left="991" w:firstLineChars="0" w:firstLine="569"/>
        <w:rPr>
          <w:rFonts w:ascii="仿宋_GB2312"/>
          <w:bCs/>
        </w:rPr>
      </w:pPr>
      <w:r>
        <w:rPr>
          <w:rFonts w:ascii="仿宋" w:eastAsia="仿宋" w:hAnsi="DengXian" w:cs="仿宋"/>
          <w:color w:val="000000"/>
          <w:sz w:val="24"/>
          <w:szCs w:val="24"/>
          <w:highlight w:val="white"/>
        </w:rPr>
        <w:t>社会公众满意度</w:t>
      </w:r>
      <w:r>
        <w:rPr>
          <w:rFonts w:ascii="仿宋" w:eastAsia="仿宋" w:hAnsi="DengXian" w:cs="仿宋" w:hint="eastAsia"/>
          <w:color w:val="000000"/>
          <w:sz w:val="24"/>
          <w:szCs w:val="24"/>
        </w:rPr>
        <w:t>95%.</w:t>
      </w:r>
    </w:p>
    <w:p w:rsidR="00B85A2B" w:rsidRDefault="00B85A2B" w:rsidP="00E56E53">
      <w:pPr>
        <w:pStyle w:val="-3"/>
      </w:pPr>
      <w:bookmarkStart w:id="12" w:name="_Toc61505647"/>
      <w:r w:rsidRPr="00027C90">
        <w:rPr>
          <w:rFonts w:ascii="仿宋" w:eastAsia="仿宋" w:hAnsi="仿宋" w:cs="仿宋" w:hint="eastAsia"/>
          <w:b/>
          <w:bCs w:val="0"/>
        </w:rPr>
        <w:t>四、项目主要经验做法</w:t>
      </w:r>
      <w:bookmarkEnd w:id="12"/>
      <w:r>
        <w:t xml:space="preserve"> </w:t>
      </w:r>
    </w:p>
    <w:p w:rsidR="00B85A2B" w:rsidRDefault="00DC2EE5" w:rsidP="00843FC2">
      <w:pPr>
        <w:pStyle w:val="-"/>
        <w:ind w:firstLineChars="300" w:firstLine="840"/>
      </w:pPr>
      <w:r w:rsidRPr="00DC2EE5">
        <w:rPr>
          <w:rFonts w:hint="eastAsia"/>
        </w:rPr>
        <w:t>严格规范实施过程中的管理，做到事前有计划、事中有监督、事后有问效，对质量严格把关。该项目的实施缓解了县城主街道交通压力及保障市民出行安全。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DC2EE5" w:rsidP="00843FC2">
      <w:pPr>
        <w:pStyle w:val="-"/>
        <w:ind w:firstLineChars="300" w:firstLine="840"/>
      </w:pPr>
      <w:r w:rsidRPr="00DC2EE5">
        <w:rPr>
          <w:rFonts w:hint="eastAsia"/>
        </w:rPr>
        <w:t>在实施过程中规范管理，做到事前有计划、事中有监督、事后有问效，对质量严格把关，加强监管力度</w:t>
      </w:r>
    </w:p>
    <w:p w:rsidR="00B85A2B" w:rsidRPr="00304DC6" w:rsidRDefault="00B85A2B" w:rsidP="00304DC6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Default="00DC2EE5" w:rsidP="00B535AB">
      <w:pPr>
        <w:pStyle w:val="-"/>
        <w:ind w:firstLine="560"/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 w:rsidRPr="00DC2EE5">
        <w:rPr>
          <w:rFonts w:hint="eastAsia"/>
        </w:rPr>
        <w:t>1</w:t>
      </w:r>
      <w:r w:rsidRPr="00DC2EE5">
        <w:rPr>
          <w:rFonts w:hint="eastAsia"/>
        </w:rPr>
        <w:t>、建议加强监管力度，规范实施过程中的管理，做到事前有计划、事中有监督、事后有问效，对质量严格把关。、进一步建立健全长效发展机制建设，缓解了县城主街道交通压力及保障市民出行安全。</w:t>
      </w:r>
    </w:p>
    <w:p w:rsidR="00B85A2B" w:rsidRPr="00304DC6" w:rsidRDefault="00B85A2B" w:rsidP="00304DC6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Start w:id="16" w:name="_GoBack"/>
      <w:bookmarkEnd w:id="15"/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7601A2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摊铺水稳（平方米）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摊铺沥青路面（平方米）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777平方米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20厘米干压级配砂砾（平方米）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851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851平方米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挖方、填方（m3）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836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836m3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工程完工及时率（%）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所需资金（万元）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105.7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105.7万元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601A2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lastRenderedPageBreak/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缓解县城主街道交通压力及保障市民出行安全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缓解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缓解县城主街道交通压力及保障市民出行</w:t>
            </w:r>
          </w:p>
        </w:tc>
      </w:tr>
      <w:tr w:rsidR="007601A2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建立健全长效发展机制建设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7601A2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社会公众满意度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486BF9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601A2" w:rsidRDefault="007601A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D80" w:rsidRDefault="00450D80" w:rsidP="00E56E53">
      <w:pPr>
        <w:ind w:firstLine="560"/>
      </w:pPr>
      <w:r>
        <w:separator/>
      </w:r>
    </w:p>
  </w:endnote>
  <w:endnote w:type="continuationSeparator" w:id="0">
    <w:p w:rsidR="00450D80" w:rsidRDefault="00450D80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486BF9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304DC6" w:rsidRPr="00304DC6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D80" w:rsidRDefault="00450D80" w:rsidP="00E56E53">
      <w:pPr>
        <w:ind w:firstLine="560"/>
      </w:pPr>
      <w:r>
        <w:separator/>
      </w:r>
    </w:p>
  </w:footnote>
  <w:footnote w:type="continuationSeparator" w:id="0">
    <w:p w:rsidR="00450D80" w:rsidRDefault="00450D80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566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04DC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0D80"/>
    <w:rsid w:val="00452CC6"/>
    <w:rsid w:val="004550E0"/>
    <w:rsid w:val="004551B8"/>
    <w:rsid w:val="00455292"/>
    <w:rsid w:val="00480C40"/>
    <w:rsid w:val="00486BF9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601A2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0641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DC2EE5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65E94"/>
  <w15:docId w15:val="{3F00B609-443C-45DA-885C-AF20CE80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435</Words>
  <Characters>2480</Characters>
  <Application>Microsoft Office Word</Application>
  <DocSecurity>0</DocSecurity>
  <Lines>20</Lines>
  <Paragraphs>5</Paragraphs>
  <ScaleCrop>false</ScaleCrop>
  <Company/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2022-04-12T09:27:00Z</dcterms:created>
  <dcterms:modified xsi:type="dcterms:W3CDTF">2022-04-13T01:31:00Z</dcterms:modified>
</cp:coreProperties>
</file>