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D14361" w:rsidP="006570A5">
      <w:pPr>
        <w:tabs>
          <w:tab w:val="left" w:pos="620"/>
        </w:tabs>
        <w:ind w:firstLineChars="0" w:firstLine="0"/>
        <w:rPr>
          <w:szCs w:val="44"/>
        </w:rPr>
      </w:pPr>
      <w:r w:rsidRPr="00D14361">
        <w:rPr>
          <w:noProof/>
          <w:szCs w:val="44"/>
        </w:rPr>
        <w:drawing>
          <wp:inline distT="0" distB="0" distL="0" distR="0">
            <wp:extent cx="5060736" cy="6752398"/>
            <wp:effectExtent l="0" t="0" r="6985" b="0"/>
            <wp:docPr id="2" name="图片 2" descr="G:\上传文件\d3a289aefc06037c37ea955bdf444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上传文件\d3a289aefc06037c37ea955bdf4446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2705" cy="6755025"/>
                    </a:xfrm>
                    <a:prstGeom prst="rect">
                      <a:avLst/>
                    </a:prstGeom>
                    <a:noFill/>
                    <a:ln>
                      <a:noFill/>
                    </a:ln>
                  </pic:spPr>
                </pic:pic>
              </a:graphicData>
            </a:graphic>
          </wp:inline>
        </w:drawing>
      </w:r>
      <w:r w:rsidR="00B85A2B">
        <w:rPr>
          <w:szCs w:val="44"/>
        </w:rPr>
        <w:tab/>
      </w:r>
    </w:p>
    <w:p w:rsidR="00D14361" w:rsidRDefault="00D14361" w:rsidP="00D14361">
      <w:pPr>
        <w:pStyle w:val="11"/>
        <w:tabs>
          <w:tab w:val="right" w:leader="dot" w:pos="8296"/>
        </w:tabs>
        <w:ind w:firstLineChars="137" w:firstLine="440"/>
        <w:rPr>
          <w:noProof/>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1</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1</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2</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2</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3</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3</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4</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4</w:t>
      </w:r>
      <w:r>
        <w:rPr>
          <w:noProof/>
        </w:rPr>
        <w:fldChar w:fldCharType="end"/>
      </w:r>
    </w:p>
    <w:p w:rsidR="00D14361" w:rsidRDefault="00D14361" w:rsidP="00D14361">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6</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8</w:t>
      </w:r>
      <w:r>
        <w:rPr>
          <w:noProof/>
        </w:rPr>
        <w:fldChar w:fldCharType="end"/>
      </w:r>
    </w:p>
    <w:p w:rsidR="00D14361" w:rsidRDefault="00D14361" w:rsidP="00D14361">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10</w:t>
      </w:r>
      <w:r>
        <w:rPr>
          <w:noProof/>
        </w:rPr>
        <w:fldChar w:fldCharType="end"/>
      </w:r>
    </w:p>
    <w:p w:rsidR="00B85A2B" w:rsidRDefault="00D14361" w:rsidP="00D14361">
      <w:pPr>
        <w:ind w:firstLine="560"/>
        <w:rPr>
          <w:szCs w:val="44"/>
        </w:rPr>
      </w:pPr>
      <w:r>
        <w:rPr>
          <w:szCs w:val="44"/>
        </w:rPr>
        <w:fldChar w:fldCharType="end"/>
      </w: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大宁县新昕污水处理厂，处理山体泥石流淤泥</w:t>
      </w:r>
      <w:r>
        <w:t>2300</w:t>
      </w:r>
      <w:r>
        <w:t>立方。</w:t>
      </w:r>
    </w:p>
    <w:p w:rsidR="00B85A2B" w:rsidRPr="00996005" w:rsidRDefault="00B85A2B" w:rsidP="00A52539">
      <w:pPr>
        <w:pStyle w:val="-"/>
        <w:ind w:left="280" w:firstLine="562"/>
      </w:pPr>
      <w:r>
        <w:rPr>
          <w:rFonts w:hint="eastAsia"/>
          <w:b/>
          <w:bCs/>
        </w:rPr>
        <w:t>立项依据：</w:t>
      </w:r>
      <w:r>
        <w:t>资金申请报告大住建字【</w:t>
      </w:r>
      <w:r>
        <w:t>2021</w:t>
      </w:r>
      <w:r>
        <w:t>】</w:t>
      </w:r>
      <w:r>
        <w:t>313</w:t>
      </w:r>
      <w:r>
        <w:t>号</w:t>
      </w:r>
    </w:p>
    <w:p w:rsidR="00B85A2B" w:rsidRPr="00D14361" w:rsidRDefault="00B85A2B" w:rsidP="00A52539">
      <w:pPr>
        <w:pStyle w:val="-"/>
        <w:ind w:left="280" w:firstLine="562"/>
      </w:pPr>
      <w:r>
        <w:rPr>
          <w:rFonts w:hint="eastAsia"/>
          <w:b/>
          <w:bCs/>
        </w:rPr>
        <w:t>设立的必要性：</w:t>
      </w:r>
      <w:r w:rsidR="00D14361" w:rsidRPr="00D14361">
        <w:rPr>
          <w:rFonts w:hint="eastAsia"/>
          <w:bCs/>
        </w:rPr>
        <w:t>为了解决大宁县新昕污水处理厂灾后重建资金来源，改善企业运行情况，提高</w:t>
      </w:r>
      <w:r w:rsidR="00460E79" w:rsidRPr="00D14361">
        <w:rPr>
          <w:rFonts w:hint="eastAsia"/>
          <w:bCs/>
        </w:rPr>
        <w:t>职工工作环境和工作效率。保障灾后市民正常的生产生活。</w:t>
      </w:r>
    </w:p>
    <w:p w:rsidR="00B85A2B" w:rsidRPr="00996005" w:rsidRDefault="00B85A2B" w:rsidP="00A52539">
      <w:pPr>
        <w:pStyle w:val="-"/>
        <w:ind w:left="280" w:firstLine="562"/>
      </w:pPr>
      <w:r>
        <w:rPr>
          <w:rFonts w:hint="eastAsia"/>
          <w:b/>
          <w:bCs/>
        </w:rPr>
        <w:t>保证项目实施的措施与制度：</w:t>
      </w:r>
      <w:r>
        <w:t>大宁县住房和城乡建设管理局制度、办法</w:t>
      </w:r>
    </w:p>
    <w:p w:rsidR="00B85A2B" w:rsidRPr="00996005" w:rsidRDefault="00B85A2B" w:rsidP="00A52539">
      <w:pPr>
        <w:pStyle w:val="-"/>
        <w:ind w:left="280" w:firstLine="562"/>
      </w:pPr>
      <w:r>
        <w:rPr>
          <w:rFonts w:hint="eastAsia"/>
          <w:b/>
          <w:bCs/>
        </w:rPr>
        <w:t>项目实施计划：</w:t>
      </w:r>
      <w:r>
        <w:t>大宁县新昕污水处理厂申请后</w:t>
      </w:r>
      <w:r>
        <w:t>7</w:t>
      </w:r>
      <w:r>
        <w:t>日内支付</w:t>
      </w:r>
    </w:p>
    <w:p w:rsidR="00B85A2B" w:rsidRPr="00D14361" w:rsidRDefault="00B85A2B" w:rsidP="00D14361">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9</w:t>
            </w:r>
          </w:p>
        </w:tc>
        <w:tc>
          <w:tcPr>
            <w:tcW w:w="2410"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E77442" w:rsidRDefault="00E77442">
            <w:pPr>
              <w:ind w:firstLineChars="0" w:firstLine="0"/>
              <w:jc w:val="center"/>
              <w:rPr>
                <w:sz w:val="21"/>
              </w:rPr>
            </w:pP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lastRenderedPageBreak/>
              <w:t>预算到位率</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r>
      <w:tr w:rsidR="00E77442">
        <w:trPr>
          <w:trHeight w:val="466"/>
        </w:trPr>
        <w:tc>
          <w:tcPr>
            <w:tcW w:w="1559"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E77442" w:rsidRDefault="008C0A81">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E77442" w:rsidRDefault="008C0A81">
            <w:pPr>
              <w:ind w:firstLineChars="0" w:firstLine="0"/>
              <w:jc w:val="center"/>
              <w:rPr>
                <w:sz w:val="21"/>
              </w:rPr>
            </w:pPr>
            <w:r>
              <w:rPr>
                <w:sz w:val="21"/>
              </w:rPr>
              <w:t>0</w:t>
            </w: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D14361">
      <w:pPr>
        <w:pStyle w:val="-"/>
        <w:ind w:left="280" w:firstLine="560"/>
        <w:rPr>
          <w:rFonts w:hint="eastAsia"/>
        </w:rPr>
      </w:pPr>
      <w:r>
        <w:t>保障厂区正常运转，改善了昕水河水质，完善了城市生态循环系统，优化了城市景观环境。</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D14361">
      <w:pPr>
        <w:pStyle w:val="-"/>
        <w:ind w:left="280" w:firstLine="560"/>
        <w:rPr>
          <w:rFonts w:hint="eastAsia"/>
        </w:rPr>
      </w:pPr>
      <w:r>
        <w:t>保障厂区正常运转，改善了昕水河水质，完善了城市生态循环系统，优化了城市景观环境。</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大宁县新昕污水处理厂灾后重建资金</w:t>
      </w:r>
      <w:r w:rsidRPr="00DC184E">
        <w:rPr>
          <w:rFonts w:hint="eastAsia"/>
        </w:rPr>
        <w:t>项</w:t>
      </w:r>
      <w:r>
        <w:rPr>
          <w:rFonts w:hint="eastAsia"/>
        </w:rPr>
        <w:t>目绩效自评价结果为</w:t>
      </w:r>
      <w:r>
        <w:t>:</w:t>
      </w:r>
      <w:r>
        <w:rPr>
          <w:rFonts w:hint="eastAsia"/>
        </w:rPr>
        <w:t>总得分</w:t>
      </w:r>
      <w:r w:rsidRPr="003A5DD6">
        <w:t>94.15</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7442">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Default="00B85A2B" w:rsidP="00E56E53">
      <w:pPr>
        <w:ind w:firstLineChars="0" w:firstLine="0"/>
        <w:rPr>
          <w:szCs w:val="44"/>
        </w:rPr>
      </w:pPr>
    </w:p>
    <w:p w:rsidR="00B85A2B" w:rsidRPr="00D14361" w:rsidRDefault="00B85A2B" w:rsidP="00D14361">
      <w:pPr>
        <w:widowControl/>
        <w:ind w:firstLineChars="0" w:firstLine="0"/>
        <w:jc w:val="left"/>
        <w:rPr>
          <w:szCs w:val="44"/>
        </w:rPr>
      </w:pPr>
      <w:bookmarkStart w:id="6" w:name="_Toc61505643"/>
      <w:r>
        <w:rPr>
          <w:rFonts w:hint="eastAsia"/>
        </w:rPr>
        <w:lastRenderedPageBreak/>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7442">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补贴企业个数（个）</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7442">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清理泥石流（m3）</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2300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2300m3</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补贴企业合格率（%）</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不提企业及时率（%）</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D14361">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保障厂区正常运转</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可持续影响指标</w:t>
            </w:r>
          </w:p>
        </w:tc>
        <w:tc>
          <w:tcPr>
            <w:tcW w:w="1594"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r>
    </w:tbl>
    <w:p w:rsidR="00B85A2B" w:rsidRPr="00D14361" w:rsidRDefault="00B85A2B" w:rsidP="00D14361">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E7744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补贴企业满意度（%）</w:t>
            </w:r>
          </w:p>
        </w:tc>
        <w:tc>
          <w:tcPr>
            <w:tcW w:w="1381" w:type="dxa"/>
            <w:tcBorders>
              <w:top w:val="single" w:sz="4" w:space="0" w:color="000000"/>
              <w:left w:val="nil"/>
              <w:bottom w:val="single" w:sz="4" w:space="0" w:color="000000"/>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81"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D14361" w:rsidRDefault="00B85A2B" w:rsidP="00D14361">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460E79" w:rsidP="00D14361">
      <w:pPr>
        <w:pStyle w:val="-"/>
        <w:ind w:leftChars="405" w:left="1134" w:firstLineChars="0" w:firstLine="426"/>
        <w:rPr>
          <w:rFonts w:ascii="仿宋_GB2312" w:hint="eastAsia"/>
          <w:bCs/>
        </w:rPr>
      </w:pPr>
      <w:r w:rsidRPr="00460E79">
        <w:rPr>
          <w:rFonts w:ascii="仿宋_GB2312" w:hint="eastAsia"/>
          <w:bCs/>
        </w:rPr>
        <w:t>大宁县新昕污水处理厂灾后重建资金预算到位9万元，预算执行9万元，预算到位率100%，预算执行率100%</w:t>
      </w:r>
      <w:r>
        <w:rPr>
          <w:rFonts w:ascii="仿宋_GB2312" w:hint="eastAsia"/>
          <w:bCs/>
        </w:rPr>
        <w:t>，保障了</w:t>
      </w:r>
      <w:r>
        <w:rPr>
          <w:rFonts w:ascii="仿宋_GB2312"/>
          <w:bCs/>
        </w:rPr>
        <w:t>企业正常运转。</w:t>
      </w:r>
      <w:r>
        <w:rPr>
          <w:rFonts w:ascii="仿宋_GB2312" w:hint="eastAsia"/>
          <w:bCs/>
        </w:rPr>
        <w:t xml:space="preserve"> </w:t>
      </w:r>
    </w:p>
    <w:p w:rsidR="00B85A2B" w:rsidRPr="00D14361" w:rsidRDefault="00B85A2B" w:rsidP="00D14361">
      <w:pPr>
        <w:pStyle w:val="-"/>
        <w:numPr>
          <w:ilvl w:val="0"/>
          <w:numId w:val="8"/>
        </w:numPr>
        <w:ind w:leftChars="250" w:left="1125" w:firstLineChars="0"/>
        <w:rPr>
          <w:rFonts w:ascii="仿宋_GB2312" w:hint="eastAsia"/>
          <w:b/>
        </w:rPr>
      </w:pPr>
      <w:r>
        <w:rPr>
          <w:rFonts w:ascii="仿宋_GB2312" w:hint="eastAsia"/>
          <w:b/>
        </w:rPr>
        <w:t>产出情况及分析</w:t>
      </w:r>
    </w:p>
    <w:p w:rsidR="00B85A2B" w:rsidRDefault="00460E79" w:rsidP="00D14361">
      <w:pPr>
        <w:pStyle w:val="-"/>
        <w:ind w:leftChars="405" w:left="1134" w:firstLine="560"/>
        <w:rPr>
          <w:rFonts w:ascii="仿宋_GB2312"/>
          <w:bCs/>
        </w:rPr>
      </w:pPr>
      <w:r w:rsidRPr="00460E79">
        <w:rPr>
          <w:rFonts w:ascii="仿宋_GB2312" w:hint="eastAsia"/>
          <w:bCs/>
        </w:rPr>
        <w:t>严格按照住建局财务制度、预算管理制度有条不紊的支付供水公司灾后重建资金经费支出，供水公司合理规范使用该资金，切实解决企业运行经费紧张状况，提高职工工作环境和工作效率。</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460E79" w:rsidP="00D14361">
      <w:pPr>
        <w:pStyle w:val="-"/>
        <w:ind w:left="425" w:firstLineChars="0" w:firstLine="0"/>
        <w:rPr>
          <w:rFonts w:ascii="仿宋_GB2312" w:hint="eastAsia"/>
          <w:bCs/>
        </w:rPr>
      </w:pPr>
      <w:r w:rsidRPr="00460E79">
        <w:rPr>
          <w:rFonts w:ascii="仿宋_GB2312" w:hint="eastAsia"/>
          <w:bCs/>
        </w:rPr>
        <w:t>该项目的实施解决了大宁县新昕污水处理厂灾后重建资金来源，改善了企业运行情况，提高了大宁县新昕污水</w:t>
      </w:r>
      <w:r w:rsidRPr="00460E79">
        <w:rPr>
          <w:rFonts w:ascii="仿宋_GB2312" w:hint="eastAsia"/>
          <w:bCs/>
        </w:rPr>
        <w:lastRenderedPageBreak/>
        <w:t>处理厂工作环境和工作效率。</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D14361" w:rsidRDefault="00460E79" w:rsidP="00843FC2">
      <w:pPr>
        <w:pStyle w:val="-"/>
        <w:ind w:leftChars="354" w:left="991" w:firstLineChars="0" w:firstLine="569"/>
        <w:rPr>
          <w:rFonts w:ascii="仿宋_GB2312"/>
          <w:bCs/>
        </w:rPr>
      </w:pPr>
      <w:r w:rsidRPr="00D14361">
        <w:rPr>
          <w:rFonts w:ascii="仿宋" w:eastAsia="仿宋" w:hAnsi="DengXian" w:cs="仿宋"/>
          <w:color w:val="000000"/>
          <w:highlight w:val="white"/>
        </w:rPr>
        <w:t>补贴企业满意度</w:t>
      </w:r>
      <w:r w:rsidRPr="00D14361">
        <w:rPr>
          <w:rFonts w:ascii="仿宋" w:eastAsia="仿宋" w:hAnsi="DengXian" w:cs="仿宋" w:hint="eastAsia"/>
          <w:color w:val="000000"/>
          <w:highlight w:val="white"/>
        </w:rPr>
        <w:t>98</w:t>
      </w:r>
      <w:r w:rsidRPr="00D14361">
        <w:rPr>
          <w:rFonts w:ascii="仿宋" w:eastAsia="仿宋" w:hAnsi="DengXian" w:cs="仿宋"/>
          <w:color w:val="000000"/>
          <w:highlight w:val="white"/>
        </w:rPr>
        <w:t>（%）</w:t>
      </w:r>
      <w:r w:rsidRPr="00D14361">
        <w:rPr>
          <w:rFonts w:ascii="仿宋" w:eastAsia="仿宋" w:hAnsi="DengXian" w:cs="仿宋" w:hint="eastAsia"/>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460E79" w:rsidP="00843FC2">
      <w:pPr>
        <w:pStyle w:val="-"/>
        <w:ind w:firstLineChars="300" w:firstLine="840"/>
      </w:pPr>
      <w:r w:rsidRPr="00460E79">
        <w:rPr>
          <w:rFonts w:hint="eastAsia"/>
        </w:rPr>
        <w:t>依据住建局财务制度、预算管理制度有条不紊的支付大宁县新昕污水处理厂灾后重建资金支出，该项目的实施解决了大宁县新昕污水处理厂灾后重建资金来源，改善了企业运行情况，提高了职工工作环境和工作效率。保障灾后市民正常的生产生活。</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D14361" w:rsidRDefault="00460E79" w:rsidP="00D14361">
      <w:pPr>
        <w:pStyle w:val="-"/>
        <w:ind w:firstLineChars="300" w:firstLine="840"/>
      </w:pPr>
      <w:r w:rsidRPr="00460E79">
        <w:rPr>
          <w:rFonts w:hint="eastAsia"/>
        </w:rPr>
        <w:t>管理制度不健全，部分绩效指标设置不合理，未细化</w:t>
      </w:r>
      <w:r w:rsidRPr="00460E79">
        <w:rPr>
          <w:rFonts w:hint="eastAsia"/>
        </w:rPr>
        <w:t xml:space="preserve"> </w:t>
      </w:r>
      <w:r w:rsidRPr="00460E79">
        <w:rPr>
          <w:rFonts w:hint="eastAsia"/>
        </w:rPr>
        <w:t>、量化</w:t>
      </w:r>
      <w:r w:rsidRPr="00460E79">
        <w:rPr>
          <w:rFonts w:hint="eastAsia"/>
        </w:rPr>
        <w:t>,</w:t>
      </w:r>
      <w:r w:rsidRPr="00460E79">
        <w:rPr>
          <w:rFonts w:hint="eastAsia"/>
        </w:rPr>
        <w:t>未能全面反应全部内容。</w:t>
      </w:r>
      <w:bookmarkStart w:id="14" w:name="_Toc61505649"/>
    </w:p>
    <w:p w:rsidR="00D14361" w:rsidRDefault="00B85A2B" w:rsidP="00D14361">
      <w:pPr>
        <w:pStyle w:val="-"/>
        <w:ind w:firstLineChars="71"/>
        <w:rPr>
          <w:rFonts w:ascii="仿宋" w:eastAsia="仿宋" w:hAnsi="仿宋" w:cs="仿宋"/>
          <w:b/>
        </w:rPr>
      </w:pPr>
      <w:r>
        <w:rPr>
          <w:rFonts w:ascii="仿宋" w:eastAsia="仿宋" w:hAnsi="仿宋" w:cs="仿宋" w:hint="eastAsia"/>
          <w:b/>
        </w:rPr>
        <w:t>六</w:t>
      </w:r>
      <w:r w:rsidRPr="00027C90">
        <w:rPr>
          <w:rFonts w:ascii="仿宋" w:eastAsia="仿宋" w:hAnsi="仿宋" w:cs="仿宋" w:hint="eastAsia"/>
          <w:b/>
        </w:rPr>
        <w:t>、进一步加强项目管理</w:t>
      </w:r>
      <w:r>
        <w:rPr>
          <w:rFonts w:ascii="仿宋" w:eastAsia="仿宋" w:hAnsi="仿宋" w:cs="仿宋" w:hint="eastAsia"/>
          <w:b/>
        </w:rPr>
        <w:t>措施及</w:t>
      </w:r>
      <w:r w:rsidRPr="00027C90">
        <w:rPr>
          <w:rFonts w:ascii="仿宋" w:eastAsia="仿宋" w:hAnsi="仿宋" w:cs="仿宋" w:hint="eastAsia"/>
          <w:b/>
        </w:rPr>
        <w:t>建议</w:t>
      </w:r>
      <w:bookmarkStart w:id="15" w:name="_Toc61505650"/>
      <w:bookmarkEnd w:id="14"/>
    </w:p>
    <w:p w:rsidR="00D14361" w:rsidRPr="00D14361" w:rsidRDefault="00D14361" w:rsidP="00D14361">
      <w:pPr>
        <w:pStyle w:val="-"/>
        <w:ind w:firstLineChars="271" w:firstLine="759"/>
        <w:rPr>
          <w:rFonts w:hint="eastAsia"/>
        </w:rPr>
      </w:pPr>
      <w:bookmarkStart w:id="16" w:name="_GoBack"/>
      <w:bookmarkEnd w:id="16"/>
      <w:r w:rsidRPr="00D14361">
        <w:rPr>
          <w:rFonts w:hint="eastAsia"/>
        </w:rPr>
        <w:t>1</w:t>
      </w:r>
      <w:r w:rsidRPr="00D14361">
        <w:rPr>
          <w:rFonts w:hint="eastAsia"/>
        </w:rPr>
        <w:t>、建议严格按照住建局财务制度有条不紊的支付大宁县新昕污水处理厂灾后重建资金经费支出，切实解决企业运行经费紧张状况，提高职工工作环境和工作效率。</w:t>
      </w:r>
      <w:r w:rsidR="00460E79" w:rsidRPr="00460E79">
        <w:rPr>
          <w:rFonts w:hint="eastAsia"/>
        </w:rPr>
        <w:t>2</w:t>
      </w:r>
      <w:r w:rsidR="00460E79" w:rsidRPr="00460E79">
        <w:rPr>
          <w:rFonts w:hint="eastAsia"/>
        </w:rPr>
        <w:t>、进一步改善人居环境、生态环境。进一步建立健全长效发展机制建设，保障灾后市民正常的生产生活。</w:t>
      </w:r>
      <w:r w:rsidR="00460E79">
        <w:rPr>
          <w:rFonts w:hint="eastAsia"/>
        </w:rPr>
        <w:t xml:space="preserve">          </w:t>
      </w:r>
    </w:p>
    <w:p w:rsidR="00B85A2B" w:rsidRPr="00027C90" w:rsidRDefault="00B85A2B" w:rsidP="00E56E53">
      <w:pPr>
        <w:pStyle w:val="-3"/>
        <w:rPr>
          <w:rFonts w:ascii="仿宋" w:eastAsia="仿宋" w:hAnsi="仿宋" w:cs="仿宋"/>
          <w:b/>
          <w:bCs w:val="0"/>
        </w:rPr>
      </w:pPr>
      <w:r w:rsidRPr="00027C90">
        <w:rPr>
          <w:rFonts w:ascii="仿宋" w:eastAsia="仿宋" w:hAnsi="仿宋" w:cs="仿宋" w:hint="eastAsia"/>
          <w:b/>
          <w:bCs w:val="0"/>
        </w:rPr>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5"/>
    </w:p>
    <w:p w:rsidR="00B85A2B" w:rsidRDefault="00B85A2B" w:rsidP="00E56E53">
      <w:pPr>
        <w:ind w:firstLine="560"/>
      </w:pPr>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lastRenderedPageBreak/>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E77442">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补贴企业个数（个）</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1个</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清理泥石流（m3）</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2300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2300m3</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不提企业及时率（%）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成本节约率（%）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0%</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E77442">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保障厂区正常运转</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保障厂区正常运转</w:t>
            </w:r>
          </w:p>
        </w:tc>
      </w:tr>
      <w:tr w:rsidR="00E7744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建立健全长效发展机制建设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81%</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12.15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E77442">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补贴企业满意度（%）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98%</w:t>
            </w:r>
          </w:p>
        </w:tc>
        <w:tc>
          <w:tcPr>
            <w:tcW w:w="1328" w:type="dxa"/>
            <w:tcBorders>
              <w:top w:val="single" w:sz="4" w:space="0" w:color="auto"/>
              <w:left w:val="single" w:sz="4" w:space="0" w:color="auto"/>
              <w:bottom w:val="single" w:sz="4" w:space="0" w:color="auto"/>
              <w:right w:val="single" w:sz="4" w:space="0" w:color="auto"/>
            </w:tcBorders>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E77442" w:rsidRDefault="008C0A81">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E77442" w:rsidRDefault="00E7744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trHeight w:val="289"/>
        </w:trPr>
        <w:tc>
          <w:tcPr>
            <w:tcW w:w="1754" w:type="dxa"/>
            <w:tcBorders>
              <w:top w:val="single" w:sz="4" w:space="0" w:color="000000"/>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843" w:type="dxa"/>
            <w:tcBorders>
              <w:top w:val="single" w:sz="4" w:space="0" w:color="auto"/>
              <w:bottom w:val="single" w:sz="4" w:space="0" w:color="000000"/>
              <w:right w:val="nil"/>
            </w:tcBorders>
          </w:tcPr>
          <w:p w:rsidR="00B85A2B" w:rsidRDefault="00B85A2B" w:rsidP="005A080E">
            <w:pPr>
              <w:ind w:firstLine="440"/>
              <w:rPr>
                <w:rFonts w:ascii="仿宋_GB2312" w:hAnsi="Arial" w:cs="Arial"/>
                <w:sz w:val="22"/>
              </w:rPr>
            </w:pPr>
          </w:p>
        </w:tc>
        <w:tc>
          <w:tcPr>
            <w:tcW w:w="1819"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840"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18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487"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1328" w:type="dxa"/>
            <w:tcBorders>
              <w:top w:val="single" w:sz="4" w:space="0" w:color="auto"/>
              <w:left w:val="nil"/>
              <w:bottom w:val="single" w:sz="4" w:space="0" w:color="000000"/>
              <w:right w:val="nil"/>
            </w:tcBorders>
          </w:tcPr>
          <w:p w:rsidR="00B85A2B" w:rsidRDefault="00B85A2B" w:rsidP="005A080E">
            <w:pPr>
              <w:ind w:firstLine="440"/>
              <w:rPr>
                <w:rFonts w:ascii="仿宋_GB2312" w:hAnsi="Arial" w:cs="Arial"/>
                <w:sz w:val="22"/>
              </w:rPr>
            </w:pPr>
          </w:p>
        </w:tc>
        <w:tc>
          <w:tcPr>
            <w:tcW w:w="1276"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c>
          <w:tcPr>
            <w:tcW w:w="2528" w:type="dxa"/>
            <w:tcBorders>
              <w:top w:val="single" w:sz="4" w:space="0" w:color="000000"/>
              <w:left w:val="nil"/>
              <w:bottom w:val="single" w:sz="4" w:space="0" w:color="000000"/>
            </w:tcBorders>
            <w:tcMar>
              <w:top w:w="15" w:type="dxa"/>
              <w:left w:w="15" w:type="dxa"/>
              <w:bottom w:w="0" w:type="dxa"/>
              <w:right w:w="15" w:type="dxa"/>
            </w:tcMar>
            <w:vAlign w:val="center"/>
          </w:tcPr>
          <w:p w:rsidR="00B85A2B" w:rsidRDefault="00B85A2B" w:rsidP="005A080E">
            <w:pPr>
              <w:ind w:firstLine="440"/>
              <w:rPr>
                <w:rFonts w:ascii="仿宋_GB2312" w:hAnsi="Arial" w:cs="Arial"/>
                <w:sz w:val="22"/>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5"/>
      <w:headerReference w:type="default" r:id="rId16"/>
      <w:footerReference w:type="even" r:id="rId17"/>
      <w:footerReference w:type="default" r:id="rId18"/>
      <w:headerReference w:type="first" r:id="rId19"/>
      <w:footerReference w:type="first" r:id="rId20"/>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68" w:rsidRDefault="000A5F68" w:rsidP="00E56E53">
      <w:pPr>
        <w:ind w:firstLine="560"/>
      </w:pPr>
      <w:r>
        <w:separator/>
      </w:r>
    </w:p>
  </w:endnote>
  <w:endnote w:type="continuationSeparator" w:id="0">
    <w:p w:rsidR="000A5F68" w:rsidRDefault="000A5F68"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68" w:rsidRDefault="000A5F68" w:rsidP="00E56E53">
      <w:pPr>
        <w:ind w:firstLine="560"/>
      </w:pPr>
      <w:r>
        <w:separator/>
      </w:r>
    </w:p>
  </w:footnote>
  <w:footnote w:type="continuationSeparator" w:id="0">
    <w:p w:rsidR="000A5F68" w:rsidRDefault="000A5F68"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A5F68"/>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60E79"/>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0A81"/>
    <w:rsid w:val="008C2871"/>
    <w:rsid w:val="008C72AA"/>
    <w:rsid w:val="008E0F56"/>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14361"/>
    <w:rsid w:val="00D71919"/>
    <w:rsid w:val="00D90DEA"/>
    <w:rsid w:val="00D97E83"/>
    <w:rsid w:val="00DC184E"/>
    <w:rsid w:val="00E11E0B"/>
    <w:rsid w:val="00E56E53"/>
    <w:rsid w:val="00E609AE"/>
    <w:rsid w:val="00E750BD"/>
    <w:rsid w:val="00E77442"/>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98932"/>
  <w15:docId w15:val="{8E5DC208-16D4-4AA6-BF77-AA759824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2022-04-14T09:13:00Z</dcterms:created>
  <dcterms:modified xsi:type="dcterms:W3CDTF">2022-04-14T12:23:00Z</dcterms:modified>
</cp:coreProperties>
</file>