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C2021F" w:rsidP="00805ED9">
      <w:pPr>
        <w:pStyle w:val="11"/>
        <w:tabs>
          <w:tab w:val="right" w:leader="dot" w:pos="8296"/>
        </w:tabs>
        <w:ind w:firstLineChars="137" w:firstLine="440"/>
        <w:rPr>
          <w:noProof/>
        </w:rPr>
      </w:pPr>
      <w:r w:rsidRPr="00C2021F">
        <w:rPr>
          <w:rFonts w:ascii="仿宋_GB2312" w:hAnsi="Times New Roman" w:cs="Times New Roman"/>
          <w:noProof/>
          <w:kern w:val="0"/>
          <w:sz w:val="32"/>
          <w:szCs w:val="32"/>
        </w:rPr>
        <w:drawing>
          <wp:inline distT="0" distB="0" distL="0" distR="0">
            <wp:extent cx="4989619" cy="6657508"/>
            <wp:effectExtent l="0" t="0" r="1905" b="0"/>
            <wp:docPr id="1" name="图片 1" descr="G:\上传文件\6da61a476b403bbfccb44ad7becb1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6da61a476b403bbfccb44ad7becb18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2479" cy="6661324"/>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sidR="00C2021F">
        <w:rPr>
          <w:noProof/>
        </w:rPr>
        <w:t>1</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sidR="00C2021F">
        <w:rPr>
          <w:noProof/>
        </w:rPr>
        <w:t>1</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sidR="00C2021F">
        <w:rPr>
          <w:noProof/>
        </w:rPr>
        <w:t>1</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sidR="00C2021F">
        <w:rPr>
          <w:noProof/>
        </w:rPr>
        <w:t>2</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sidR="00C2021F">
        <w:rPr>
          <w:noProof/>
        </w:rPr>
        <w:t>2</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bookmarkStart w:id="0" w:name="_GoBack"/>
      <w:bookmarkEnd w:id="0"/>
      <w:r>
        <w:rPr>
          <w:noProof/>
        </w:rPr>
        <w:tab/>
      </w:r>
      <w:r>
        <w:rPr>
          <w:noProof/>
        </w:rPr>
        <w:fldChar w:fldCharType="begin"/>
      </w:r>
      <w:r>
        <w:rPr>
          <w:noProof/>
        </w:rPr>
        <w:instrText xml:space="preserve"> PAGEREF _Toc61505642 \h </w:instrText>
      </w:r>
      <w:r>
        <w:rPr>
          <w:noProof/>
        </w:rPr>
      </w:r>
      <w:r>
        <w:rPr>
          <w:noProof/>
        </w:rPr>
        <w:fldChar w:fldCharType="separate"/>
      </w:r>
      <w:r w:rsidR="00C2021F">
        <w:rPr>
          <w:noProof/>
        </w:rPr>
        <w:t>2</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sidR="00C2021F">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sidR="00C2021F">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sidR="00C2021F">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sidR="00C2021F">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sidR="00C2021F">
        <w:rPr>
          <w:noProof/>
        </w:rPr>
        <w:t>5</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sidR="00C2021F">
        <w:rPr>
          <w:noProof/>
        </w:rPr>
        <w:t>5</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sidR="00C2021F">
        <w:rPr>
          <w:noProof/>
        </w:rPr>
        <w:t>5</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sidR="00C2021F">
        <w:rPr>
          <w:noProof/>
        </w:rPr>
        <w:t>1</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sidR="00C2021F">
        <w:rPr>
          <w:noProof/>
        </w:rPr>
        <w:t>2</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铺设污水管网</w:t>
      </w:r>
      <w:r>
        <w:t>0.8</w:t>
      </w:r>
      <w:r>
        <w:t>公里，污水管道敷设、检查井砌筑、施工便道</w:t>
      </w:r>
    </w:p>
    <w:p w:rsidR="00B85A2B" w:rsidRPr="00996005" w:rsidRDefault="00B85A2B" w:rsidP="00A52539">
      <w:pPr>
        <w:pStyle w:val="-"/>
        <w:ind w:left="280" w:firstLine="562"/>
      </w:pPr>
      <w:r>
        <w:rPr>
          <w:rFonts w:hint="eastAsia"/>
          <w:b/>
          <w:bCs/>
        </w:rPr>
        <w:t>立项依据：</w:t>
      </w:r>
      <w:r>
        <w:t>大发改审批发【</w:t>
      </w:r>
      <w:r>
        <w:t>2020</w:t>
      </w:r>
      <w:r>
        <w:t>】</w:t>
      </w:r>
      <w:r>
        <w:t>40</w:t>
      </w:r>
      <w:r>
        <w:t>号</w:t>
      </w:r>
    </w:p>
    <w:p w:rsidR="00B85A2B" w:rsidRPr="00996005" w:rsidRDefault="00B85A2B" w:rsidP="00C2021F">
      <w:pPr>
        <w:pStyle w:val="-"/>
        <w:ind w:left="280" w:firstLine="562"/>
        <w:rPr>
          <w:rFonts w:hint="eastAsia"/>
        </w:rPr>
      </w:pPr>
      <w:r>
        <w:rPr>
          <w:rFonts w:hint="eastAsia"/>
          <w:b/>
          <w:bCs/>
        </w:rPr>
        <w:t>设立的必要性：</w:t>
      </w:r>
      <w:r w:rsidR="00C452AE">
        <w:t>进一步提升污水收集率，改善水体环境</w:t>
      </w:r>
    </w:p>
    <w:p w:rsidR="00B85A2B" w:rsidRPr="00996005" w:rsidRDefault="00B85A2B" w:rsidP="00A52539">
      <w:pPr>
        <w:pStyle w:val="-"/>
        <w:ind w:left="280" w:firstLine="562"/>
      </w:pPr>
      <w:r>
        <w:rPr>
          <w:rFonts w:hint="eastAsia"/>
          <w:b/>
          <w:bCs/>
        </w:rPr>
        <w:t>保证项目实施的措施与制度：</w:t>
      </w:r>
      <w:r>
        <w:t>根据</w:t>
      </w:r>
      <w:r>
        <w:t>2020</w:t>
      </w:r>
      <w:r>
        <w:t>年住房和城乡建设目标责任书</w:t>
      </w:r>
    </w:p>
    <w:p w:rsidR="00B85A2B" w:rsidRPr="00996005" w:rsidRDefault="00B85A2B" w:rsidP="00A52539">
      <w:pPr>
        <w:pStyle w:val="-"/>
        <w:ind w:left="280" w:firstLine="562"/>
      </w:pPr>
      <w:r>
        <w:rPr>
          <w:rFonts w:hint="eastAsia"/>
          <w:b/>
          <w:bCs/>
        </w:rPr>
        <w:t>项目实施计划：</w:t>
      </w:r>
      <w:r>
        <w:t>2021</w:t>
      </w:r>
      <w:r>
        <w:t>年</w:t>
      </w:r>
      <w:r>
        <w:t>3</w:t>
      </w:r>
      <w:r>
        <w:t>月</w:t>
      </w:r>
      <w:r>
        <w:t>15</w:t>
      </w:r>
      <w:r>
        <w:t>号开始实施施工便道，</w:t>
      </w:r>
      <w:r>
        <w:t>3</w:t>
      </w:r>
      <w:r>
        <w:t>月</w:t>
      </w:r>
      <w:r>
        <w:t>25</w:t>
      </w:r>
      <w:r>
        <w:t>号开始检查井砌筑切入，</w:t>
      </w:r>
      <w:r>
        <w:t>4</w:t>
      </w:r>
      <w:r>
        <w:t>月</w:t>
      </w:r>
      <w:r>
        <w:t>5</w:t>
      </w:r>
      <w:r>
        <w:t>号开始污水管道铺设，</w:t>
      </w:r>
      <w:r>
        <w:t>4</w:t>
      </w:r>
      <w:r>
        <w:t>月</w:t>
      </w:r>
      <w:r>
        <w:t>20</w:t>
      </w:r>
      <w:r>
        <w:t>号开始竣工验收。</w:t>
      </w:r>
    </w:p>
    <w:p w:rsidR="00B85A2B" w:rsidRPr="00C2021F" w:rsidRDefault="00B85A2B" w:rsidP="00C2021F">
      <w:pPr>
        <w:widowControl/>
        <w:ind w:firstLineChars="0" w:firstLine="0"/>
        <w:jc w:val="left"/>
        <w:rPr>
          <w:rFonts w:ascii="Times New Roman" w:hAnsi="Times New Roman" w:cs="Times New Roman" w:hint="eastAsia"/>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CA26E8">
        <w:trPr>
          <w:trHeight w:val="466"/>
        </w:trPr>
        <w:tc>
          <w:tcPr>
            <w:tcW w:w="1559"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1337"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851"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2410"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r>
      <w:tr w:rsidR="00CA26E8">
        <w:trPr>
          <w:trHeight w:val="466"/>
        </w:trPr>
        <w:tc>
          <w:tcPr>
            <w:tcW w:w="1559"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1337"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851"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2410"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r>
      <w:tr w:rsidR="00CA26E8">
        <w:trPr>
          <w:trHeight w:val="466"/>
        </w:trPr>
        <w:tc>
          <w:tcPr>
            <w:tcW w:w="1559"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1337"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851"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126.17</w:t>
            </w:r>
          </w:p>
        </w:tc>
        <w:tc>
          <w:tcPr>
            <w:tcW w:w="2410"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r>
      <w:tr w:rsidR="00CA26E8">
        <w:trPr>
          <w:trHeight w:val="466"/>
        </w:trPr>
        <w:tc>
          <w:tcPr>
            <w:tcW w:w="1559"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CA26E8" w:rsidRDefault="00DD3D3C">
            <w:pPr>
              <w:ind w:firstLineChars="0" w:firstLine="0"/>
              <w:jc w:val="center"/>
              <w:rPr>
                <w:sz w:val="21"/>
              </w:rPr>
            </w:pPr>
            <w:r>
              <w:rPr>
                <w:sz w:val="21"/>
              </w:rPr>
              <w:t>113</w:t>
            </w:r>
          </w:p>
        </w:tc>
        <w:tc>
          <w:tcPr>
            <w:tcW w:w="1337"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113</w:t>
            </w:r>
          </w:p>
        </w:tc>
        <w:tc>
          <w:tcPr>
            <w:tcW w:w="851"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113</w:t>
            </w:r>
          </w:p>
        </w:tc>
        <w:tc>
          <w:tcPr>
            <w:tcW w:w="2410"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CA26E8" w:rsidRDefault="00CA26E8">
            <w:pPr>
              <w:ind w:firstLineChars="0" w:firstLine="0"/>
              <w:jc w:val="center"/>
              <w:rPr>
                <w:sz w:val="21"/>
              </w:rPr>
            </w:pPr>
          </w:p>
        </w:tc>
      </w:tr>
      <w:tr w:rsidR="00CA26E8">
        <w:trPr>
          <w:trHeight w:val="466"/>
        </w:trPr>
        <w:tc>
          <w:tcPr>
            <w:tcW w:w="1559"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CA26E8" w:rsidRDefault="00DD3D3C">
            <w:pPr>
              <w:ind w:firstLineChars="0" w:firstLine="0"/>
              <w:jc w:val="center"/>
              <w:rPr>
                <w:sz w:val="21"/>
              </w:rPr>
            </w:pPr>
            <w:r>
              <w:rPr>
                <w:sz w:val="21"/>
              </w:rPr>
              <w:t>13.17</w:t>
            </w:r>
          </w:p>
        </w:tc>
        <w:tc>
          <w:tcPr>
            <w:tcW w:w="1337"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13.17</w:t>
            </w:r>
          </w:p>
        </w:tc>
        <w:tc>
          <w:tcPr>
            <w:tcW w:w="851"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13.17</w:t>
            </w:r>
          </w:p>
        </w:tc>
        <w:tc>
          <w:tcPr>
            <w:tcW w:w="241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r>
      <w:tr w:rsidR="00CA26E8">
        <w:trPr>
          <w:trHeight w:val="466"/>
        </w:trPr>
        <w:tc>
          <w:tcPr>
            <w:tcW w:w="1559"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lastRenderedPageBreak/>
              <w:t>预算到位率</w:t>
            </w:r>
          </w:p>
        </w:tc>
        <w:tc>
          <w:tcPr>
            <w:tcW w:w="1276"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CA26E8" w:rsidRDefault="00DD3D3C">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r>
      <w:tr w:rsidR="00CA26E8">
        <w:trPr>
          <w:trHeight w:val="466"/>
        </w:trPr>
        <w:tc>
          <w:tcPr>
            <w:tcW w:w="1559"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CA26E8" w:rsidRDefault="00DD3D3C">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CA26E8" w:rsidRDefault="00DD3D3C">
            <w:pPr>
              <w:ind w:firstLineChars="0" w:firstLine="0"/>
              <w:jc w:val="center"/>
              <w:rPr>
                <w:sz w:val="21"/>
              </w:rPr>
            </w:pPr>
            <w:r>
              <w:rPr>
                <w:sz w:val="21"/>
              </w:rPr>
              <w:t>89.56</w:t>
            </w:r>
          </w:p>
        </w:tc>
        <w:tc>
          <w:tcPr>
            <w:tcW w:w="1337"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89.56</w:t>
            </w:r>
          </w:p>
        </w:tc>
        <w:tc>
          <w:tcPr>
            <w:tcW w:w="851"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89.56</w:t>
            </w:r>
          </w:p>
        </w:tc>
        <w:tc>
          <w:tcPr>
            <w:tcW w:w="2410"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CA26E8" w:rsidRDefault="00DD3D3C">
            <w:pPr>
              <w:ind w:firstLineChars="0" w:firstLine="0"/>
              <w:jc w:val="center"/>
              <w:rPr>
                <w:sz w:val="21"/>
              </w:rPr>
            </w:pPr>
            <w:r>
              <w:rPr>
                <w:sz w:val="21"/>
              </w:rPr>
              <w:t>0</w:t>
            </w: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C2021F">
      <w:pPr>
        <w:pStyle w:val="-"/>
        <w:ind w:left="280" w:firstLine="560"/>
        <w:rPr>
          <w:rFonts w:hint="eastAsia"/>
        </w:rPr>
      </w:pPr>
      <w:r>
        <w:t>进一步提升污水收集率，改善水体环境</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C2021F">
      <w:pPr>
        <w:pStyle w:val="-"/>
        <w:ind w:left="280" w:firstLine="560"/>
        <w:rPr>
          <w:rFonts w:hint="eastAsia"/>
        </w:rPr>
      </w:pPr>
      <w:r>
        <w:t>进一步提升污水收集率，改善水体环境</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大宁县曲峨镇污水处理管网工程</w:t>
      </w:r>
      <w:r w:rsidRPr="00DC184E">
        <w:rPr>
          <w:rFonts w:hint="eastAsia"/>
        </w:rPr>
        <w:t>项</w:t>
      </w:r>
      <w:r>
        <w:rPr>
          <w:rFonts w:hint="eastAsia"/>
        </w:rPr>
        <w:t>目绩效自评价结果为</w:t>
      </w:r>
      <w:r>
        <w:t>:</w:t>
      </w:r>
      <w:r>
        <w:rPr>
          <w:rFonts w:hint="eastAsia"/>
        </w:rPr>
        <w:t>总得分</w:t>
      </w:r>
      <w:r w:rsidRPr="003A5DD6">
        <w:t>93.06</w:t>
      </w:r>
      <w:r>
        <w:rPr>
          <w:rFonts w:hint="eastAsia"/>
        </w:rPr>
        <w:t>分，属于</w:t>
      </w:r>
      <w:r>
        <w:t>"</w:t>
      </w:r>
      <w:r w:rsidRPr="003A5DD6">
        <w:t>优秀</w:t>
      </w:r>
      <w:r>
        <w:t>"</w:t>
      </w:r>
      <w:r>
        <w:rPr>
          <w:rFonts w:hint="eastAsia"/>
        </w:rPr>
        <w:t>。</w:t>
      </w:r>
    </w:p>
    <w:p w:rsidR="00B85A2B" w:rsidRDefault="00B85A2B" w:rsidP="00E56E53">
      <w:pPr>
        <w:pStyle w:val="-0"/>
        <w:ind w:left="560"/>
      </w:pPr>
      <w:bookmarkStart w:id="6" w:name="_Toc61505642"/>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CA26E8">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89.56%</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8.96</w:t>
            </w:r>
          </w:p>
        </w:tc>
      </w:tr>
    </w:tbl>
    <w:p w:rsidR="00B85A2B" w:rsidRDefault="00B85A2B" w:rsidP="00E56E53">
      <w:pPr>
        <w:ind w:firstLineChars="0" w:firstLine="0"/>
        <w:rPr>
          <w:szCs w:val="44"/>
        </w:rPr>
      </w:pPr>
    </w:p>
    <w:p w:rsidR="00B85A2B" w:rsidRPr="00C2021F" w:rsidRDefault="00B85A2B" w:rsidP="00C2021F">
      <w:pPr>
        <w:widowControl/>
        <w:ind w:firstLineChars="0" w:firstLine="0"/>
        <w:jc w:val="left"/>
        <w:rPr>
          <w:szCs w:val="44"/>
        </w:rPr>
      </w:pPr>
      <w:bookmarkStart w:id="7" w:name="_Toc61505643"/>
      <w:r>
        <w:rPr>
          <w:rFonts w:hint="eastAsia"/>
        </w:rPr>
        <w:lastRenderedPageBreak/>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CA26E8">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铺设公里数</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0.80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0.8公里</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CA26E8">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质量达标率</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CA26E8">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工程完工及时性</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CA26E8">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10.44%</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bl>
    <w:p w:rsidR="00B85A2B" w:rsidRDefault="00B85A2B" w:rsidP="00C2021F">
      <w:pPr>
        <w:pStyle w:val="-0"/>
        <w:ind w:leftChars="0" w:left="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CA26E8">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改善居住生活环境</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CA26E8">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提高城市环境卫生</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CA26E8">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r>
    </w:tbl>
    <w:p w:rsidR="00B85A2B" w:rsidRDefault="00B85A2B" w:rsidP="00E56E53">
      <w:pPr>
        <w:ind w:firstLineChars="0" w:firstLine="0"/>
        <w:rPr>
          <w:szCs w:val="44"/>
        </w:rPr>
      </w:pPr>
    </w:p>
    <w:p w:rsidR="00B85A2B" w:rsidRPr="00C2021F" w:rsidRDefault="00B85A2B" w:rsidP="00C2021F">
      <w:pPr>
        <w:widowControl/>
        <w:ind w:firstLineChars="0" w:firstLine="0"/>
        <w:jc w:val="left"/>
        <w:rPr>
          <w:szCs w:val="44"/>
        </w:rPr>
      </w:pPr>
      <w:bookmarkStart w:id="9" w:name="_Toc61505645"/>
      <w:r>
        <w:rPr>
          <w:rFonts w:hint="eastAsia"/>
        </w:rPr>
        <w:lastRenderedPageBreak/>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CA26E8">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CA26E8" w:rsidRPr="00C2021F"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sidRPr="00C2021F">
              <w:rPr>
                <w:rFonts w:ascii="仿宋" w:eastAsia="仿宋" w:hAnsi="DengXian" w:cs="仿宋"/>
                <w:color w:val="000000"/>
                <w:kern w:val="0"/>
                <w:sz w:val="24"/>
                <w:szCs w:val="24"/>
                <w:highlight w:val="white"/>
              </w:rPr>
              <w:t>社会公众满意度</w:t>
            </w:r>
          </w:p>
        </w:tc>
        <w:tc>
          <w:tcPr>
            <w:tcW w:w="1381" w:type="dxa"/>
            <w:tcBorders>
              <w:top w:val="single" w:sz="4" w:space="0" w:color="000000"/>
              <w:left w:val="nil"/>
              <w:bottom w:val="single" w:sz="4" w:space="0" w:color="000000"/>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C2021F" w:rsidRDefault="00B85A2B" w:rsidP="00C2021F">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C452AE" w:rsidP="00C2021F">
      <w:pPr>
        <w:pStyle w:val="-"/>
        <w:ind w:leftChars="405" w:left="1134" w:firstLineChars="0" w:firstLine="426"/>
        <w:rPr>
          <w:rFonts w:ascii="仿宋_GB2312" w:hint="eastAsia"/>
          <w:bCs/>
        </w:rPr>
      </w:pPr>
      <w:r w:rsidRPr="00C452AE">
        <w:rPr>
          <w:rFonts w:ascii="仿宋_GB2312" w:hint="eastAsia"/>
          <w:bCs/>
        </w:rPr>
        <w:t>大宁县曲峨镇污水处理管网工程追加预算资金126.17万元，执行预算资金113万元，追加预算到位率100%，执行率%已89.56%，剩余资金已被县财政收回。目前该项目已完工并投入使用。</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Pr="00C2021F" w:rsidRDefault="00C452AE" w:rsidP="00C2021F">
      <w:pPr>
        <w:pStyle w:val="-"/>
        <w:ind w:left="425" w:firstLineChars="300" w:firstLine="840"/>
        <w:rPr>
          <w:rFonts w:hint="eastAsia"/>
        </w:rPr>
      </w:pPr>
      <w:r>
        <w:rPr>
          <w:rFonts w:hint="eastAsia"/>
        </w:rPr>
        <w:t>保质保量</w:t>
      </w:r>
      <w:r>
        <w:t>及时完成了</w:t>
      </w:r>
      <w:r w:rsidRPr="00C452AE">
        <w:rPr>
          <w:rFonts w:ascii="仿宋_GB2312" w:hint="eastAsia"/>
          <w:bCs/>
        </w:rPr>
        <w:t>大宁县曲峨镇污水处理管网</w:t>
      </w:r>
      <w:r>
        <w:rPr>
          <w:rFonts w:ascii="仿宋_GB2312" w:hint="eastAsia"/>
          <w:bCs/>
        </w:rPr>
        <w:t>工程</w:t>
      </w:r>
      <w:r>
        <w:rPr>
          <w:rFonts w:ascii="仿宋_GB2312"/>
          <w:bCs/>
        </w:rPr>
        <w:t>：</w:t>
      </w:r>
      <w:r>
        <w:t>铺设污水管网</w:t>
      </w:r>
      <w:r>
        <w:t>0.8</w:t>
      </w:r>
      <w:r>
        <w:t>公里，污水管道敷设、检查井砌筑、施工便道</w:t>
      </w:r>
      <w:r>
        <w:rPr>
          <w:rFonts w:hint="eastAsia"/>
        </w:rPr>
        <w:t>并投入</w:t>
      </w:r>
      <w:r>
        <w:t>使用。</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C452AE" w:rsidP="00C2021F">
      <w:pPr>
        <w:pStyle w:val="-"/>
        <w:ind w:leftChars="405" w:left="1134" w:firstLineChars="0" w:firstLine="426"/>
        <w:rPr>
          <w:rFonts w:ascii="仿宋_GB2312" w:hint="eastAsia"/>
          <w:bCs/>
        </w:rPr>
      </w:pPr>
      <w:r w:rsidRPr="00C452AE">
        <w:rPr>
          <w:rFonts w:ascii="仿宋_GB2312" w:hint="eastAsia"/>
          <w:bCs/>
        </w:rPr>
        <w:t>通过该项目的实施进一步提高了曲峨镇污水管网覆盖面积和接污口数量，提升了污水收集率和处理率，改善了昕水河水质，提高了全县居民人居环境。</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Default="00C2021F" w:rsidP="00843FC2">
      <w:pPr>
        <w:pStyle w:val="-"/>
        <w:ind w:leftChars="354" w:left="991" w:firstLineChars="0" w:firstLine="569"/>
        <w:rPr>
          <w:rFonts w:ascii="仿宋_GB2312"/>
          <w:bCs/>
        </w:rPr>
      </w:pPr>
      <w:r w:rsidRPr="00C2021F">
        <w:rPr>
          <w:rFonts w:ascii="仿宋" w:eastAsia="仿宋" w:hAnsi="DengXian" w:cs="仿宋"/>
          <w:color w:val="000000"/>
          <w:highlight w:val="white"/>
        </w:rPr>
        <w:t>社会公众满意度</w:t>
      </w:r>
      <w:r>
        <w:rPr>
          <w:rFonts w:ascii="仿宋" w:eastAsia="仿宋" w:hAnsi="DengXian" w:cs="仿宋" w:hint="eastAsia"/>
          <w:color w:val="000000"/>
        </w:rPr>
        <w:t>95%</w:t>
      </w:r>
    </w:p>
    <w:p w:rsidR="00B85A2B" w:rsidRDefault="00B85A2B" w:rsidP="00E56E53">
      <w:pPr>
        <w:pStyle w:val="-3"/>
      </w:pPr>
      <w:bookmarkStart w:id="13" w:name="_Toc61505647"/>
      <w:r w:rsidRPr="00027C90">
        <w:rPr>
          <w:rFonts w:ascii="仿宋" w:eastAsia="仿宋" w:hAnsi="仿宋" w:cs="仿宋" w:hint="eastAsia"/>
          <w:b/>
          <w:bCs w:val="0"/>
        </w:rPr>
        <w:lastRenderedPageBreak/>
        <w:t>四、项目主要经验做法</w:t>
      </w:r>
      <w:bookmarkEnd w:id="13"/>
      <w:r>
        <w:t xml:space="preserve"> </w:t>
      </w:r>
    </w:p>
    <w:p w:rsidR="00B85A2B" w:rsidRDefault="00C452AE" w:rsidP="00843FC2">
      <w:pPr>
        <w:pStyle w:val="-"/>
        <w:ind w:firstLineChars="300" w:firstLine="840"/>
      </w:pPr>
      <w:r w:rsidRPr="00C452AE">
        <w:rPr>
          <w:rFonts w:hint="eastAsia"/>
        </w:rPr>
        <w:t>通过该项目的实施进一步提高了曲峨镇污水管网覆盖面积和接污口数量，提升了污水收集率和处理率，改善了昕水河水质，提高了全县居民人居环境。</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C452AE" w:rsidP="00843FC2">
      <w:pPr>
        <w:pStyle w:val="-"/>
        <w:ind w:firstLineChars="300" w:firstLine="840"/>
      </w:pPr>
      <w:r w:rsidRPr="00C452AE">
        <w:rPr>
          <w:rFonts w:hint="eastAsia"/>
        </w:rPr>
        <w:t>在实施过程中管理不规范，做到事前有计划、事中有监督、事后有问效，对质量严格把关，加强监管力度。</w:t>
      </w:r>
    </w:p>
    <w:p w:rsidR="00B85A2B" w:rsidRPr="00C2021F" w:rsidRDefault="00B85A2B" w:rsidP="00C2021F">
      <w:pPr>
        <w:pStyle w:val="-3"/>
        <w:rPr>
          <w:rFonts w:ascii="仿宋" w:eastAsia="仿宋" w:hAnsi="仿宋" w:cs="仿宋" w:hint="eastAsia"/>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Default="00C452AE"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C452AE">
        <w:rPr>
          <w:rFonts w:hint="eastAsia"/>
        </w:rPr>
        <w:t>1</w:t>
      </w:r>
      <w:r w:rsidRPr="00C452AE">
        <w:rPr>
          <w:rFonts w:hint="eastAsia"/>
        </w:rPr>
        <w:t>、建议规范实施过程中管理，加强监管力度</w:t>
      </w:r>
      <w:r>
        <w:rPr>
          <w:rFonts w:hint="eastAsia"/>
        </w:rPr>
        <w:t xml:space="preserve"> </w:t>
      </w:r>
      <w:r w:rsidRPr="00C452AE">
        <w:rPr>
          <w:rFonts w:hint="eastAsia"/>
        </w:rPr>
        <w:t>。</w:t>
      </w:r>
      <w:r w:rsidRPr="00C452AE">
        <w:rPr>
          <w:rFonts w:hint="eastAsia"/>
        </w:rPr>
        <w:t>2</w:t>
      </w:r>
      <w:r w:rsidRPr="00C452AE">
        <w:rPr>
          <w:rFonts w:hint="eastAsia"/>
        </w:rPr>
        <w:t>、进一步建立健全长效发展机制建设，不断提高全县居民人居环境，改善昕水河水质</w:t>
      </w:r>
      <w:r w:rsidRPr="00C452AE">
        <w:rPr>
          <w:rFonts w:hint="eastAsia"/>
        </w:rPr>
        <w:t xml:space="preserve"> </w:t>
      </w:r>
      <w:r w:rsidRPr="00C452AE">
        <w:rPr>
          <w:rFonts w:hint="eastAsia"/>
        </w:rPr>
        <w:t>。</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CA26E8">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89.56%</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89.56%</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8.96</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该项目已完工，剩余资金由县财政收回</w:t>
            </w:r>
          </w:p>
        </w:tc>
      </w:tr>
      <w:tr w:rsidR="00CA26E8">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铺设公里数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0.80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0.8公里</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r>
      <w:tr w:rsidR="00CA26E8">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质量达标率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r>
      <w:tr w:rsidR="00CA26E8">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工程完工及时性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r>
      <w:tr w:rsidR="00CA26E8">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10.44%</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该项目已完工，剩余资金由县财政收回</w:t>
            </w:r>
          </w:p>
        </w:tc>
      </w:tr>
      <w:tr w:rsidR="00CA26E8">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改善居住生活环境</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不断改善居住生活环境</w:t>
            </w:r>
          </w:p>
        </w:tc>
      </w:tr>
      <w:tr w:rsidR="00CA26E8">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提高城市环境卫生</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不断提高城市环境卫生</w:t>
            </w:r>
          </w:p>
        </w:tc>
      </w:tr>
      <w:tr w:rsidR="00CA26E8">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CA26E8">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CA26E8" w:rsidRDefault="00DD3D3C">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A26E8" w:rsidRDefault="00CA26E8">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35" w:rsidRDefault="007B5535" w:rsidP="00E56E53">
      <w:pPr>
        <w:ind w:firstLine="560"/>
      </w:pPr>
      <w:r>
        <w:separator/>
      </w:r>
    </w:p>
  </w:endnote>
  <w:endnote w:type="continuationSeparator" w:id="0">
    <w:p w:rsidR="007B5535" w:rsidRDefault="007B5535"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DD3D3C">
    <w:pPr>
      <w:pStyle w:val="a6"/>
      <w:ind w:firstLine="360"/>
      <w:jc w:val="center"/>
    </w:pPr>
    <w:r>
      <w:fldChar w:fldCharType="begin"/>
    </w:r>
    <w:r>
      <w:instrText>PAGE   \* MERGEFORMAT</w:instrText>
    </w:r>
    <w:r>
      <w:fldChar w:fldCharType="separate"/>
    </w:r>
    <w:r w:rsidR="00C2021F" w:rsidRPr="00C2021F">
      <w:rPr>
        <w:noProof/>
        <w:lang w:val="zh-CN"/>
      </w:rPr>
      <w:t>1</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35" w:rsidRDefault="007B5535" w:rsidP="00E56E53">
      <w:pPr>
        <w:ind w:firstLine="560"/>
      </w:pPr>
      <w:r>
        <w:separator/>
      </w:r>
    </w:p>
  </w:footnote>
  <w:footnote w:type="continuationSeparator" w:id="0">
    <w:p w:rsidR="007B5535" w:rsidRDefault="007B5535"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B5535"/>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021F"/>
    <w:rsid w:val="00C24C26"/>
    <w:rsid w:val="00C25722"/>
    <w:rsid w:val="00C372D2"/>
    <w:rsid w:val="00C44067"/>
    <w:rsid w:val="00C452AE"/>
    <w:rsid w:val="00CA22A5"/>
    <w:rsid w:val="00CA26E8"/>
    <w:rsid w:val="00CA34FC"/>
    <w:rsid w:val="00CA50DE"/>
    <w:rsid w:val="00CD128E"/>
    <w:rsid w:val="00CE5BDA"/>
    <w:rsid w:val="00CF39E1"/>
    <w:rsid w:val="00CF51F1"/>
    <w:rsid w:val="00D01733"/>
    <w:rsid w:val="00D71919"/>
    <w:rsid w:val="00D90DEA"/>
    <w:rsid w:val="00D97E83"/>
    <w:rsid w:val="00DC184E"/>
    <w:rsid w:val="00DD3D3C"/>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15EBE"/>
  <w15:docId w15:val="{60EA62F8-8211-4712-9B6A-DAB12348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2022-04-14T09:46:00Z</dcterms:created>
  <dcterms:modified xsi:type="dcterms:W3CDTF">2022-04-14T12:32:00Z</dcterms:modified>
</cp:coreProperties>
</file>