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1C52A9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1C52A9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79709" cy="6510859"/>
            <wp:effectExtent l="0" t="0" r="0" b="4445"/>
            <wp:docPr id="1" name="图片 1" descr="G:\上传文件\2450a7cb18bd7d6f7baa418f503a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2450a7cb18bd7d6f7baa418f503a9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43" cy="65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对大宁县建筑垃圾填埋场项目进行可研、预算、设计、测绘、勘察编制，确保该项目顺利开展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6C6129" w:rsidRPr="001C52A9">
        <w:rPr>
          <w:rFonts w:hint="eastAsia"/>
          <w:bCs/>
        </w:rPr>
        <w:t>该项目的实施编制了大宁县建筑垃圾处理厂项目可研、预算、设计、测绘、勘察和土地勘测定界编制，为大宁县建筑垃圾处理厂的建设奠定了基础。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大宁县住建和城乡建设管理局项目管理制度、办法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1</w:t>
      </w:r>
      <w:r>
        <w:t>、根据可研批复总额市场询价</w:t>
      </w:r>
      <w:r>
        <w:t xml:space="preserve"> 2</w:t>
      </w:r>
      <w:r>
        <w:t>、确定合作单位</w:t>
      </w:r>
      <w:r>
        <w:t xml:space="preserve"> 3</w:t>
      </w:r>
      <w:r>
        <w:t>、取得成果并验收</w:t>
      </w:r>
    </w:p>
    <w:p w:rsidR="00B85A2B" w:rsidRPr="001C52A9" w:rsidRDefault="00B85A2B" w:rsidP="001C52A9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5217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55217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7D" w:rsidRDefault="005D5D2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1C52A9">
      <w:pPr>
        <w:pStyle w:val="-"/>
        <w:ind w:left="280" w:firstLine="560"/>
      </w:pPr>
      <w:r>
        <w:t>确保该项目尽快完工，进一步改善城市环境面貌</w:t>
      </w: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1C52A9">
      <w:pPr>
        <w:pStyle w:val="-"/>
        <w:ind w:left="280" w:firstLine="560"/>
        <w:rPr>
          <w:rFonts w:hint="eastAsia"/>
        </w:rPr>
      </w:pPr>
      <w:r>
        <w:t>确保该项目尽快完工，进一步改善城市环境面貌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大宁县建筑垃圾填埋场项目可研、预算、设计、测绘、勘察和土地勘测定界编制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55217D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1C52A9" w:rsidRDefault="00B85A2B" w:rsidP="001C52A9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47万元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1C52A9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1C52A9" w:rsidRDefault="00B85A2B" w:rsidP="001C52A9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55217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1C52A9" w:rsidRDefault="00B85A2B" w:rsidP="001C52A9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6C6129" w:rsidP="001C52A9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6C6129">
        <w:rPr>
          <w:rFonts w:ascii="仿宋_GB2312" w:hint="eastAsia"/>
          <w:bCs/>
        </w:rPr>
        <w:t>大宁县建筑垃圾填埋场项目可研、预算、设计、测绘、勘察和土地勘测定界编制资金已100%及时发放到位，目前该项目已编制完成投入使用。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6C6129" w:rsidP="001C52A9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6C6129">
        <w:rPr>
          <w:rFonts w:ascii="仿宋_GB2312" w:hint="eastAsia"/>
          <w:bCs/>
        </w:rPr>
        <w:t>建议严格依据住建局财务制度、预算管理制度，支付大宁县建筑垃圾处理厂项目可研、预算、设计、测绘、勘察和土地勘测定界编制资金经费支出，目前该项目已编制完成投入使用</w:t>
      </w:r>
      <w:r>
        <w:rPr>
          <w:rFonts w:ascii="仿宋_GB2312" w:hint="eastAsia"/>
          <w:bCs/>
        </w:rPr>
        <w:t>，</w:t>
      </w:r>
      <w:r w:rsidRPr="006C6129">
        <w:rPr>
          <w:rFonts w:ascii="仿宋_GB2312" w:hint="eastAsia"/>
          <w:bCs/>
        </w:rPr>
        <w:t>为大宁县建筑垃圾处理厂的建设奠定了基础。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6C6129" w:rsidP="001C52A9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6C6129">
        <w:rPr>
          <w:rFonts w:ascii="仿宋_GB2312" w:hint="eastAsia"/>
          <w:bCs/>
        </w:rPr>
        <w:t>该项目的实施编制了大宁县建筑垃圾处理厂项目可研、预算、设计、测绘、勘察和土地勘测定界编制，为大宁县建筑垃圾处理厂的建设奠定了基础。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1C52A9" w:rsidRDefault="006C6129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1C52A9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1C52A9">
        <w:rPr>
          <w:rFonts w:ascii="仿宋" w:eastAsia="仿宋" w:hAnsi="DengXian" w:cs="仿宋" w:hint="eastAsia"/>
          <w:color w:val="000000"/>
          <w:highlight w:val="white"/>
        </w:rPr>
        <w:t>95</w:t>
      </w:r>
      <w:r w:rsidRPr="001C52A9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6C6129" w:rsidP="00843FC2">
      <w:pPr>
        <w:pStyle w:val="-"/>
        <w:ind w:firstLineChars="300" w:firstLine="840"/>
      </w:pPr>
      <w:r w:rsidRPr="006C6129">
        <w:rPr>
          <w:rFonts w:hint="eastAsia"/>
        </w:rPr>
        <w:t>依据住建局财务制度、预算管理制度，支付大宁县建筑垃圾处理厂项目可研、预算、设计、测绘、勘察和土地勘测定界编制资金经费支出，该项目的实施编制了大宁县建筑垃圾处理厂项目可研、预算、设计、测绘、勘察和土地勘测定界编制，为大宁县建筑垃圾处理厂的建设奠定了基础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6C6129" w:rsidP="00843FC2">
      <w:pPr>
        <w:pStyle w:val="-"/>
        <w:ind w:firstLineChars="300" w:firstLine="840"/>
      </w:pPr>
      <w:r w:rsidRPr="006C6129">
        <w:rPr>
          <w:rFonts w:hint="eastAsia"/>
        </w:rPr>
        <w:t>管理制度不健全，部分绩效指标设置不合理，未细化</w:t>
      </w:r>
      <w:r w:rsidRPr="006C6129">
        <w:rPr>
          <w:rFonts w:hint="eastAsia"/>
        </w:rPr>
        <w:t xml:space="preserve"> </w:t>
      </w:r>
      <w:r w:rsidRPr="006C6129">
        <w:rPr>
          <w:rFonts w:hint="eastAsia"/>
        </w:rPr>
        <w:t>、量化</w:t>
      </w:r>
      <w:r w:rsidRPr="006C6129">
        <w:rPr>
          <w:rFonts w:hint="eastAsia"/>
        </w:rPr>
        <w:t>,</w:t>
      </w:r>
      <w:r w:rsidRPr="006C6129">
        <w:rPr>
          <w:rFonts w:hint="eastAsia"/>
        </w:rPr>
        <w:t>未能全面反应全部内容。</w:t>
      </w:r>
    </w:p>
    <w:p w:rsidR="00B85A2B" w:rsidRPr="001C52A9" w:rsidRDefault="00B85A2B" w:rsidP="001C52A9">
      <w:pPr>
        <w:pStyle w:val="-3"/>
        <w:ind w:left="1124" w:hangingChars="350" w:hanging="1124"/>
        <w:rPr>
          <w:rFonts w:ascii="仿宋" w:eastAsia="仿宋" w:hAnsi="仿宋" w:cs="仿宋"/>
          <w:b/>
          <w:bCs w:val="0"/>
        </w:rPr>
        <w:sectPr w:rsidR="00B85A2B" w:rsidRPr="001C52A9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  <w:r w:rsidR="001C52A9">
        <w:rPr>
          <w:rFonts w:ascii="仿宋" w:eastAsia="仿宋" w:hAnsi="仿宋" w:cs="仿宋" w:hint="eastAsia"/>
          <w:b/>
          <w:bCs w:val="0"/>
        </w:rPr>
        <w:t xml:space="preserve"> </w:t>
      </w:r>
      <w:r w:rsidR="006C6129" w:rsidRPr="006C6129">
        <w:rPr>
          <w:rFonts w:hint="eastAsia"/>
        </w:rPr>
        <w:t xml:space="preserve">                                                                                                                                                         </w:t>
      </w:r>
      <w:r w:rsidR="001C52A9" w:rsidRPr="001C52A9">
        <w:rPr>
          <w:rFonts w:ascii="仿宋_GB2312" w:eastAsia="仿宋_GB2312" w:hint="eastAsia"/>
          <w:sz w:val="28"/>
          <w:szCs w:val="28"/>
        </w:rPr>
        <w:t>1</w:t>
      </w:r>
      <w:r w:rsidR="001C52A9" w:rsidRPr="001C52A9">
        <w:rPr>
          <w:rFonts w:ascii="仿宋_GB2312" w:eastAsia="仿宋_GB2312" w:hint="eastAsia"/>
          <w:sz w:val="28"/>
          <w:szCs w:val="28"/>
        </w:rPr>
        <w:t>、</w:t>
      </w:r>
      <w:r w:rsidR="001C52A9" w:rsidRPr="001C52A9">
        <w:rPr>
          <w:rFonts w:ascii="仿宋_GB2312" w:eastAsia="仿宋_GB2312" w:hint="eastAsia"/>
          <w:sz w:val="28"/>
          <w:szCs w:val="28"/>
        </w:rPr>
        <w:t>建议健全管理制度，规范指标设置，加强监管力度。</w:t>
      </w:r>
      <w:r w:rsidR="006C6129" w:rsidRPr="001C52A9">
        <w:rPr>
          <w:rFonts w:ascii="仿宋_GB2312" w:eastAsia="仿宋_GB2312" w:hint="eastAsia"/>
          <w:sz w:val="28"/>
          <w:szCs w:val="28"/>
        </w:rPr>
        <w:t>2、进一步建立健全长效发展机制建设，改善人居环境、生态环境。</w:t>
      </w:r>
      <w:bookmarkStart w:id="15" w:name="_GoBack"/>
      <w:bookmarkEnd w:id="15"/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55217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55217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55217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55217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55217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47万元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55217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</w:t>
            </w:r>
          </w:p>
        </w:tc>
      </w:tr>
      <w:tr w:rsidR="0055217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55217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D5D2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17D" w:rsidRDefault="0055217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4F" w:rsidRDefault="00BF374F" w:rsidP="00E56E53">
      <w:pPr>
        <w:ind w:firstLine="560"/>
      </w:pPr>
      <w:r>
        <w:separator/>
      </w:r>
    </w:p>
  </w:endnote>
  <w:endnote w:type="continuationSeparator" w:id="0">
    <w:p w:rsidR="00BF374F" w:rsidRDefault="00BF374F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5D5D23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1C52A9" w:rsidRPr="001C52A9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4F" w:rsidRDefault="00BF374F" w:rsidP="00E56E53">
      <w:pPr>
        <w:ind w:firstLine="560"/>
      </w:pPr>
      <w:r>
        <w:separator/>
      </w:r>
    </w:p>
  </w:footnote>
  <w:footnote w:type="continuationSeparator" w:id="0">
    <w:p w:rsidR="00BF374F" w:rsidRDefault="00BF374F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129"/>
    <w:rsid w:val="001507B7"/>
    <w:rsid w:val="00156586"/>
    <w:rsid w:val="00170CA4"/>
    <w:rsid w:val="0017285F"/>
    <w:rsid w:val="001A3CD2"/>
    <w:rsid w:val="001B4120"/>
    <w:rsid w:val="001C06A8"/>
    <w:rsid w:val="001C52A9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5217D"/>
    <w:rsid w:val="00576C00"/>
    <w:rsid w:val="00593D5E"/>
    <w:rsid w:val="005A080E"/>
    <w:rsid w:val="005A3D0F"/>
    <w:rsid w:val="005B1DE6"/>
    <w:rsid w:val="005B7922"/>
    <w:rsid w:val="005D5D23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C6129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BF374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2519F"/>
  <w15:docId w15:val="{324757DA-A335-4CFD-A06C-72001BBD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2022-04-14T09:54:00Z</dcterms:created>
  <dcterms:modified xsi:type="dcterms:W3CDTF">2022-04-14T12:36:00Z</dcterms:modified>
</cp:coreProperties>
</file>