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AB35D6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 w:rsidRPr="00AB35D6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866779" cy="6493606"/>
            <wp:effectExtent l="0" t="0" r="0" b="2540"/>
            <wp:docPr id="1" name="图片 1" descr="G:\上传文件\ad36656a8b45c316ddc3780a7b198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ad36656a8b45c316ddc3780a7b1980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515" cy="649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对大宁县建成区排水设施进行专项规划，进一步提升城市服务整体能力</w:t>
      </w:r>
      <w:r>
        <w:t>,</w:t>
      </w:r>
      <w:r>
        <w:t>完善城市排水防涝水平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会议纪要</w:t>
      </w:r>
    </w:p>
    <w:p w:rsidR="00B85A2B" w:rsidRPr="00AB35D6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AB35D6" w:rsidRPr="00AB35D6">
        <w:rPr>
          <w:rFonts w:hint="eastAsia"/>
          <w:bCs/>
        </w:rPr>
        <w:t>为</w:t>
      </w:r>
      <w:r w:rsidR="00AB35D6">
        <w:rPr>
          <w:rFonts w:hint="eastAsia"/>
          <w:bCs/>
        </w:rPr>
        <w:t>了</w:t>
      </w:r>
      <w:r w:rsidR="00AB35D6">
        <w:rPr>
          <w:bCs/>
        </w:rPr>
        <w:t>给</w:t>
      </w:r>
      <w:r w:rsidR="00AB35D6">
        <w:rPr>
          <w:rFonts w:hint="eastAsia"/>
          <w:bCs/>
        </w:rPr>
        <w:t>大宁县防洪排涝（含雨污分流）专项规划工程建设奠定</w:t>
      </w:r>
      <w:r w:rsidR="00AB35D6" w:rsidRPr="00AB35D6">
        <w:rPr>
          <w:rFonts w:hint="eastAsia"/>
          <w:bCs/>
        </w:rPr>
        <w:t>基础。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大宁县住房和城乡建设管理局制度、办法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1.</w:t>
      </w:r>
      <w:r>
        <w:t>市场询价，</w:t>
      </w:r>
      <w:r>
        <w:t>2.</w:t>
      </w:r>
      <w:r>
        <w:t>以最低价作为合作单位签订合同，</w:t>
      </w:r>
      <w:r>
        <w:t>3.</w:t>
      </w:r>
      <w:r>
        <w:t>获得成果</w:t>
      </w:r>
    </w:p>
    <w:p w:rsidR="00B85A2B" w:rsidRPr="00AB35D6" w:rsidRDefault="00B85A2B" w:rsidP="00AB35D6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3879D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879D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879D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879D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3879DD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3879D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3879D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3879D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9DD" w:rsidRDefault="000B432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AB35D6">
      <w:pPr>
        <w:pStyle w:val="-"/>
        <w:ind w:left="280" w:firstLine="560"/>
        <w:rPr>
          <w:rFonts w:hint="eastAsia"/>
        </w:rPr>
      </w:pPr>
      <w:r>
        <w:t>进一步提升城市服务整体能力</w:t>
      </w:r>
      <w:r>
        <w:t>,</w:t>
      </w:r>
      <w:r>
        <w:t>完善城市排水防涝水平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AB35D6">
      <w:pPr>
        <w:pStyle w:val="-"/>
        <w:ind w:left="280" w:firstLine="560"/>
        <w:rPr>
          <w:rFonts w:hint="eastAsia"/>
        </w:rPr>
      </w:pPr>
      <w:r>
        <w:t>进一步提升城市服务整体能力</w:t>
      </w:r>
      <w:r>
        <w:t>,</w:t>
      </w:r>
      <w:r>
        <w:t>完善城市排水防涝水平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大宁县防洪排涝（含雨污分流）专项规划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94.2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879DD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AB35D6" w:rsidRDefault="00B85A2B" w:rsidP="00AB35D6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879D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服务数量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3879D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合格率（%）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3879D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3879D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项目所需资金（万元）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21万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</w:tbl>
    <w:p w:rsidR="00B85A2B" w:rsidRDefault="00B85A2B" w:rsidP="00AB35D6">
      <w:pPr>
        <w:pStyle w:val="-0"/>
        <w:ind w:leftChars="0" w:left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879D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健全城市排水设施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8.1</w:t>
            </w:r>
          </w:p>
        </w:tc>
      </w:tr>
      <w:tr w:rsidR="003879D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提升城市水体环境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8.1</w:t>
            </w:r>
          </w:p>
        </w:tc>
      </w:tr>
      <w:tr w:rsidR="003879D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</w:tr>
    </w:tbl>
    <w:p w:rsidR="00B85A2B" w:rsidRPr="00AB35D6" w:rsidRDefault="00B85A2B" w:rsidP="00AB35D6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3879D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AB35D6" w:rsidRDefault="00B85A2B" w:rsidP="00AB35D6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EC6339" w:rsidP="00AB35D6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EC6339">
        <w:rPr>
          <w:rFonts w:ascii="仿宋_GB2312" w:hint="eastAsia"/>
          <w:bCs/>
        </w:rPr>
        <w:t>大宁县防洪排涝（含雨污分流）专项规划资金已100%发放到位。</w:t>
      </w:r>
      <w:r>
        <w:rPr>
          <w:rFonts w:ascii="仿宋_GB2312" w:hint="eastAsia"/>
          <w:bCs/>
        </w:rPr>
        <w:t xml:space="preserve"> 目前</w:t>
      </w:r>
      <w:r>
        <w:rPr>
          <w:rFonts w:ascii="仿宋_GB2312"/>
          <w:bCs/>
        </w:rPr>
        <w:t>该项目</w:t>
      </w:r>
      <w:r>
        <w:rPr>
          <w:rFonts w:ascii="仿宋_GB2312" w:hint="eastAsia"/>
          <w:bCs/>
        </w:rPr>
        <w:t>报告书已编制完成并</w:t>
      </w:r>
      <w:r w:rsidRPr="00EC6339">
        <w:rPr>
          <w:rFonts w:ascii="仿宋_GB2312" w:hint="eastAsia"/>
          <w:bCs/>
        </w:rPr>
        <w:t>报市管理局备案。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EC6339" w:rsidP="00AB35D6">
      <w:pPr>
        <w:pStyle w:val="-"/>
        <w:ind w:left="425" w:firstLineChars="0" w:firstLine="0"/>
        <w:rPr>
          <w:rFonts w:ascii="仿宋_GB2312" w:hint="eastAsia"/>
          <w:bCs/>
        </w:rPr>
      </w:pPr>
      <w:r w:rsidRPr="00EC6339">
        <w:rPr>
          <w:rFonts w:ascii="仿宋_GB2312" w:hint="eastAsia"/>
          <w:bCs/>
        </w:rPr>
        <w:t>为了进一步规范大宁县排水管网分布，指导改造合流制管网，免受汛期内涝，编制大宁县防洪排涝（含雨污分流）专项规划，报告书已编制完成，已报市管理局备案。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EC6339" w:rsidP="00AB35D6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EC6339">
        <w:rPr>
          <w:rFonts w:ascii="仿宋_GB2312" w:hint="eastAsia"/>
          <w:bCs/>
        </w:rPr>
        <w:t xml:space="preserve">该项目的实施为大宁县防洪排涝（含雨污分流）专项规划工程建设奠定了基础。  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Pr="00AB35D6" w:rsidRDefault="00EC6339" w:rsidP="00843FC2">
      <w:pPr>
        <w:pStyle w:val="-"/>
        <w:ind w:leftChars="354" w:left="991" w:firstLineChars="0" w:firstLine="569"/>
        <w:rPr>
          <w:rFonts w:ascii="仿宋_GB2312"/>
          <w:bCs/>
        </w:rPr>
      </w:pPr>
      <w:r w:rsidRPr="00AB35D6">
        <w:rPr>
          <w:rFonts w:ascii="仿宋" w:eastAsia="仿宋" w:hAnsi="DengXian" w:cs="仿宋"/>
          <w:color w:val="000000"/>
          <w:highlight w:val="white"/>
        </w:rPr>
        <w:t>社会公众满意度</w:t>
      </w:r>
      <w:r w:rsidRPr="00AB35D6">
        <w:rPr>
          <w:rFonts w:ascii="仿宋" w:eastAsia="仿宋" w:hAnsi="DengXian" w:cs="仿宋" w:hint="eastAsia"/>
          <w:color w:val="000000"/>
          <w:highlight w:val="white"/>
        </w:rPr>
        <w:t>98</w:t>
      </w:r>
      <w:r w:rsidRPr="00AB35D6">
        <w:rPr>
          <w:rFonts w:ascii="仿宋" w:eastAsia="仿宋" w:hAnsi="DengXian" w:cs="仿宋"/>
          <w:color w:val="000000"/>
          <w:highlight w:val="white"/>
        </w:rPr>
        <w:t>（%）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  <w:bCs w:val="0"/>
        </w:rPr>
        <w:lastRenderedPageBreak/>
        <w:t>四、项目主要经验做法</w:t>
      </w:r>
      <w:bookmarkEnd w:id="12"/>
      <w:r>
        <w:t xml:space="preserve"> </w:t>
      </w:r>
    </w:p>
    <w:p w:rsidR="00B85A2B" w:rsidRDefault="00EC6339" w:rsidP="00843FC2">
      <w:pPr>
        <w:pStyle w:val="-"/>
        <w:ind w:firstLineChars="300" w:firstLine="840"/>
      </w:pPr>
      <w:r w:rsidRPr="00EC6339">
        <w:rPr>
          <w:rFonts w:hint="eastAsia"/>
        </w:rPr>
        <w:t>进一步规范了大宁县排水管网分布，指导改造合流制管网，免受汛期内涝，编制了</w:t>
      </w:r>
      <w:r w:rsidRPr="00EC6339">
        <w:rPr>
          <w:rFonts w:hint="eastAsia"/>
        </w:rPr>
        <w:t>l</w:t>
      </w:r>
      <w:r w:rsidRPr="00EC6339">
        <w:rPr>
          <w:rFonts w:hint="eastAsia"/>
        </w:rPr>
        <w:t>大宁县防洪排涝（含雨污分流）专项规划报告，报告书已编制完成，已报市管理局备案。该项目的实施为大宁县防洪排涝（含雨污分流）专项规划工程建设奠定了基础。</w:t>
      </w:r>
      <w:r w:rsidRPr="00EC6339">
        <w:rPr>
          <w:rFonts w:hint="eastAsia"/>
        </w:rPr>
        <w:t xml:space="preserve">  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B85A2B" w:rsidRDefault="00EC6339" w:rsidP="00843FC2">
      <w:pPr>
        <w:pStyle w:val="-"/>
        <w:ind w:firstLineChars="300" w:firstLine="840"/>
      </w:pPr>
      <w:r w:rsidRPr="00EC6339">
        <w:rPr>
          <w:rFonts w:hint="eastAsia"/>
        </w:rPr>
        <w:t>管理制度不健全，部分绩效指标设置不合理，未细化</w:t>
      </w:r>
      <w:r w:rsidRPr="00EC6339">
        <w:rPr>
          <w:rFonts w:hint="eastAsia"/>
        </w:rPr>
        <w:t xml:space="preserve"> </w:t>
      </w:r>
      <w:r w:rsidRPr="00EC6339">
        <w:rPr>
          <w:rFonts w:hint="eastAsia"/>
        </w:rPr>
        <w:t>、量化</w:t>
      </w:r>
      <w:r w:rsidRPr="00EC6339">
        <w:rPr>
          <w:rFonts w:hint="eastAsia"/>
        </w:rPr>
        <w:t>,</w:t>
      </w:r>
      <w:r w:rsidRPr="00EC6339">
        <w:rPr>
          <w:rFonts w:hint="eastAsia"/>
        </w:rPr>
        <w:t>未能全面反应全部内容。</w:t>
      </w:r>
    </w:p>
    <w:p w:rsidR="00B85A2B" w:rsidRPr="00AB35D6" w:rsidRDefault="00B85A2B" w:rsidP="00AB35D6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4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4"/>
    </w:p>
    <w:p w:rsidR="00B85A2B" w:rsidRDefault="00EC6339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 w:rsidRPr="00EC6339">
        <w:rPr>
          <w:rFonts w:hint="eastAsia"/>
        </w:rPr>
        <w:t>1</w:t>
      </w:r>
      <w:r w:rsidRPr="00EC6339">
        <w:rPr>
          <w:rFonts w:hint="eastAsia"/>
        </w:rPr>
        <w:t>、建议健全管理制度，规范指标设置，加强监管力度。</w:t>
      </w:r>
      <w:r w:rsidRPr="00EC6339">
        <w:rPr>
          <w:rFonts w:hint="eastAsia"/>
        </w:rPr>
        <w:t>2</w:t>
      </w:r>
      <w:r w:rsidRPr="00EC6339">
        <w:rPr>
          <w:rFonts w:hint="eastAsia"/>
        </w:rPr>
        <w:t>、建议进一步建立健全长效发展机制建设，</w:t>
      </w:r>
      <w:r w:rsidRPr="00EC6339">
        <w:rPr>
          <w:rFonts w:hint="eastAsia"/>
        </w:rPr>
        <w:t xml:space="preserve"> </w:t>
      </w:r>
      <w:r w:rsidRPr="00EC6339">
        <w:rPr>
          <w:rFonts w:hint="eastAsia"/>
        </w:rPr>
        <w:t>改善人居环境、生态环境，健全城市排水设施</w:t>
      </w:r>
      <w:r>
        <w:rPr>
          <w:rFonts w:hint="eastAsia"/>
        </w:rPr>
        <w:t>。</w:t>
      </w:r>
      <w:r w:rsidR="00AB35D6">
        <w:rPr>
          <w:rFonts w:hint="eastAsia"/>
        </w:rPr>
        <w:t>3</w:t>
      </w:r>
      <w:r w:rsidR="00AB35D6" w:rsidRPr="00EC6339">
        <w:rPr>
          <w:rFonts w:hint="eastAsia"/>
        </w:rPr>
        <w:t>、</w:t>
      </w:r>
      <w:r w:rsidR="0069489D" w:rsidRPr="0069489D">
        <w:rPr>
          <w:rFonts w:hint="eastAsia"/>
        </w:rPr>
        <w:t>进一步建立健全长效发展机制建设，</w:t>
      </w:r>
      <w:r w:rsidR="0069489D" w:rsidRPr="0069489D">
        <w:rPr>
          <w:rFonts w:hint="eastAsia"/>
        </w:rPr>
        <w:t xml:space="preserve"> </w:t>
      </w:r>
      <w:r w:rsidR="0069489D" w:rsidRPr="0069489D">
        <w:rPr>
          <w:rFonts w:hint="eastAsia"/>
        </w:rPr>
        <w:t>提高全县居民生活质量。</w:t>
      </w:r>
    </w:p>
    <w:p w:rsidR="00B85A2B" w:rsidRPr="00AB35D6" w:rsidRDefault="00B85A2B" w:rsidP="00AB35D6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5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Start w:id="16" w:name="_GoBack"/>
      <w:bookmarkEnd w:id="15"/>
      <w:bookmarkEnd w:id="16"/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3879DD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3879D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879DD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3879D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879DD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3879D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3879D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879DD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3879D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3879D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879DD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3879D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项目所需资金（万元）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21万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3879D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3879DD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健全城市排水设施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健全城市排水设施</w:t>
            </w:r>
          </w:p>
        </w:tc>
      </w:tr>
      <w:tr w:rsidR="003879DD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3879D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提升城市水体环境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提升城市水体环境</w:t>
            </w:r>
          </w:p>
        </w:tc>
      </w:tr>
      <w:tr w:rsidR="003879DD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3879D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3879DD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0B432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9DD" w:rsidRDefault="003879D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FC" w:rsidRDefault="00742FFC" w:rsidP="00E56E53">
      <w:pPr>
        <w:ind w:firstLine="560"/>
      </w:pPr>
      <w:r>
        <w:separator/>
      </w:r>
    </w:p>
  </w:endnote>
  <w:endnote w:type="continuationSeparator" w:id="0">
    <w:p w:rsidR="00742FFC" w:rsidRDefault="00742FFC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0B432D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AB35D6" w:rsidRPr="00AB35D6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FC" w:rsidRDefault="00742FFC" w:rsidP="00E56E53">
      <w:pPr>
        <w:ind w:firstLine="560"/>
      </w:pPr>
      <w:r>
        <w:separator/>
      </w:r>
    </w:p>
  </w:footnote>
  <w:footnote w:type="continuationSeparator" w:id="0">
    <w:p w:rsidR="00742FFC" w:rsidRDefault="00742FFC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B432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879DD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47B83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9489D"/>
    <w:rsid w:val="006A3C55"/>
    <w:rsid w:val="006E330B"/>
    <w:rsid w:val="006F17DD"/>
    <w:rsid w:val="00700951"/>
    <w:rsid w:val="00734FBB"/>
    <w:rsid w:val="00742FFC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B35D6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EC6339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F98D8"/>
  <w15:docId w15:val="{B6CA2237-C9E2-4BE4-BE2B-088EC921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4</cp:revision>
  <dcterms:created xsi:type="dcterms:W3CDTF">2022-04-13T08:14:00Z</dcterms:created>
  <dcterms:modified xsi:type="dcterms:W3CDTF">2022-04-14T13:06:00Z</dcterms:modified>
</cp:coreProperties>
</file>