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DD3A25" w:rsidP="00DD3A25">
      <w:pPr>
        <w:pStyle w:val="11"/>
        <w:tabs>
          <w:tab w:val="right" w:leader="dot" w:pos="8296"/>
        </w:tabs>
        <w:ind w:firstLineChars="0" w:firstLine="0"/>
        <w:rPr>
          <w:noProof/>
        </w:rPr>
      </w:pPr>
      <w:bookmarkStart w:id="0" w:name="_GoBack"/>
      <w:r w:rsidRPr="00DD3A25">
        <w:rPr>
          <w:rFonts w:ascii="仿宋_GB2312" w:hAnsi="Times New Roman" w:cs="Times New Roman"/>
          <w:noProof/>
          <w:kern w:val="0"/>
          <w:sz w:val="32"/>
          <w:szCs w:val="32"/>
        </w:rPr>
        <w:drawing>
          <wp:inline distT="0" distB="0" distL="0" distR="0">
            <wp:extent cx="4908550" cy="6547485"/>
            <wp:effectExtent l="0" t="0" r="0" b="0"/>
            <wp:docPr id="1" name="图片 1" descr="G:\上传文件\b8b4290c01eb894edfaaeef38cb65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b8b4290c01eb894edfaaeef38cb65f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8550" cy="6547485"/>
                    </a:xfrm>
                    <a:prstGeom prst="rect">
                      <a:avLst/>
                    </a:prstGeom>
                    <a:noFill/>
                    <a:ln>
                      <a:noFill/>
                    </a:ln>
                  </pic:spPr>
                </pic:pic>
              </a:graphicData>
            </a:graphic>
          </wp:inline>
        </w:drawing>
      </w:r>
      <w:bookmarkEnd w:id="0"/>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（四）项目实施计划</w:t>
      </w:r>
      <w:r>
        <w:rPr>
          <w:noProof/>
        </w:rPr>
        <w:tab/>
      </w:r>
      <w:r>
        <w:rPr>
          <w:noProof/>
        </w:rPr>
        <w:fldChar w:fldCharType="begin"/>
      </w:r>
      <w:r>
        <w:rPr>
          <w:noProof/>
        </w:rPr>
        <w:instrText xml:space="preserve"> PAGEREF _Toc61505640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193224">
      <w:pPr>
        <w:pStyle w:val="23"/>
        <w:tabs>
          <w:tab w:val="right" w:leader="dot" w:pos="8296"/>
        </w:tabs>
        <w:ind w:firstLine="400"/>
        <w:rPr>
          <w:rFonts w:ascii="DengXian" w:eastAsia="DengXian" w:hAnsi="DengXian" w:cs="Times New Roman"/>
          <w:smallCaps w:val="0"/>
          <w:noProof/>
          <w:sz w:val="21"/>
          <w:szCs w:val="22"/>
        </w:rPr>
      </w:pPr>
      <w:r>
        <w:rPr>
          <w:rFonts w:hint="eastAsia"/>
          <w:noProof/>
        </w:rPr>
        <w:t xml:space="preserve"> </w:t>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对大宁县建筑垃圾场范围内进行地质灾害勘测和定界测量。</w:t>
      </w:r>
    </w:p>
    <w:p w:rsidR="00B85A2B" w:rsidRPr="00996005" w:rsidRDefault="00B85A2B" w:rsidP="00A52539">
      <w:pPr>
        <w:pStyle w:val="-"/>
        <w:ind w:left="280" w:firstLine="562"/>
      </w:pPr>
      <w:r>
        <w:rPr>
          <w:rFonts w:hint="eastAsia"/>
          <w:b/>
          <w:bCs/>
        </w:rPr>
        <w:t>立项依据：</w:t>
      </w:r>
      <w:r>
        <w:t>会议纪要、合同</w:t>
      </w:r>
    </w:p>
    <w:p w:rsidR="00B85A2B" w:rsidRPr="00996005" w:rsidRDefault="00B85A2B" w:rsidP="00A52539">
      <w:pPr>
        <w:pStyle w:val="-"/>
        <w:ind w:left="280" w:firstLine="562"/>
      </w:pPr>
      <w:r>
        <w:rPr>
          <w:rFonts w:hint="eastAsia"/>
          <w:b/>
          <w:bCs/>
        </w:rPr>
        <w:t>设立的必要性：</w:t>
      </w:r>
      <w:r w:rsidR="00193224" w:rsidRPr="00DD3A25">
        <w:rPr>
          <w:rFonts w:hint="eastAsia"/>
          <w:bCs/>
        </w:rPr>
        <w:t>该项目的实施编制了大宁县建筑垃圾处理厂项目地质灾害危险性评估报告、土地勘测定界技术报告书，为大宁县建筑垃圾处理厂的建设奠定了基础。</w:t>
      </w:r>
    </w:p>
    <w:p w:rsidR="00B85A2B" w:rsidRPr="00996005" w:rsidRDefault="00B85A2B" w:rsidP="00A52539">
      <w:pPr>
        <w:pStyle w:val="-"/>
        <w:ind w:left="280" w:firstLine="562"/>
      </w:pPr>
      <w:r>
        <w:rPr>
          <w:rFonts w:hint="eastAsia"/>
          <w:b/>
          <w:bCs/>
        </w:rPr>
        <w:t>保证项目实施的措施与制度：</w:t>
      </w:r>
      <w:r>
        <w:t>大宁县住建局财务制度</w:t>
      </w:r>
    </w:p>
    <w:p w:rsidR="00B85A2B" w:rsidRPr="00996005" w:rsidRDefault="00B85A2B" w:rsidP="00A52539">
      <w:pPr>
        <w:pStyle w:val="-"/>
        <w:ind w:left="280" w:firstLine="562"/>
      </w:pPr>
      <w:r>
        <w:rPr>
          <w:rFonts w:hint="eastAsia"/>
          <w:b/>
          <w:bCs/>
        </w:rPr>
        <w:t>项目实施计划：</w:t>
      </w:r>
      <w:r>
        <w:t>2020</w:t>
      </w:r>
      <w:r>
        <w:t>年</w:t>
      </w:r>
      <w:r>
        <w:t>8</w:t>
      </w:r>
      <w:r>
        <w:t>月中旬制定预算控制价，</w:t>
      </w:r>
      <w:r>
        <w:t xml:space="preserve"> 2020</w:t>
      </w:r>
      <w:r>
        <w:t>年</w:t>
      </w:r>
      <w:r>
        <w:t>8</w:t>
      </w:r>
      <w:r>
        <w:t>月下旬市场询价，确定供应商</w:t>
      </w:r>
      <w:r>
        <w:t xml:space="preserve"> 2020</w:t>
      </w:r>
      <w:r>
        <w:t>年</w:t>
      </w:r>
      <w:r>
        <w:t>9</w:t>
      </w:r>
      <w:r>
        <w:t>月初双方协商一致签订合同</w:t>
      </w:r>
      <w:r>
        <w:t xml:space="preserve"> 2020</w:t>
      </w:r>
      <w:r>
        <w:t>年</w:t>
      </w:r>
      <w:r>
        <w:t>10</w:t>
      </w:r>
      <w:r>
        <w:t>月下旬编制完成地灾、定界报告</w:t>
      </w:r>
    </w:p>
    <w:p w:rsidR="00B85A2B" w:rsidRPr="00DD3A25" w:rsidRDefault="00B85A2B" w:rsidP="00DD3A25">
      <w:pPr>
        <w:widowControl/>
        <w:ind w:firstLineChars="0" w:firstLine="0"/>
        <w:jc w:val="left"/>
        <w:rPr>
          <w:rFonts w:ascii="Times New Roman" w:hAnsi="Times New Roman" w:cs="Times New Roman" w:hint="eastAsia"/>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BF111E">
        <w:trPr>
          <w:trHeight w:val="466"/>
        </w:trPr>
        <w:tc>
          <w:tcPr>
            <w:tcW w:w="1559"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r>
      <w:tr w:rsidR="00BF111E">
        <w:trPr>
          <w:trHeight w:val="466"/>
        </w:trPr>
        <w:tc>
          <w:tcPr>
            <w:tcW w:w="1559"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1337"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241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r>
      <w:tr w:rsidR="00BF111E">
        <w:trPr>
          <w:trHeight w:val="466"/>
        </w:trPr>
        <w:tc>
          <w:tcPr>
            <w:tcW w:w="1559"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1337"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241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r>
      <w:tr w:rsidR="00BF111E">
        <w:trPr>
          <w:trHeight w:val="466"/>
        </w:trPr>
        <w:tc>
          <w:tcPr>
            <w:tcW w:w="1559"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1337"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11.6</w:t>
            </w:r>
          </w:p>
        </w:tc>
        <w:tc>
          <w:tcPr>
            <w:tcW w:w="2410"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F111E" w:rsidRDefault="00BF111E">
            <w:pPr>
              <w:ind w:firstLineChars="0" w:firstLine="0"/>
              <w:jc w:val="center"/>
              <w:rPr>
                <w:sz w:val="21"/>
              </w:rPr>
            </w:pPr>
          </w:p>
        </w:tc>
      </w:tr>
      <w:tr w:rsidR="00BF111E">
        <w:trPr>
          <w:trHeight w:val="466"/>
        </w:trPr>
        <w:tc>
          <w:tcPr>
            <w:tcW w:w="1559"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lastRenderedPageBreak/>
              <w:t>资金结余</w:t>
            </w:r>
          </w:p>
        </w:tc>
        <w:tc>
          <w:tcPr>
            <w:tcW w:w="1276"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r>
      <w:tr w:rsidR="00BF111E">
        <w:trPr>
          <w:trHeight w:val="466"/>
        </w:trPr>
        <w:tc>
          <w:tcPr>
            <w:tcW w:w="1559"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BF111E" w:rsidRDefault="00300F65">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r>
      <w:tr w:rsidR="00BF111E">
        <w:trPr>
          <w:trHeight w:val="466"/>
        </w:trPr>
        <w:tc>
          <w:tcPr>
            <w:tcW w:w="1559"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BF111E" w:rsidRDefault="00300F65">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BF111E" w:rsidRDefault="00300F65">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BF111E" w:rsidRDefault="00300F65">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DD3A25">
      <w:pPr>
        <w:pStyle w:val="-"/>
        <w:ind w:left="280" w:firstLine="560"/>
      </w:pPr>
      <w:r>
        <w:t>为建筑垃圾填埋场项目建设提供前期手续依据支撑，明确该地段是否适合该项目的安全建设。</w:t>
      </w:r>
      <w:r>
        <w:tab/>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DD3A25">
      <w:pPr>
        <w:pStyle w:val="-"/>
        <w:ind w:left="280" w:firstLine="560"/>
        <w:rPr>
          <w:rFonts w:hint="eastAsia"/>
        </w:rPr>
      </w:pPr>
      <w:r>
        <w:t>为建筑垃圾填埋场项目建设提供前期手续依据支撑，明确该地段是否适合该项目的安全建设。</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编制大宁县建筑垃圾处理厂项目地质灾害危险性评估报告、土地勘测定界技术报告书资金</w:t>
      </w:r>
      <w:r w:rsidRPr="00DC184E">
        <w:rPr>
          <w:rFonts w:hint="eastAsia"/>
        </w:rPr>
        <w:t>项</w:t>
      </w:r>
      <w:r>
        <w:rPr>
          <w:rFonts w:hint="eastAsia"/>
        </w:rPr>
        <w:t>目绩效自评价结果为</w:t>
      </w:r>
      <w:r>
        <w:t>:</w:t>
      </w:r>
      <w:r>
        <w:rPr>
          <w:rFonts w:hint="eastAsia"/>
        </w:rPr>
        <w:t>总得分</w:t>
      </w:r>
      <w:r w:rsidRPr="003A5DD6">
        <w:t>95.42</w:t>
      </w:r>
      <w:r>
        <w:rPr>
          <w:rFonts w:hint="eastAsia"/>
        </w:rPr>
        <w:t>分，属于</w:t>
      </w:r>
      <w:r>
        <w:t>"</w:t>
      </w:r>
      <w:r w:rsidRPr="003A5DD6">
        <w:t>优秀</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F111E">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lastRenderedPageBreak/>
              <w:t>预算执行指标</w:t>
            </w: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DD3A25" w:rsidRDefault="00B85A2B" w:rsidP="00DD3A25">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F111E">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测量地界（套）</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r>
              <w:rPr>
                <w:rFonts w:ascii="仿宋" w:eastAsia="仿宋" w:hAnsi="DengXian" w:cs="仿宋"/>
                <w:color w:val="000000"/>
                <w:kern w:val="0"/>
                <w:sz w:val="24"/>
                <w:szCs w:val="24"/>
                <w:highlight w:val="white"/>
              </w:rPr>
              <w:t>套</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F111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地质灾害评估报告（套）</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r>
              <w:rPr>
                <w:rFonts w:ascii="仿宋" w:eastAsia="仿宋" w:hAnsi="DengXian" w:cs="仿宋"/>
                <w:color w:val="000000"/>
                <w:kern w:val="0"/>
                <w:sz w:val="24"/>
                <w:szCs w:val="24"/>
                <w:highlight w:val="white"/>
              </w:rPr>
              <w:t>套</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F111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编制报告合格率（</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F111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编制报告及时率（</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F111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报告编制成本（万元）</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11.60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11.6</w:t>
            </w:r>
            <w:r>
              <w:rPr>
                <w:rFonts w:ascii="仿宋" w:eastAsia="仿宋" w:hAnsi="DengXian" w:cs="仿宋"/>
                <w:color w:val="000000"/>
                <w:kern w:val="0"/>
                <w:sz w:val="24"/>
                <w:szCs w:val="24"/>
                <w:highlight w:val="white"/>
              </w:rPr>
              <w:t>万元</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E56E53">
      <w:pPr>
        <w:ind w:firstLineChars="0" w:firstLine="0"/>
        <w:rPr>
          <w:szCs w:val="44"/>
        </w:rPr>
      </w:pPr>
    </w:p>
    <w:p w:rsidR="00B85A2B" w:rsidRDefault="00B85A2B" w:rsidP="00E56E53">
      <w:pPr>
        <w:pStyle w:val="-0"/>
        <w:ind w:left="56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F111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生活垃圾无</w:t>
            </w:r>
            <w:r>
              <w:rPr>
                <w:rFonts w:ascii="仿宋" w:eastAsia="仿宋" w:hAnsi="DengXian" w:cs="仿宋"/>
                <w:color w:val="000000"/>
                <w:kern w:val="0"/>
                <w:sz w:val="24"/>
                <w:szCs w:val="24"/>
                <w:highlight w:val="white"/>
              </w:rPr>
              <w:lastRenderedPageBreak/>
              <w:t>害化处理</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15</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r>
      <w:tr w:rsidR="00BF111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bl>
    <w:p w:rsidR="00B85A2B" w:rsidRPr="00DD3A25" w:rsidRDefault="00B85A2B" w:rsidP="00DD3A25">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F111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8.42</w:t>
            </w:r>
          </w:p>
        </w:tc>
      </w:tr>
    </w:tbl>
    <w:p w:rsidR="00B85A2B" w:rsidRPr="00DD3A25" w:rsidRDefault="00B85A2B" w:rsidP="00DD3A25">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Pr="00DD3A25" w:rsidRDefault="00B85A2B" w:rsidP="00DD3A25">
      <w:pPr>
        <w:pStyle w:val="-"/>
        <w:numPr>
          <w:ilvl w:val="0"/>
          <w:numId w:val="8"/>
        </w:numPr>
        <w:ind w:leftChars="250" w:left="1125" w:firstLineChars="0"/>
        <w:rPr>
          <w:rFonts w:ascii="仿宋_GB2312" w:hint="eastAsia"/>
          <w:b/>
        </w:rPr>
      </w:pPr>
      <w:r>
        <w:rPr>
          <w:rFonts w:ascii="仿宋_GB2312" w:hint="eastAsia"/>
          <w:b/>
        </w:rPr>
        <w:t>项目实施和预算执行情况及分析</w:t>
      </w:r>
    </w:p>
    <w:p w:rsidR="00B85A2B" w:rsidRDefault="00193224" w:rsidP="00DD3A25">
      <w:pPr>
        <w:pStyle w:val="-"/>
        <w:ind w:firstLineChars="300" w:firstLine="840"/>
        <w:rPr>
          <w:rFonts w:ascii="仿宋_GB2312"/>
          <w:bCs/>
        </w:rPr>
      </w:pPr>
      <w:r w:rsidRPr="00193224">
        <w:rPr>
          <w:rFonts w:ascii="仿宋_GB2312" w:hint="eastAsia"/>
          <w:bCs/>
        </w:rPr>
        <w:t>编制大宁县建筑垃圾处理厂项目地质灾害危险性评估报告、土地勘测定界技术报告书资金已100%及时发放到位。</w:t>
      </w:r>
      <w:r>
        <w:rPr>
          <w:rFonts w:ascii="仿宋_GB2312" w:hint="eastAsia"/>
          <w:bCs/>
        </w:rPr>
        <w:t>目前</w:t>
      </w:r>
      <w:r>
        <w:rPr>
          <w:rFonts w:ascii="仿宋_GB2312"/>
          <w:bCs/>
        </w:rPr>
        <w:t>已</w:t>
      </w:r>
      <w:r w:rsidRPr="00193224">
        <w:rPr>
          <w:rFonts w:ascii="仿宋_GB2312" w:hint="eastAsia"/>
          <w:bCs/>
        </w:rPr>
        <w:t>完成编制大宁县建筑垃圾处理厂项目地质灾害危险性评估报告、土地勘测定界技术报告书，</w:t>
      </w:r>
      <w:r>
        <w:rPr>
          <w:rFonts w:ascii="仿宋_GB2312" w:hint="eastAsia"/>
          <w:bCs/>
        </w:rPr>
        <w:t>并</w:t>
      </w:r>
      <w:r>
        <w:rPr>
          <w:rFonts w:ascii="仿宋_GB2312"/>
          <w:bCs/>
        </w:rPr>
        <w:t>提供了合格的编制成果。</w:t>
      </w:r>
      <w:r>
        <w:rPr>
          <w:rFonts w:ascii="仿宋_GB2312" w:hint="eastAsia"/>
          <w:bCs/>
        </w:rPr>
        <w:t xml:space="preserve"> </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193224" w:rsidP="00DD3A25">
      <w:pPr>
        <w:pStyle w:val="-"/>
        <w:ind w:firstLine="560"/>
        <w:rPr>
          <w:rFonts w:ascii="仿宋_GB2312" w:hint="eastAsia"/>
          <w:bCs/>
        </w:rPr>
      </w:pPr>
      <w:r>
        <w:rPr>
          <w:rFonts w:ascii="仿宋_GB2312" w:hint="eastAsia"/>
          <w:bCs/>
        </w:rPr>
        <w:t>目前</w:t>
      </w:r>
      <w:r>
        <w:rPr>
          <w:rFonts w:ascii="仿宋_GB2312"/>
          <w:bCs/>
        </w:rPr>
        <w:t>已</w:t>
      </w:r>
      <w:r w:rsidRPr="00193224">
        <w:rPr>
          <w:rFonts w:ascii="仿宋_GB2312" w:hint="eastAsia"/>
          <w:bCs/>
        </w:rPr>
        <w:t>完成编制大宁县建筑垃圾处理厂项目地质灾害危险性评估报告、土地勘测定界技术报告书，</w:t>
      </w:r>
      <w:r>
        <w:rPr>
          <w:rFonts w:ascii="仿宋_GB2312" w:hint="eastAsia"/>
          <w:bCs/>
        </w:rPr>
        <w:t>合格提供</w:t>
      </w:r>
      <w:r>
        <w:rPr>
          <w:rFonts w:ascii="仿宋_GB2312"/>
          <w:bCs/>
        </w:rPr>
        <w:t>编制成果，</w:t>
      </w:r>
      <w:r w:rsidRPr="00193224">
        <w:rPr>
          <w:rFonts w:ascii="仿宋_GB2312" w:hint="eastAsia"/>
          <w:bCs/>
        </w:rPr>
        <w:t>为建筑垃圾场项目选址及用地范围提供了科学指导及鉴定。</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193224" w:rsidP="00DD3A25">
      <w:pPr>
        <w:pStyle w:val="-"/>
        <w:ind w:firstLine="560"/>
        <w:rPr>
          <w:rFonts w:ascii="仿宋_GB2312" w:hint="eastAsia"/>
          <w:bCs/>
        </w:rPr>
      </w:pPr>
      <w:r>
        <w:rPr>
          <w:rFonts w:ascii="仿宋_GB2312" w:hint="eastAsia"/>
          <w:bCs/>
        </w:rPr>
        <w:lastRenderedPageBreak/>
        <w:t>该项目</w:t>
      </w:r>
      <w:r>
        <w:rPr>
          <w:rFonts w:ascii="仿宋_GB2312"/>
          <w:bCs/>
        </w:rPr>
        <w:t>的完成</w:t>
      </w:r>
      <w:r w:rsidRPr="00193224">
        <w:rPr>
          <w:rFonts w:ascii="仿宋_GB2312" w:hint="eastAsia"/>
          <w:bCs/>
        </w:rPr>
        <w:t>为建筑垃圾场项目选址及用地范围提供了科学指导及鉴定。</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DD3A25" w:rsidRDefault="00193224" w:rsidP="00DD3A25">
      <w:pPr>
        <w:pStyle w:val="-"/>
        <w:ind w:firstLineChars="250" w:firstLine="700"/>
        <w:rPr>
          <w:rFonts w:ascii="仿宋_GB2312"/>
          <w:bCs/>
        </w:rPr>
      </w:pPr>
      <w:r w:rsidRPr="00DD3A25">
        <w:rPr>
          <w:rFonts w:ascii="仿宋" w:eastAsia="仿宋" w:hAnsi="DengXian" w:cs="仿宋"/>
          <w:color w:val="000000"/>
          <w:highlight w:val="white"/>
        </w:rPr>
        <w:t>社会公众满意度</w:t>
      </w:r>
      <w:r w:rsidRPr="00DD3A25">
        <w:rPr>
          <w:rFonts w:ascii="仿宋" w:eastAsia="仿宋" w:hAnsi="DengXian" w:cs="仿宋" w:hint="eastAsia"/>
          <w:color w:val="000000"/>
          <w:highlight w:val="white"/>
        </w:rPr>
        <w:t>95</w:t>
      </w:r>
      <w:r w:rsidRPr="00DD3A25">
        <w:rPr>
          <w:rFonts w:ascii="仿宋" w:eastAsia="仿宋" w:hAnsi="DengXian" w:cs="仿宋"/>
          <w:color w:val="000000"/>
          <w:highlight w:val="white"/>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Default="00193224" w:rsidP="00843FC2">
      <w:pPr>
        <w:pStyle w:val="-"/>
        <w:ind w:firstLineChars="300" w:firstLine="840"/>
      </w:pPr>
      <w:r w:rsidRPr="00193224">
        <w:rPr>
          <w:rFonts w:hint="eastAsia"/>
        </w:rPr>
        <w:t>依据住建局财务制度、预算管理制度，支付大宁县建筑垃圾处理厂项目地质灾害危险性评估报告、土地勘测定界技术报告书资金经费支出，该项目的实施编制了大宁县建筑垃圾处理厂项目地质灾害危险性评估报告、土地勘测定界技术报告书，为大宁县建筑垃圾处理厂的建设奠定了基础。</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193224" w:rsidP="00843FC2">
      <w:pPr>
        <w:pStyle w:val="-"/>
        <w:ind w:firstLineChars="300" w:firstLine="840"/>
      </w:pPr>
      <w:r w:rsidRPr="00193224">
        <w:rPr>
          <w:rFonts w:hint="eastAsia"/>
        </w:rPr>
        <w:t>管理制度不健全，部分绩效指标设置不合理，未细化</w:t>
      </w:r>
      <w:r w:rsidRPr="00193224">
        <w:rPr>
          <w:rFonts w:hint="eastAsia"/>
        </w:rPr>
        <w:t xml:space="preserve"> </w:t>
      </w:r>
      <w:r w:rsidRPr="00193224">
        <w:rPr>
          <w:rFonts w:hint="eastAsia"/>
        </w:rPr>
        <w:t>、量化</w:t>
      </w:r>
      <w:r w:rsidRPr="00193224">
        <w:rPr>
          <w:rFonts w:hint="eastAsia"/>
        </w:rPr>
        <w:t>,</w:t>
      </w:r>
      <w:r w:rsidRPr="00193224">
        <w:rPr>
          <w:rFonts w:hint="eastAsia"/>
        </w:rPr>
        <w:t>未能全面反应全部内容。</w:t>
      </w:r>
    </w:p>
    <w:p w:rsidR="00B85A2B" w:rsidRPr="00DD3A25" w:rsidRDefault="00B85A2B" w:rsidP="00DD3A25">
      <w:pPr>
        <w:pStyle w:val="-3"/>
        <w:rPr>
          <w:rFonts w:ascii="仿宋" w:eastAsia="仿宋" w:hAnsi="仿宋" w:cs="仿宋" w:hint="eastAsia"/>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Default="00193224"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193224">
        <w:rPr>
          <w:rFonts w:hint="eastAsia"/>
        </w:rPr>
        <w:t>1</w:t>
      </w:r>
      <w:r w:rsidRPr="00193224">
        <w:rPr>
          <w:rFonts w:hint="eastAsia"/>
        </w:rPr>
        <w:t>、建议严格按照住建局财务制度、预算管理制度，支付大宁县建筑垃圾处理厂项目地质灾害危险性评估报告、土地勘测定界技术报告书资金经费支出，为大宁县建筑垃圾处理厂的建设奠定了基础。</w:t>
      </w:r>
      <w:r w:rsidR="00DD3A25" w:rsidRPr="00DD3A25">
        <w:rPr>
          <w:rFonts w:hint="eastAsia"/>
        </w:rPr>
        <w:t>2</w:t>
      </w:r>
      <w:r w:rsidR="00DD3A25" w:rsidRPr="00DD3A25">
        <w:rPr>
          <w:rFonts w:hint="eastAsia"/>
        </w:rPr>
        <w:t>、进一步改善人居环境、生态环境。</w:t>
      </w:r>
      <w:r w:rsidRPr="00193224">
        <w:rPr>
          <w:rFonts w:hint="eastAsia"/>
        </w:rPr>
        <w:t xml:space="preserve">        </w:t>
      </w:r>
    </w:p>
    <w:p w:rsidR="00B85A2B" w:rsidRPr="00DD3A25" w:rsidRDefault="00B85A2B" w:rsidP="00DD3A25">
      <w:pPr>
        <w:pStyle w:val="-3"/>
        <w:rPr>
          <w:rFonts w:ascii="仿宋" w:eastAsia="仿宋" w:hAnsi="仿宋" w:cs="仿宋" w:hint="eastAsia"/>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BF111E">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F111E">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测量地界（套）</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r>
              <w:rPr>
                <w:rFonts w:ascii="仿宋" w:eastAsia="仿宋" w:hAnsi="DengXian" w:cs="仿宋"/>
                <w:color w:val="000000"/>
                <w:kern w:val="0"/>
                <w:sz w:val="24"/>
                <w:szCs w:val="24"/>
                <w:highlight w:val="white"/>
              </w:rPr>
              <w:t>套</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F111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地质灾害评估报告（套）</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r>
              <w:rPr>
                <w:rFonts w:ascii="仿宋" w:eastAsia="仿宋" w:hAnsi="DengXian" w:cs="仿宋"/>
                <w:color w:val="000000"/>
                <w:kern w:val="0"/>
                <w:sz w:val="24"/>
                <w:szCs w:val="24"/>
                <w:highlight w:val="white"/>
              </w:rPr>
              <w:t>套</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F111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编制报告合格率（</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F111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编制报告及时率（</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F111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报告编制成本（万元）</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11.60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11.6</w:t>
            </w:r>
            <w:r>
              <w:rPr>
                <w:rFonts w:ascii="仿宋" w:eastAsia="仿宋" w:hAnsi="DengXian" w:cs="仿宋"/>
                <w:color w:val="000000"/>
                <w:kern w:val="0"/>
                <w:sz w:val="24"/>
                <w:szCs w:val="24"/>
                <w:highlight w:val="white"/>
              </w:rPr>
              <w:t>万元</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F111E">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生活垃圾无害化处理</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F111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BF111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不断加强可持续影响</w:t>
            </w:r>
          </w:p>
        </w:tc>
      </w:tr>
      <w:tr w:rsidR="00BF111E">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84.21%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8.42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F111E" w:rsidRDefault="00300F6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不断提高受益人员满意度</w:t>
            </w: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65" w:rsidRDefault="00300F65" w:rsidP="00E56E53">
      <w:pPr>
        <w:ind w:firstLine="560"/>
      </w:pPr>
      <w:r>
        <w:separator/>
      </w:r>
    </w:p>
  </w:endnote>
  <w:endnote w:type="continuationSeparator" w:id="0">
    <w:p w:rsidR="00300F65" w:rsidRDefault="00300F65"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300F65">
    <w:pPr>
      <w:pStyle w:val="a6"/>
      <w:ind w:firstLine="360"/>
      <w:jc w:val="center"/>
    </w:pPr>
    <w:r>
      <w:fldChar w:fldCharType="begin"/>
    </w:r>
    <w:r>
      <w:instrText>PAGE   \* MERGEFORMAT</w:instrText>
    </w:r>
    <w:r>
      <w:fldChar w:fldCharType="separate"/>
    </w:r>
    <w:r w:rsidR="00DD3A25" w:rsidRPr="00DD3A25">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65" w:rsidRDefault="00300F65" w:rsidP="00E56E53">
      <w:pPr>
        <w:ind w:firstLine="560"/>
      </w:pPr>
      <w:r>
        <w:separator/>
      </w:r>
    </w:p>
  </w:footnote>
  <w:footnote w:type="continuationSeparator" w:id="0">
    <w:p w:rsidR="00300F65" w:rsidRDefault="00300F65"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93224"/>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0F65"/>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BF111E"/>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DD3A25"/>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7B666"/>
  <w15:docId w15:val="{57252946-FBEF-4B58-9E2C-5937264A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2022-04-12T01:19:00Z</dcterms:created>
  <dcterms:modified xsi:type="dcterms:W3CDTF">2022-04-12T01:19:00Z</dcterms:modified>
</cp:coreProperties>
</file>