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昕水镇小冯村秋沟渠土地征用资金</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w:t>
      </w:r>
    </w:p>
    <w:p>
      <w:pPr>
        <w:spacing w:line="480" w:lineRule="auto"/>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大宁县自然资源局-303001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一、项目的基本情况</w:t>
      </w:r>
      <w:r>
        <w:tab/>
      </w:r>
      <w:r>
        <w:fldChar w:fldCharType="begin"/>
      </w:r>
      <w:r>
        <w:instrText xml:space="preserve"> PAGEREF _Toc61505636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（一）项目概况</w:t>
      </w:r>
      <w:r>
        <w:tab/>
      </w:r>
      <w:r>
        <w:fldChar w:fldCharType="begin"/>
      </w:r>
      <w:r>
        <w:instrText xml:space="preserve"> PAGEREF _Toc61505637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（二）预算执行情况</w:t>
      </w:r>
      <w:r>
        <w:tab/>
      </w:r>
      <w:r>
        <w:fldChar w:fldCharType="begin"/>
      </w:r>
      <w:r>
        <w:instrText xml:space="preserve"> PAGEREF _Toc61505638 \h </w:instrText>
      </w:r>
      <w:r>
        <w:fldChar w:fldCharType="separate"/>
      </w:r>
      <w:r>
        <w:t>1</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（三）项目绩效目标</w:t>
      </w:r>
      <w:r>
        <w:tab/>
      </w:r>
      <w:r>
        <w:fldChar w:fldCharType="begin"/>
      </w:r>
      <w:r>
        <w:instrText xml:space="preserve"> PAGEREF _Toc61505639 \h </w:instrText>
      </w:r>
      <w:r>
        <w:fldChar w:fldCharType="separate"/>
      </w:r>
      <w:r>
        <w:t>2</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二、项目绩效情况</w:t>
      </w:r>
      <w:r>
        <w:tab/>
      </w:r>
      <w:r>
        <w:fldChar w:fldCharType="begin"/>
      </w:r>
      <w:r>
        <w:instrText xml:space="preserve"> PAGEREF _Toc61505641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（一）预算执行情况</w:t>
      </w:r>
      <w:r>
        <w:tab/>
      </w:r>
      <w:r>
        <w:fldChar w:fldCharType="begin"/>
      </w:r>
      <w:r>
        <w:instrText xml:space="preserve"> PAGEREF _Toc61505642 \h </w:instrText>
      </w:r>
      <w:r>
        <w:fldChar w:fldCharType="separate"/>
      </w:r>
      <w:r>
        <w:t>2</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（二）项目产出情况</w:t>
      </w:r>
      <w:r>
        <w:tab/>
      </w:r>
      <w:r>
        <w:fldChar w:fldCharType="begin"/>
      </w:r>
      <w:r>
        <w:instrText xml:space="preserve"> PAGEREF _Toc61505643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（三）项目效益情况</w:t>
      </w:r>
      <w:r>
        <w:tab/>
      </w:r>
      <w:r>
        <w:fldChar w:fldCharType="begin"/>
      </w:r>
      <w:r>
        <w:instrText xml:space="preserve"> PAGEREF _Toc61505644 \h </w:instrText>
      </w:r>
      <w:r>
        <w:fldChar w:fldCharType="separate"/>
      </w:r>
      <w:r>
        <w:t>3</w:t>
      </w:r>
      <w:r>
        <w:fldChar w:fldCharType="end"/>
      </w:r>
    </w:p>
    <w:p>
      <w:pPr>
        <w:pStyle w:val="21"/>
        <w:tabs>
          <w:tab w:val="right" w:leader="dot" w:pos="8296"/>
        </w:tabs>
        <w:ind w:firstLine="400"/>
        <w:rPr>
          <w:rFonts w:ascii="等线" w:hAnsi="等线" w:eastAsia="等线" w:cs="Times New Roman"/>
          <w:smallCaps w:val="0"/>
          <w:sz w:val="21"/>
          <w:szCs w:val="22"/>
        </w:rPr>
      </w:pPr>
      <w:r>
        <w:rPr>
          <w:rFonts w:hint="eastAsia"/>
        </w:rPr>
        <w:t>（四）项目满意度情况</w:t>
      </w:r>
      <w:r>
        <w:tab/>
      </w:r>
      <w:r>
        <w:fldChar w:fldCharType="begin"/>
      </w:r>
      <w:r>
        <w:instrText xml:space="preserve"> PAGEREF _Toc61505645 \h </w:instrText>
      </w:r>
      <w:r>
        <w:fldChar w:fldCharType="separate"/>
      </w:r>
      <w:r>
        <w:t>3</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三、项目绩效分析</w:t>
      </w:r>
      <w:r>
        <w:tab/>
      </w:r>
      <w:r>
        <w:fldChar w:fldCharType="begin"/>
      </w:r>
      <w:r>
        <w:instrText xml:space="preserve"> PAGEREF _Toc61505646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四、项目主要经验做法</w:t>
      </w:r>
      <w:r>
        <w:tab/>
      </w:r>
      <w:r>
        <w:fldChar w:fldCharType="begin"/>
      </w:r>
      <w:r>
        <w:instrText xml:space="preserve"> PAGEREF _Toc61505647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五、项目管理中存在问题及原因分析</w:t>
      </w:r>
      <w:r>
        <w:tab/>
      </w:r>
      <w:r>
        <w:fldChar w:fldCharType="begin"/>
      </w:r>
      <w:r>
        <w:instrText xml:space="preserve"> PAGEREF _Toc61505648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六、进一步加强项目管理措施及建议</w:t>
      </w:r>
      <w:r>
        <w:tab/>
      </w:r>
      <w:r>
        <w:fldChar w:fldCharType="begin"/>
      </w:r>
      <w:r>
        <w:instrText xml:space="preserve"> PAGEREF _Toc61505649 \h </w:instrText>
      </w:r>
      <w:r>
        <w:fldChar w:fldCharType="separate"/>
      </w:r>
      <w:r>
        <w:t>4</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_Toc61505650 \h </w:instrText>
      </w:r>
      <w:r>
        <w:fldChar w:fldCharType="separate"/>
      </w:r>
      <w:r>
        <w:t>1</w:t>
      </w:r>
      <w:r>
        <w:fldChar w:fldCharType="end"/>
      </w:r>
    </w:p>
    <w:p>
      <w:pPr>
        <w:pStyle w:val="18"/>
        <w:tabs>
          <w:tab w:val="right" w:leader="dot" w:pos="8296"/>
        </w:tabs>
        <w:ind w:firstLine="402"/>
        <w:rPr>
          <w:rFonts w:ascii="等线" w:hAnsi="等线" w:eastAsia="等线" w:cs="Times New Roman"/>
          <w:b w:val="0"/>
          <w:bCs w:val="0"/>
          <w:caps w:val="0"/>
          <w:sz w:val="21"/>
          <w:szCs w:val="22"/>
        </w:rPr>
      </w:pPr>
      <w:r>
        <w:rPr>
          <w:rFonts w:hint="eastAsia" w:ascii="仿宋" w:hAnsi="仿宋" w:eastAsia="仿宋" w:cs="仿宋"/>
          <w:bCs w:val="0"/>
        </w:rPr>
        <w:t>附件</w:t>
      </w:r>
      <w:r>
        <w:rPr>
          <w:rFonts w:ascii="仿宋" w:hAnsi="仿宋" w:eastAsia="仿宋" w:cs="仿宋"/>
          <w:bCs w:val="0"/>
        </w:rPr>
        <w:t>2.</w:t>
      </w:r>
      <w:r>
        <w:rPr>
          <w:rFonts w:hint="eastAsia" w:ascii="仿宋" w:hAnsi="仿宋" w:eastAsia="仿宋" w:cs="仿宋"/>
          <w:bCs w:val="0"/>
        </w:rPr>
        <w:t>绩效自评相关资料</w:t>
      </w:r>
      <w:r>
        <w:tab/>
      </w:r>
      <w:r>
        <w:fldChar w:fldCharType="begin"/>
      </w:r>
      <w:r>
        <w:instrText xml:space="preserve"> PAGEREF _Toc61505651 \h </w:instrText>
      </w:r>
      <w:r>
        <w:fldChar w:fldCharType="separate"/>
      </w:r>
      <w:r>
        <w:t>2</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61505636"/>
      <w:r>
        <w:rPr>
          <w:rFonts w:hint="eastAsia" w:ascii="仿宋" w:hAnsi="仿宋" w:eastAsia="仿宋" w:cs="仿宋"/>
          <w:b/>
          <w:bCs w:val="0"/>
        </w:rPr>
        <w:t>一、项目的基本情况</w:t>
      </w:r>
      <w:bookmarkEnd w:id="0"/>
    </w:p>
    <w:p>
      <w:pPr>
        <w:pStyle w:val="46"/>
        <w:ind w:left="560"/>
      </w:pPr>
      <w:bookmarkStart w:id="1" w:name="_Toc61505637"/>
      <w:r>
        <w:rPr>
          <w:rFonts w:hint="eastAsia"/>
        </w:rPr>
        <w:t>（一）项目概况</w:t>
      </w:r>
      <w:bookmarkEnd w:id="1"/>
    </w:p>
    <w:p>
      <w:pPr>
        <w:pStyle w:val="44"/>
        <w:ind w:left="280" w:firstLine="562"/>
      </w:pPr>
      <w:r>
        <w:rPr>
          <w:rFonts w:hint="eastAsia"/>
          <w:b/>
          <w:bCs/>
        </w:rPr>
        <w:t>项目概况：</w:t>
      </w:r>
      <w:r>
        <w:t>按照县政府规划，在小冯村秋沟渠征用土地18.0441亩地，每亩5.2864万元。其中用地涉及农户4户，土地18.0441亩。</w:t>
      </w:r>
    </w:p>
    <w:p>
      <w:pPr>
        <w:pStyle w:val="44"/>
        <w:ind w:left="280" w:firstLine="562"/>
      </w:pPr>
      <w:r>
        <w:rPr>
          <w:rFonts w:hint="eastAsia"/>
          <w:b/>
          <w:bCs/>
        </w:rPr>
        <w:t>立项依据：</w:t>
      </w:r>
      <w:r>
        <w:t>大宁县人民政府常务会议纪要第4次</w:t>
      </w:r>
    </w:p>
    <w:p>
      <w:pPr>
        <w:pStyle w:val="44"/>
        <w:ind w:left="280" w:firstLine="562"/>
      </w:pPr>
      <w:r>
        <w:rPr>
          <w:rFonts w:hint="eastAsia"/>
          <w:b/>
          <w:bCs/>
        </w:rPr>
        <w:t>设立的必要性：</w:t>
      </w:r>
      <w:r>
        <w:rPr>
          <w:rFonts w:hint="eastAsia"/>
        </w:rPr>
        <w:t>能够良好的保障被征地农民的合法权益。</w:t>
      </w:r>
    </w:p>
    <w:p>
      <w:pPr>
        <w:pStyle w:val="44"/>
        <w:ind w:left="280" w:firstLine="562"/>
      </w:pPr>
      <w:r>
        <w:rPr>
          <w:rFonts w:hint="eastAsia"/>
          <w:b/>
          <w:bCs/>
        </w:rPr>
        <w:t>保证项目实施的措施与制度：</w:t>
      </w:r>
      <w:r>
        <w:t>严格执行项目管理制度。 镇政府和村委成立领导组，协助开发商搞好项目建设</w:t>
      </w:r>
    </w:p>
    <w:p>
      <w:pPr>
        <w:pStyle w:val="44"/>
        <w:ind w:left="280" w:firstLine="562"/>
      </w:pPr>
      <w:r>
        <w:rPr>
          <w:rFonts w:hint="eastAsia"/>
          <w:b/>
          <w:bCs/>
        </w:rPr>
        <w:t>项目实施计划：</w:t>
      </w:r>
      <w:r>
        <w:t>扎实有效推进项目建设用地的征地工作，促进全县经济持续发展</w:t>
      </w:r>
    </w:p>
    <w:p>
      <w:pPr>
        <w:widowControl/>
        <w:ind w:firstLine="0" w:firstLineChars="0"/>
        <w:jc w:val="left"/>
        <w:rPr>
          <w:b/>
          <w:szCs w:val="28"/>
        </w:rPr>
      </w:pPr>
      <w:bookmarkStart w:id="2" w:name="_Toc61505638"/>
      <w:r>
        <w:rPr>
          <w:rFonts w:hint="eastAsia"/>
        </w:rPr>
        <w:t>（二）预算执行情况</w:t>
      </w:r>
      <w:bookmarkEnd w:id="2"/>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blPrEx>
          <w:tblCellMar>
            <w:top w:w="0" w:type="dxa"/>
            <w:left w:w="30" w:type="dxa"/>
            <w:bottom w:w="0" w:type="dxa"/>
            <w:right w:w="30" w:type="dxa"/>
          </w:tblCellMar>
        </w:tblPrEx>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95.39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95.39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95.39</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95.39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95.39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95.39</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95.39</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95.39</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95.39</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3" w:name="_Toc61505639"/>
      <w:r>
        <w:rPr>
          <w:rFonts w:hint="eastAsia"/>
        </w:rPr>
        <w:t>（三）项目绩效目标</w:t>
      </w:r>
      <w:bookmarkEnd w:id="3"/>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土地发展引入征地实践来保障农民的土地权和保障国家耕地保护目标的实现</w:t>
      </w:r>
    </w:p>
    <w:p>
      <w:pPr>
        <w:pStyle w:val="44"/>
        <w:rPr>
          <w:rFonts w:hint="eastAsia" w:ascii="Times New Roman" w:hAnsi="Times New Roman" w:eastAsia="仿宋_GB2312" w:cs="Times New Roman"/>
          <w:b/>
          <w:kern w:val="0"/>
          <w:sz w:val="28"/>
          <w:szCs w:val="28"/>
          <w:lang w:val="en-US" w:eastAsia="zh-CN" w:bidi="ar-SA"/>
        </w:rPr>
      </w:pPr>
      <w:r>
        <w:rPr>
          <w:rFonts w:hint="eastAsia" w:ascii="Times New Roman" w:hAnsi="Times New Roman" w:eastAsia="仿宋_GB2312" w:cs="Times New Roman"/>
          <w:b/>
          <w:kern w:val="0"/>
          <w:sz w:val="28"/>
          <w:szCs w:val="28"/>
          <w:lang w:val="en-US" w:eastAsia="zh-CN" w:bidi="ar-SA"/>
        </w:rPr>
        <w:t>（2）. 项目年度目标</w:t>
      </w:r>
    </w:p>
    <w:p>
      <w:pPr>
        <w:pStyle w:val="44"/>
        <w:ind w:left="280" w:firstLine="560"/>
      </w:pPr>
      <w:r>
        <w:t>扎实有效推进项目建设用地的征地工作，促进全县经济持续发展。</w:t>
      </w:r>
    </w:p>
    <w:p>
      <w:pPr>
        <w:pStyle w:val="52"/>
        <w:rPr>
          <w:rFonts w:ascii="仿宋" w:hAnsi="仿宋" w:eastAsia="仿宋" w:cs="仿宋"/>
          <w:b/>
          <w:bCs w:val="0"/>
        </w:rPr>
      </w:pPr>
      <w:bookmarkStart w:id="4" w:name="_Toc61505641"/>
      <w:r>
        <w:rPr>
          <w:rFonts w:hint="eastAsia" w:ascii="仿宋" w:hAnsi="仿宋" w:eastAsia="仿宋" w:cs="仿宋"/>
          <w:b/>
          <w:bCs w:val="0"/>
        </w:rPr>
        <w:t>二、项目绩效情况</w:t>
      </w:r>
      <w:bookmarkEnd w:id="4"/>
    </w:p>
    <w:p>
      <w:pPr>
        <w:pStyle w:val="44"/>
        <w:ind w:left="140" w:leftChars="50" w:firstLine="560"/>
      </w:pPr>
      <w:r>
        <w:rPr>
          <w:rFonts w:hint="eastAsia"/>
        </w:rPr>
        <w:t>综合考虑预算执行情况、产出、效益、服务对象满意度各方面因素，通过数据采集及分析，最终评分结果：</w:t>
      </w:r>
      <w:r>
        <w:t>昕水镇小冯村秋沟渠土地征用资金</w:t>
      </w:r>
      <w:r>
        <w:rPr>
          <w:rFonts w:hint="eastAsia"/>
        </w:rPr>
        <w:t>项目绩效自评价结果为</w:t>
      </w:r>
      <w:r>
        <w:t>:</w:t>
      </w:r>
      <w:r>
        <w:rPr>
          <w:rFonts w:hint="eastAsia"/>
        </w:rPr>
        <w:t>总得分</w:t>
      </w:r>
      <w:r>
        <w:t>100</w:t>
      </w:r>
      <w:r>
        <w:rPr>
          <w:rFonts w:hint="eastAsia"/>
        </w:rPr>
        <w:t>分，属于</w:t>
      </w:r>
      <w:r>
        <w:t>"优秀"</w:t>
      </w:r>
      <w:r>
        <w:rPr>
          <w:rFonts w:hint="eastAsia"/>
        </w:rPr>
        <w:t>。</w:t>
      </w:r>
    </w:p>
    <w:p>
      <w:pPr>
        <w:pStyle w:val="46"/>
        <w:ind w:left="560"/>
      </w:pPr>
      <w:bookmarkStart w:id="5" w:name="_Toc61505642"/>
      <w:r>
        <w:rPr>
          <w:rFonts w:hint="eastAsia"/>
        </w:rPr>
        <w:t>（一）预算执行情况</w:t>
      </w:r>
      <w:bookmarkEnd w:id="5"/>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99.99%</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widowControl/>
        <w:ind w:firstLine="0" w:firstLineChars="0"/>
        <w:jc w:val="left"/>
      </w:pPr>
      <w:bookmarkStart w:id="6" w:name="_Toc61505643"/>
      <w:r>
        <w:rPr>
          <w:rFonts w:hint="eastAsia"/>
        </w:rPr>
        <w:t>（二）项目产出情况</w:t>
      </w:r>
      <w:bookmarkEnd w:id="6"/>
    </w:p>
    <w:tbl>
      <w:tblPr>
        <w:tblStyle w:val="24"/>
        <w:tblW w:w="0" w:type="auto"/>
        <w:jc w:val="center"/>
        <w:tblLayout w:type="fixed"/>
        <w:tblCellMar>
          <w:top w:w="0" w:type="dxa"/>
          <w:left w:w="108" w:type="dxa"/>
          <w:bottom w:w="0" w:type="dxa"/>
          <w:right w:w="108" w:type="dxa"/>
        </w:tblCellMar>
      </w:tblPr>
      <w:tblGrid>
        <w:gridCol w:w="1404"/>
        <w:gridCol w:w="2100"/>
        <w:gridCol w:w="875"/>
        <w:gridCol w:w="1381"/>
        <w:gridCol w:w="1381"/>
        <w:gridCol w:w="1381"/>
      </w:tblGrid>
      <w:tr>
        <w:tblPrEx>
          <w:tblCellMar>
            <w:top w:w="0" w:type="dxa"/>
            <w:left w:w="108" w:type="dxa"/>
            <w:bottom w:w="0" w:type="dxa"/>
            <w:right w:w="108" w:type="dxa"/>
          </w:tblCellMar>
        </w:tblPrEx>
        <w:trPr>
          <w:trHeight w:val="493"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100"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875"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2100"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完成征地亩数（亩）</w:t>
            </w:r>
          </w:p>
        </w:tc>
        <w:tc>
          <w:tcPr>
            <w:tcW w:w="87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18.01</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18.01亩</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2100"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考核质量达标率（%）</w:t>
            </w:r>
          </w:p>
        </w:tc>
        <w:tc>
          <w:tcPr>
            <w:tcW w:w="87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463"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2100"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执法时效及时性</w:t>
            </w:r>
          </w:p>
        </w:tc>
        <w:tc>
          <w:tcPr>
            <w:tcW w:w="87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2100"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项目成本控制数（万）</w:t>
            </w:r>
          </w:p>
        </w:tc>
        <w:tc>
          <w:tcPr>
            <w:tcW w:w="875"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95.39</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95.38万元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pStyle w:val="46"/>
        <w:ind w:left="0" w:leftChars="0" w:firstLine="0" w:firstLineChars="0"/>
      </w:pPr>
      <w:bookmarkStart w:id="7" w:name="_Toc61505644"/>
      <w:r>
        <w:rPr>
          <w:rFonts w:hint="eastAsia"/>
        </w:rPr>
        <w:t>（三）项目效益情况</w:t>
      </w:r>
      <w:bookmarkEnd w:id="7"/>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433"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47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经济效率性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居民知晓度（%）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r>
    </w:tbl>
    <w:p>
      <w:pPr>
        <w:widowControl/>
        <w:ind w:firstLine="0" w:firstLineChars="0"/>
        <w:jc w:val="left"/>
      </w:pPr>
      <w:bookmarkStart w:id="8" w:name="_Toc61505645"/>
      <w:r>
        <w:rPr>
          <w:rFonts w:hint="eastAsia"/>
        </w:rPr>
        <w:t>（四）项目满意度情况</w:t>
      </w:r>
      <w:bookmarkEnd w:id="8"/>
    </w:p>
    <w:tbl>
      <w:tblPr>
        <w:tblStyle w:val="24"/>
        <w:tblW w:w="0" w:type="auto"/>
        <w:jc w:val="center"/>
        <w:tblLayout w:type="fixed"/>
        <w:tblCellMar>
          <w:top w:w="0" w:type="dxa"/>
          <w:left w:w="108" w:type="dxa"/>
          <w:bottom w:w="0" w:type="dxa"/>
          <w:right w:w="108" w:type="dxa"/>
        </w:tblCellMar>
      </w:tblPr>
      <w:tblGrid>
        <w:gridCol w:w="1585"/>
        <w:gridCol w:w="2735"/>
        <w:gridCol w:w="1381"/>
        <w:gridCol w:w="1381"/>
        <w:gridCol w:w="1381"/>
        <w:gridCol w:w="1381"/>
      </w:tblGrid>
      <w:tr>
        <w:tblPrEx>
          <w:tblCellMar>
            <w:top w:w="0" w:type="dxa"/>
            <w:left w:w="108" w:type="dxa"/>
            <w:bottom w:w="0" w:type="dxa"/>
            <w:right w:w="108" w:type="dxa"/>
          </w:tblCellMar>
        </w:tblPrEx>
        <w:trPr>
          <w:trHeight w:val="478" w:hRule="atLeast"/>
          <w:jc w:val="center"/>
        </w:trPr>
        <w:tc>
          <w:tcPr>
            <w:tcW w:w="1585"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735"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492" w:hRule="atLeast"/>
          <w:jc w:val="center"/>
        </w:trPr>
        <w:tc>
          <w:tcPr>
            <w:tcW w:w="15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735"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widowControl/>
        <w:ind w:firstLine="0" w:firstLineChars="0"/>
        <w:jc w:val="left"/>
        <w:rPr>
          <w:rFonts w:ascii="仿宋" w:hAnsi="仿宋" w:eastAsia="仿宋" w:cs="仿宋"/>
          <w:b/>
          <w:bCs w:val="0"/>
        </w:rPr>
      </w:pPr>
      <w:r>
        <w:rPr>
          <w:szCs w:val="44"/>
        </w:rPr>
        <w:br w:type="page"/>
      </w:r>
      <w:bookmarkStart w:id="9" w:name="_Toc61505646"/>
      <w:r>
        <w:rPr>
          <w:rFonts w:hint="eastAsia" w:ascii="仿宋" w:hAnsi="仿宋" w:eastAsia="仿宋" w:cs="仿宋"/>
          <w:b/>
          <w:bCs w:val="0"/>
        </w:rPr>
        <w:t>三、</w:t>
      </w:r>
      <w:bookmarkStart w:id="10" w:name="_Toc23655"/>
      <w:bookmarkStart w:id="11" w:name="_Toc17451"/>
      <w:r>
        <w:rPr>
          <w:rFonts w:hint="eastAsia" w:ascii="仿宋" w:hAnsi="仿宋" w:eastAsia="仿宋" w:cs="仿宋"/>
          <w:b/>
          <w:bCs w:val="0"/>
        </w:rPr>
        <w:t>项目绩效分析</w:t>
      </w:r>
      <w:bookmarkEnd w:id="9"/>
      <w:bookmarkEnd w:id="10"/>
      <w:bookmarkEnd w:id="11"/>
    </w:p>
    <w:p>
      <w:pPr>
        <w:pStyle w:val="44"/>
        <w:numPr>
          <w:ilvl w:val="0"/>
          <w:numId w:val="1"/>
        </w:numPr>
        <w:ind w:left="700" w:leftChars="250" w:firstLineChars="0"/>
        <w:rPr>
          <w:rFonts w:ascii="仿宋_GB2312"/>
          <w:b/>
        </w:rPr>
      </w:pPr>
      <w:r>
        <w:rPr>
          <w:rFonts w:hint="eastAsia" w:ascii="仿宋_GB2312"/>
          <w:b/>
        </w:rPr>
        <w:t>项目实施和预算执行情况及分析</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600"/>
        <w:jc w:val="both"/>
        <w:textAlignment w:val="auto"/>
        <w:rPr>
          <w:rFonts w:ascii="仿宋_GB2312"/>
          <w:bCs/>
        </w:rPr>
      </w:pPr>
      <w:r>
        <w:rPr>
          <w:rFonts w:hint="eastAsia" w:ascii="仿宋_GB2312" w:hAnsi="Times New Roman" w:cs="Times New Roman"/>
          <w:bCs/>
          <w:kern w:val="0"/>
          <w:sz w:val="28"/>
          <w:szCs w:val="28"/>
          <w:lang w:val="en-US" w:eastAsia="zh-CN" w:bidi="ar-SA"/>
        </w:rPr>
        <w:t>昕水镇小冯村秋沟渠土地征用资金预算</w:t>
      </w:r>
      <w:r>
        <w:rPr>
          <w:rFonts w:hint="eastAsia" w:ascii="仿宋_GB2312" w:hAnsi="Times New Roman" w:cs="Times New Roman"/>
          <w:bCs/>
          <w:kern w:val="0"/>
          <w:sz w:val="28"/>
          <w:szCs w:val="28"/>
          <w:lang w:val="en-US" w:eastAsia="zh-CN" w:bidi="ar-SA"/>
        </w:rPr>
        <w:t>95.39万</w:t>
      </w:r>
      <w:r>
        <w:rPr>
          <w:rFonts w:hint="eastAsia" w:ascii="仿宋_GB2312" w:hAnsi="Times New Roman" w:eastAsia="仿宋_GB2312" w:cs="Times New Roman"/>
          <w:bCs/>
          <w:kern w:val="0"/>
          <w:sz w:val="28"/>
          <w:szCs w:val="28"/>
          <w:lang w:val="en-US" w:eastAsia="zh-CN" w:bidi="ar-SA"/>
        </w:rPr>
        <w:t>元，资金到位</w:t>
      </w:r>
      <w:r>
        <w:rPr>
          <w:rFonts w:hint="eastAsia" w:ascii="仿宋_GB2312" w:hAnsi="Times New Roman" w:cs="Times New Roman"/>
          <w:bCs/>
          <w:kern w:val="0"/>
          <w:sz w:val="28"/>
          <w:szCs w:val="28"/>
          <w:lang w:val="en-US" w:eastAsia="zh-CN" w:bidi="ar-SA"/>
        </w:rPr>
        <w:t>95.39</w:t>
      </w:r>
      <w:r>
        <w:rPr>
          <w:rFonts w:hint="eastAsia" w:ascii="仿宋_GB2312" w:hAnsi="Times New Roman" w:eastAsia="仿宋_GB2312" w:cs="Times New Roman"/>
          <w:bCs/>
          <w:kern w:val="0"/>
          <w:sz w:val="28"/>
          <w:szCs w:val="28"/>
          <w:lang w:val="en-US" w:eastAsia="zh-CN" w:bidi="ar-SA"/>
        </w:rPr>
        <w:t>万元，预算执行</w:t>
      </w:r>
      <w:r>
        <w:rPr>
          <w:rFonts w:hint="eastAsia" w:ascii="仿宋_GB2312" w:hAnsi="Times New Roman" w:cs="Times New Roman"/>
          <w:bCs/>
          <w:kern w:val="0"/>
          <w:sz w:val="28"/>
          <w:szCs w:val="28"/>
          <w:lang w:val="en-US" w:eastAsia="zh-CN" w:bidi="ar-SA"/>
        </w:rPr>
        <w:t>95.39</w:t>
      </w:r>
      <w:r>
        <w:rPr>
          <w:rFonts w:hint="eastAsia" w:ascii="仿宋_GB2312" w:hAnsi="Times New Roman" w:eastAsia="仿宋_GB2312" w:cs="Times New Roman"/>
          <w:bCs/>
          <w:kern w:val="0"/>
          <w:sz w:val="28"/>
          <w:szCs w:val="28"/>
          <w:lang w:val="en-US" w:eastAsia="zh-CN" w:bidi="ar-SA"/>
        </w:rPr>
        <w:t>万元，预算执行率</w:t>
      </w:r>
      <w:r>
        <w:rPr>
          <w:rFonts w:hint="eastAsia" w:ascii="仿宋_GB2312" w:hAnsi="Times New Roman" w:cs="Times New Roman"/>
          <w:bCs/>
          <w:kern w:val="0"/>
          <w:sz w:val="28"/>
          <w:szCs w:val="28"/>
          <w:lang w:val="en-US" w:eastAsia="zh-CN" w:bidi="ar-SA"/>
        </w:rPr>
        <w:t>100</w:t>
      </w:r>
      <w:r>
        <w:rPr>
          <w:rFonts w:hint="eastAsia" w:ascii="仿宋_GB2312" w:hAnsi="Times New Roman" w:eastAsia="仿宋_GB2312" w:cs="Times New Roman"/>
          <w:bCs/>
          <w:kern w:val="0"/>
          <w:sz w:val="28"/>
          <w:szCs w:val="28"/>
          <w:lang w:val="en-US" w:eastAsia="zh-CN" w:bidi="ar-SA"/>
        </w:rPr>
        <w:t>%。</w:t>
      </w:r>
    </w:p>
    <w:p>
      <w:pPr>
        <w:pStyle w:val="44"/>
        <w:numPr>
          <w:ilvl w:val="0"/>
          <w:numId w:val="1"/>
        </w:numPr>
        <w:ind w:left="700" w:leftChars="250" w:firstLineChars="0"/>
        <w:rPr>
          <w:rFonts w:ascii="仿宋_GB2312"/>
          <w:b/>
        </w:rPr>
      </w:pPr>
      <w:r>
        <w:rPr>
          <w:rFonts w:hint="eastAsia" w:ascii="仿宋_GB2312"/>
          <w:b/>
        </w:rPr>
        <w:t>产出情况及分析</w:t>
      </w:r>
    </w:p>
    <w:p>
      <w:pPr>
        <w:pStyle w:val="44"/>
        <w:rPr>
          <w:rFonts w:ascii="仿宋_GB2312"/>
          <w:bCs/>
        </w:rPr>
      </w:pPr>
      <w:r>
        <w:rPr>
          <w:rFonts w:hint="eastAsia" w:ascii="仿宋_GB2312"/>
          <w:bCs/>
          <w:lang w:val="en-US" w:eastAsia="zh-CN"/>
        </w:rPr>
        <w:t xml:space="preserve">   资金及时下达，能够尽快完成相关工作。</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firstLine="1120" w:firstLineChars="400"/>
        <w:rPr>
          <w:rFonts w:ascii="仿宋_GB2312"/>
          <w:bCs/>
        </w:rPr>
      </w:pPr>
      <w:r>
        <w:rPr>
          <w:rFonts w:hint="eastAsia" w:ascii="仿宋_GB2312"/>
          <w:bCs/>
        </w:rPr>
        <w:t>能够良好的保障被征地农民的合法权益。</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firstLine="1120" w:firstLineChars="400"/>
        <w:rPr>
          <w:rFonts w:hint="eastAsia" w:ascii="仿宋_GB2312" w:eastAsia="仿宋_GB2312"/>
          <w:bCs/>
          <w:lang w:eastAsia="zh-CN"/>
        </w:rPr>
      </w:pPr>
      <w:r>
        <w:rPr>
          <w:rFonts w:hint="eastAsia" w:ascii="仿宋_GB2312"/>
          <w:bCs/>
        </w:rPr>
        <w:t>农民</w:t>
      </w:r>
      <w:r>
        <w:rPr>
          <w:rFonts w:hint="eastAsia" w:ascii="仿宋_GB2312"/>
          <w:bCs/>
          <w:lang w:eastAsia="zh-CN"/>
        </w:rPr>
        <w:t>满意度较高</w:t>
      </w:r>
      <w:bookmarkStart w:id="17" w:name="_GoBack"/>
      <w:bookmarkEnd w:id="17"/>
    </w:p>
    <w:p>
      <w:pPr>
        <w:pStyle w:val="52"/>
      </w:pPr>
      <w:bookmarkStart w:id="12" w:name="_Toc61505647"/>
      <w:r>
        <w:rPr>
          <w:rFonts w:hint="eastAsia" w:ascii="仿宋" w:hAnsi="仿宋" w:eastAsia="仿宋" w:cs="仿宋"/>
          <w:b/>
          <w:bCs w:val="0"/>
        </w:rPr>
        <w:t>四、项目主要经验做法</w:t>
      </w:r>
      <w:bookmarkEnd w:id="12"/>
      <w:r>
        <w:t xml:space="preserve"> </w:t>
      </w:r>
    </w:p>
    <w:p>
      <w:pPr>
        <w:pStyle w:val="44"/>
        <w:ind w:firstLine="840" w:firstLineChars="300"/>
      </w:pPr>
      <w:r>
        <w:rPr>
          <w:rFonts w:hint="eastAsia"/>
        </w:rPr>
        <w:t>能够良好的保障被征地农民的合法权益。</w:t>
      </w:r>
    </w:p>
    <w:p>
      <w:pPr>
        <w:pStyle w:val="52"/>
        <w:rPr>
          <w:rFonts w:ascii="仿宋" w:hAnsi="仿宋" w:eastAsia="仿宋" w:cs="仿宋"/>
          <w:b/>
          <w:bCs w:val="0"/>
        </w:rPr>
      </w:pPr>
      <w:bookmarkStart w:id="13" w:name="_Toc61505648"/>
      <w:r>
        <w:rPr>
          <w:rFonts w:hint="eastAsia" w:ascii="仿宋" w:hAnsi="仿宋" w:eastAsia="仿宋" w:cs="仿宋"/>
          <w:b/>
          <w:bCs w:val="0"/>
        </w:rPr>
        <w:t>五、项目管理中存在问题及原因分析</w:t>
      </w:r>
      <w:bookmarkEnd w:id="13"/>
    </w:p>
    <w:p>
      <w:pPr>
        <w:pStyle w:val="44"/>
        <w:ind w:firstLine="840" w:firstLineChars="300"/>
      </w:pPr>
      <w:r>
        <w:rPr>
          <w:rFonts w:hint="eastAsia"/>
        </w:rPr>
        <w:t>失地农民再就业比较困难，大多数缺乏非农劳动技能。</w:t>
      </w:r>
    </w:p>
    <w:p>
      <w:pPr>
        <w:pStyle w:val="52"/>
      </w:pPr>
      <w:bookmarkStart w:id="14" w:name="_Toc61505649"/>
      <w:r>
        <w:rPr>
          <w:rFonts w:hint="eastAsia" w:ascii="仿宋" w:hAnsi="仿宋" w:eastAsia="仿宋" w:cs="仿宋"/>
          <w:b/>
          <w:bCs w:val="0"/>
        </w:rPr>
        <w:t>六、进一步加强项目管理措施及建议</w:t>
      </w:r>
      <w:bookmarkEnd w:id="14"/>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严格按照资金管理制度执行</w:t>
      </w:r>
    </w:p>
    <w:p>
      <w:pPr>
        <w:pStyle w:val="52"/>
      </w:pPr>
      <w:bookmarkStart w:id="15" w:name="_Toc61505650"/>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15"/>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blPrEx>
          <w:tblCellMar>
            <w:top w:w="0" w:type="dxa"/>
            <w:left w:w="0" w:type="dxa"/>
            <w:bottom w:w="0" w:type="dxa"/>
            <w:right w:w="0" w:type="dxa"/>
          </w:tblCellMar>
        </w:tblPrEx>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99.99%</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99.99%</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该项目已经完成，剩余资金于年底收回</w:t>
            </w: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完成征地亩数（亩）</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18.01</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18.01亩</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考核质量达标率（%）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执法时效及时性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项目成本控制数（万）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95.39</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95.38万元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99.99%</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经济效率性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居民知晓度（%）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blPrEx>
          <w:tblCellMar>
            <w:top w:w="0" w:type="dxa"/>
            <w:left w:w="0" w:type="dxa"/>
            <w:bottom w:w="0" w:type="dxa"/>
            <w:right w:w="0" w:type="dxa"/>
          </w:tblCellMar>
        </w:tblPrEx>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pStyle w:val="52"/>
        <w:rPr>
          <w:rFonts w:ascii="仿宋" w:hAnsi="仿宋" w:eastAsia="仿宋" w:cs="仿宋"/>
          <w:b/>
          <w:bCs w:val="0"/>
        </w:rPr>
      </w:pPr>
      <w:bookmarkStart w:id="16" w:name="_Toc61505651"/>
      <w:r>
        <w:rPr>
          <w:rFonts w:hint="eastAsia" w:ascii="仿宋" w:hAnsi="仿宋" w:eastAsia="仿宋" w:cs="仿宋"/>
          <w:b/>
          <w:bCs w:val="0"/>
        </w:rPr>
        <w:t>附件</w:t>
      </w:r>
      <w:r>
        <w:rPr>
          <w:rFonts w:ascii="仿宋" w:hAnsi="仿宋" w:eastAsia="仿宋" w:cs="仿宋"/>
          <w:b/>
          <w:bCs w:val="0"/>
        </w:rPr>
        <w:t>2.</w:t>
      </w:r>
      <w:r>
        <w:rPr>
          <w:rFonts w:hint="eastAsia" w:ascii="仿宋" w:hAnsi="仿宋" w:eastAsia="仿宋" w:cs="仿宋"/>
          <w:b/>
          <w:bCs w:val="0"/>
        </w:rPr>
        <w:t>绩效自评相关资料</w:t>
      </w:r>
      <w:bookmarkEnd w:id="16"/>
    </w:p>
    <w:tbl>
      <w:tblPr>
        <w:tblStyle w:val="24"/>
        <w:tblW w:w="12100" w:type="dxa"/>
        <w:jc w:val="center"/>
        <w:tblLayout w:type="autofit"/>
        <w:tblCellMar>
          <w:top w:w="0" w:type="dxa"/>
          <w:left w:w="0" w:type="dxa"/>
          <w:bottom w:w="0" w:type="dxa"/>
          <w:right w:w="0" w:type="dxa"/>
        </w:tblCellMar>
      </w:tblPr>
      <w:tblGrid>
        <w:gridCol w:w="12100"/>
      </w:tblGrid>
      <w:tr>
        <w:tblPrEx>
          <w:tblCellMar>
            <w:top w:w="0" w:type="dxa"/>
            <w:left w:w="0" w:type="dxa"/>
            <w:bottom w:w="0" w:type="dxa"/>
            <w:right w:w="0" w:type="dxa"/>
          </w:tblCellMar>
        </w:tblPrEx>
        <w:trPr>
          <w:trHeight w:val="375" w:hRule="atLeast"/>
          <w:jc w:val="center"/>
        </w:trPr>
        <w:tc>
          <w:tcPr>
            <w:tcW w:w="12100" w:type="dxa"/>
            <w:tcBorders>
              <w:top w:val="single" w:color="000000" w:sz="4" w:space="0"/>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ind w:firstLine="562"/>
              <w:jc w:val="center"/>
              <w:rPr>
                <w:rFonts w:ascii="黑体" w:hAnsi="Arial" w:eastAsia="黑体" w:cs="Arial"/>
                <w:b/>
                <w:bCs/>
                <w:szCs w:val="28"/>
              </w:rPr>
            </w:pPr>
            <w:r>
              <w:rPr>
                <w:rFonts w:hint="eastAsia" w:ascii="仿宋" w:hAnsi="仿宋" w:eastAsia="仿宋" w:cs="仿宋"/>
                <w:b/>
                <w:bCs/>
                <w:szCs w:val="28"/>
              </w:rPr>
              <w:t>附件</w:t>
            </w:r>
            <w:r>
              <w:rPr>
                <w:rFonts w:ascii="仿宋" w:hAnsi="仿宋" w:eastAsia="仿宋" w:cs="仿宋"/>
                <w:b/>
                <w:bCs/>
                <w:szCs w:val="28"/>
              </w:rPr>
              <w:t>2.</w:t>
            </w:r>
            <w:r>
              <w:rPr>
                <w:rFonts w:hint="eastAsia" w:ascii="仿宋" w:hAnsi="仿宋" w:eastAsia="仿宋" w:cs="仿宋"/>
                <w:b/>
                <w:bCs/>
                <w:szCs w:val="28"/>
              </w:rPr>
              <w:t>绩效自评相关资料</w:t>
            </w:r>
          </w:p>
        </w:tc>
      </w:tr>
      <w:tr>
        <w:tblPrEx>
          <w:tblCellMar>
            <w:top w:w="0" w:type="dxa"/>
            <w:left w:w="0" w:type="dxa"/>
            <w:bottom w:w="0" w:type="dxa"/>
            <w:right w:w="0" w:type="dxa"/>
          </w:tblCellMar>
        </w:tblPrEx>
        <w:trPr>
          <w:trHeight w:val="5267" w:hRule="atLeast"/>
          <w:jc w:val="center"/>
        </w:trPr>
        <w:tc>
          <w:tcPr>
            <w:tcW w:w="121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ind w:firstLine="562"/>
              <w:jc w:val="center"/>
              <w:rPr>
                <w:rFonts w:ascii="仿宋" w:hAnsi="仿宋" w:eastAsia="仿宋" w:cs="仿宋"/>
                <w:b/>
                <w:bCs/>
                <w:szCs w:val="28"/>
              </w:rPr>
            </w:pPr>
          </w:p>
        </w:tc>
      </w:tr>
    </w:tbl>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liMDUyMjc2YzhhYzIyMTVlZDBiYTNkNzY1OTUyNTQifQ=="/>
  </w:docVars>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4C005A4D"/>
    <w:rsid w:val="57EB46F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qFormat/>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qFormat/>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qFormat/>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qFormat/>
    <w:locked/>
    <w:uiPriority w:val="99"/>
    <w:rPr>
      <w:rFonts w:cs="Times New Roman"/>
      <w:sz w:val="18"/>
      <w:szCs w:val="18"/>
    </w:rPr>
  </w:style>
  <w:style w:type="character" w:customStyle="1" w:styleId="35">
    <w:name w:val="Body Text Indent Char"/>
    <w:basedOn w:val="26"/>
    <w:link w:val="4"/>
    <w:semiHidden/>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locked/>
    <w:uiPriority w:val="99"/>
    <w:rPr>
      <w:rFonts w:ascii="Times New Roman" w:hAnsi="Times New Roman" w:eastAsia="仿宋_GB2312"/>
      <w:kern w:val="0"/>
      <w:sz w:val="28"/>
    </w:rPr>
  </w:style>
  <w:style w:type="paragraph" w:customStyle="1" w:styleId="46">
    <w:name w:val="闻政-正文二级标题"/>
    <w:basedOn w:val="5"/>
    <w:next w:val="44"/>
    <w:link w:val="47"/>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locked/>
    <w:uiPriority w:val="99"/>
    <w:rPr>
      <w:rFonts w:ascii="Times New Roman" w:hAnsi="Times New Roman" w:eastAsia="仿宋_GB2312"/>
      <w:b/>
      <w:kern w:val="0"/>
      <w:sz w:val="32"/>
    </w:rPr>
  </w:style>
  <w:style w:type="paragraph" w:customStyle="1" w:styleId="48">
    <w:name w:val="闻政-正文三级标题"/>
    <w:basedOn w:val="1"/>
    <w:next w:val="44"/>
    <w:link w:val="49"/>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8</Pages>
  <Words>1472</Words>
  <Characters>1759</Characters>
  <Lines>0</Lines>
  <Paragraphs>0</Paragraphs>
  <TotalTime>0</TotalTime>
  <ScaleCrop>false</ScaleCrop>
  <LinksUpToDate>false</LinksUpToDate>
  <CharactersWithSpaces>1785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Administrator</cp:lastModifiedBy>
  <cp:lastPrinted>2022-03-28T08:57:00Z</cp:lastPrinted>
  <dcterms:modified xsi:type="dcterms:W3CDTF">2022-05-11T09:23:23Z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72B1C7C5FCBE46DD972BE5182AC68C32</vt:lpwstr>
  </property>
</Properties>
</file>