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土地出让业务经费</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土地出让业务费为了出让土地而发生的土地勘测、确权、测绘、评估、拍卖而向所有人以有偿方式取得土地所有权的单位征收的一种费用。</w:t>
      </w:r>
    </w:p>
    <w:p>
      <w:pPr>
        <w:pStyle w:val="44"/>
        <w:ind w:left="280" w:firstLine="562"/>
      </w:pPr>
      <w:r>
        <w:rPr>
          <w:rFonts w:hint="eastAsia"/>
          <w:b/>
          <w:bCs/>
        </w:rPr>
        <w:t>立项依据：</w:t>
      </w:r>
      <w:r>
        <w:t>《土地管理法》第五十五条</w:t>
      </w:r>
    </w:p>
    <w:p>
      <w:pPr>
        <w:pStyle w:val="44"/>
        <w:ind w:left="280" w:firstLine="562"/>
      </w:pPr>
      <w:r>
        <w:rPr>
          <w:rFonts w:hint="eastAsia"/>
          <w:b/>
          <w:bCs/>
        </w:rPr>
        <w:t>设立的必要性：</w:t>
      </w:r>
      <w:r>
        <w:t>土地出让业务费的适用范围涵括所有的土地管理业务，包括土地勘测费，评估费，公告费、场地租金、评标费等等</w:t>
      </w:r>
    </w:p>
    <w:p>
      <w:pPr>
        <w:pStyle w:val="44"/>
        <w:ind w:left="280" w:firstLine="562"/>
      </w:pPr>
      <w:r>
        <w:rPr>
          <w:rFonts w:hint="eastAsia"/>
          <w:b/>
          <w:bCs/>
        </w:rPr>
        <w:t>保证项目实施的措施与制度：</w:t>
      </w:r>
      <w:r>
        <w:t>国有土地有偿出让收入包括国有土地使用权出让金和国有土地使用租金</w:t>
      </w:r>
    </w:p>
    <w:p>
      <w:pPr>
        <w:pStyle w:val="44"/>
        <w:ind w:left="280" w:firstLine="562"/>
      </w:pPr>
      <w:r>
        <w:rPr>
          <w:rFonts w:hint="eastAsia"/>
          <w:b/>
          <w:bCs/>
        </w:rPr>
        <w:t>项目实施计划：</w:t>
      </w:r>
      <w:r>
        <w:t>土地出让业务费为了出让土地而发生的土地勘测、确权、测绘、评估、拍卖而向所有人以有偿方式取得土地所有权的单位征收的一种费用。土地出让业务费的适用范围涵括所有的土地管理业务，包括土地勘测费，评估费，公告费、场地租金、评标费等等</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土地出让业务费为了出让土地而发生的土地勘测、确权、测绘、评估、拍卖而向所有人以有偿方式取得土地所有权的单位征收的一种费用。预计2021年12月底完成</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土地出让业务费为了出让土地而发生的土地勘测、确权、测绘、评估、拍卖而向所有人以有偿方式取得土地所有权的单位征收的一种费用。预计2021年12月底完成</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土地出让业务经费</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征地完成及时性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bCs/>
        </w:rPr>
      </w:pPr>
      <w:r>
        <w:t>土地出让业务费</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12</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12</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12</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0" w:leftChars="0" w:firstLine="840" w:firstLineChars="300"/>
        <w:rPr>
          <w:rFonts w:ascii="仿宋_GB2312"/>
          <w:bCs/>
        </w:rPr>
      </w:pPr>
      <w:r>
        <w:t>土地出让业务费为了出让土地而发生的土地勘测、确权、测绘、评估、拍卖而向所有人以有偿方式取得土地所有权的单位征收的一种费用。</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840" w:firstLineChars="300"/>
        <w:rPr>
          <w:rFonts w:hint="eastAsia" w:ascii="仿宋_GB2312" w:eastAsia="仿宋_GB2312"/>
          <w:bCs/>
          <w:lang w:val="en-US" w:eastAsia="zh-CN"/>
        </w:rPr>
      </w:pPr>
      <w:r>
        <w:t>土地出让业务费为了出让土地而发生的土地勘测、确权、测绘、评估、拍卖而向所有人以有偿方式取得土地</w:t>
      </w:r>
      <w:r>
        <w:rPr>
          <w:rFonts w:hint="eastAsia"/>
          <w:lang w:val="en-US" w:eastAsia="zh-CN"/>
        </w:rPr>
        <w:t xml:space="preserve"> </w:t>
      </w:r>
      <w:r>
        <w:t>所有权的单位征收的一种费</w:t>
      </w:r>
      <w:r>
        <w:rPr>
          <w:rFonts w:hint="eastAsia"/>
          <w:lang w:eastAsia="zh-CN"/>
        </w:rPr>
        <w:t>用。</w:t>
      </w:r>
    </w:p>
    <w:p>
      <w:pPr>
        <w:pStyle w:val="44"/>
        <w:numPr>
          <w:ilvl w:val="0"/>
          <w:numId w:val="1"/>
        </w:numPr>
        <w:ind w:left="700" w:leftChars="250" w:firstLineChars="0"/>
        <w:rPr>
          <w:rFonts w:ascii="仿宋_GB2312"/>
          <w:b/>
        </w:rPr>
      </w:pPr>
      <w:r>
        <w:rPr>
          <w:rFonts w:hint="eastAsia" w:ascii="仿宋_GB2312"/>
          <w:b/>
        </w:rPr>
        <w:t>满意度情况及分析</w:t>
      </w:r>
    </w:p>
    <w:p>
      <w:pPr>
        <w:pStyle w:val="44"/>
        <w:numPr>
          <w:ilvl w:val="0"/>
          <w:numId w:val="0"/>
        </w:numPr>
        <w:ind w:firstLine="560" w:firstLineChars="200"/>
        <w:rPr>
          <w:rFonts w:hint="eastAsia" w:ascii="仿宋_GB2312" w:eastAsia="仿宋_GB2312"/>
          <w:b/>
          <w:lang w:eastAsia="zh-CN"/>
        </w:rPr>
      </w:pPr>
      <w:r>
        <w:rPr>
          <w:rFonts w:hint="eastAsia"/>
          <w:lang w:eastAsia="zh-CN"/>
        </w:rPr>
        <w:t>群众满意度较高</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土地出让业务费为了出让土地而发生的土地勘测、确权、测绘、评估、拍卖而向所有人以有偿方式取得土地所有权的单位征收的一种费用。</w:t>
      </w:r>
    </w:p>
    <w:p>
      <w:pPr>
        <w:pStyle w:val="52"/>
        <w:numPr>
          <w:ilvl w:val="0"/>
          <w:numId w:val="2"/>
        </w:numPr>
        <w:rPr>
          <w:rFonts w:hint="eastAsia" w:ascii="仿宋" w:hAnsi="仿宋" w:eastAsia="仿宋" w:cs="仿宋"/>
          <w:b/>
          <w:bCs w:val="0"/>
        </w:rPr>
      </w:pPr>
      <w:bookmarkStart w:id="13" w:name="_Toc61505648"/>
      <w:r>
        <w:rPr>
          <w:rFonts w:hint="eastAsia" w:ascii="仿宋" w:hAnsi="仿宋" w:eastAsia="仿宋" w:cs="仿宋"/>
          <w:b/>
          <w:bCs w:val="0"/>
        </w:rPr>
        <w:t>项目管理中存在问题及原因分析</w:t>
      </w:r>
      <w:bookmarkEnd w:id="13"/>
    </w:p>
    <w:p>
      <w:pPr>
        <w:pStyle w:val="44"/>
        <w:numPr>
          <w:ilvl w:val="0"/>
          <w:numId w:val="0"/>
        </w:numPr>
        <w:rPr>
          <w:rFonts w:hint="default" w:eastAsia="仿宋_GB2312"/>
          <w:lang w:val="en-US" w:eastAsia="zh-CN"/>
        </w:rPr>
      </w:pPr>
      <w:r>
        <w:rPr>
          <w:rFonts w:hint="eastAsia"/>
          <w:lang w:val="en-US" w:eastAsia="zh-CN"/>
        </w:rPr>
        <w:t xml:space="preserve">    </w:t>
      </w:r>
      <w:r>
        <w:t>为了出让土地而发生的土地勘测</w:t>
      </w:r>
      <w:bookmarkStart w:id="17" w:name="_GoBack"/>
      <w:bookmarkEnd w:id="17"/>
      <w:r>
        <w:t>、确权、测绘、评估、拍卖而向所有人以有偿方式取得土地所有权的单位征收的一种费用。</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ind w:left="0" w:leftChars="0" w:firstLine="560" w:firstLineChars="200"/>
        <w:sectPr>
          <w:footerReference r:id="rId11" w:type="default"/>
          <w:pgSz w:w="16838" w:h="11906" w:orient="landscape"/>
          <w:pgMar w:top="1800" w:right="1440" w:bottom="1800" w:left="1440" w:header="851" w:footer="992" w:gutter="0"/>
          <w:pgNumType w:start="1"/>
          <w:cols w:space="425" w:num="1"/>
          <w:docGrid w:type="lines" w:linePitch="381" w:charSpace="0"/>
        </w:sectPr>
      </w:pPr>
      <w:r>
        <w:t>土地出让业务费为了出让土地而发生的土地勘测、确权、测绘、评估、拍卖而向所有人以有偿方式取得土地所有权的单位征收的一种费用。</w:t>
      </w: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征地完成及时性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850CA"/>
    <w:multiLevelType w:val="singleLevel"/>
    <w:tmpl w:val="CD6850CA"/>
    <w:lvl w:ilvl="0" w:tentative="0">
      <w:start w:val="5"/>
      <w:numFmt w:val="chineseCounting"/>
      <w:suff w:val="nothing"/>
      <w:lvlText w:val="%1、"/>
      <w:lvlJc w:val="left"/>
      <w:rPr>
        <w:rFonts w:hint="eastAsia"/>
      </w:rPr>
    </w:lvl>
  </w:abstractNum>
  <w:abstractNum w:abstractNumId="1">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C211EE0"/>
    <w:rsid w:val="374607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uiPriority w:val="99"/>
    <w:rPr>
      <w:b w:val="0"/>
    </w:rPr>
  </w:style>
  <w:style w:type="character" w:customStyle="1" w:styleId="51">
    <w:name w:val="闻政-正文四级标题 Char"/>
    <w:link w:val="50"/>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1933</Words>
  <Characters>2174</Characters>
  <Lines>0</Lines>
  <Paragraphs>0</Paragraphs>
  <TotalTime>1</TotalTime>
  <ScaleCrop>false</ScaleCrop>
  <LinksUpToDate>false</LinksUpToDate>
  <CharactersWithSpaces>2201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2022-03-28T08:37:00Z</cp:lastPrinted>
  <dcterms:modified xsi:type="dcterms:W3CDTF">2022-05-11T09:19:47Z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85291629BD1943F0902A993A8B35B227</vt:lpwstr>
  </property>
</Properties>
</file>