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耕地后备资源调查项目</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6</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此项目调查以第三次国土调查及2020年度国土变更调查数据为基础，其他相关资料为应证套，摸清全县耕地后备资源的类型、数量、质量和分布情况，分析土地开发、复垦、整理适宜性及其对生态环境产生的影响，提出整理开发的措施，为进一步土地开发复垦整理提供基础信息，同时也为制定土地开发、复垦、整理专项规划和项目评估提供依据。</w:t>
      </w:r>
    </w:p>
    <w:p>
      <w:pPr>
        <w:pStyle w:val="44"/>
        <w:ind w:left="280" w:firstLine="562"/>
      </w:pPr>
      <w:r>
        <w:rPr>
          <w:rFonts w:hint="eastAsia"/>
          <w:b/>
          <w:bCs/>
        </w:rPr>
        <w:t>立项依据：</w:t>
      </w:r>
      <w:r>
        <w:t>《中华人民共和国土地管理法》《中华人民共和国水土保持法》《中华人民共和国土地管理法实施条例》《自然资源部办公厅关于开展全国耕地后备资源调查评价工作的通知》</w:t>
      </w:r>
    </w:p>
    <w:p>
      <w:pPr>
        <w:pStyle w:val="44"/>
        <w:ind w:left="280" w:firstLine="562"/>
        <w:rPr>
          <w:rFonts w:hint="eastAsia" w:eastAsia="仿宋_GB2312"/>
          <w:lang w:eastAsia="zh-CN"/>
        </w:rPr>
      </w:pPr>
      <w:r>
        <w:rPr>
          <w:rFonts w:hint="eastAsia"/>
          <w:b/>
          <w:bCs/>
        </w:rPr>
        <w:t>设立的必要性：</w:t>
      </w:r>
      <w:r>
        <w:t>国土变更调查数据为基础，其他相关资料为应证套，摸清全县耕地后备资源的类型、数量、质量和分布情况，分析土地开发</w:t>
      </w:r>
      <w:r>
        <w:rPr>
          <w:rFonts w:hint="eastAsia"/>
          <w:lang w:eastAsia="zh-CN"/>
        </w:rPr>
        <w:t>。</w:t>
      </w:r>
    </w:p>
    <w:p>
      <w:pPr>
        <w:pStyle w:val="44"/>
        <w:ind w:left="280" w:firstLine="562"/>
      </w:pPr>
      <w:r>
        <w:rPr>
          <w:rFonts w:hint="eastAsia"/>
          <w:b/>
          <w:bCs/>
        </w:rPr>
        <w:t>保证项目实施的措施与制度：</w:t>
      </w:r>
      <w:r>
        <w:t>此项目调查以第三次国土调查及2020年度国土变更调查数据为基础，其他相关资料为应证套，摸清全县耕地后备资源的类型、数量、质量和分布情况，分析土地开发、复垦、整理适宜性及其对生态环境产生的影响，提出整理开发的措施，为进一步土地开发复垦整理提供基础信息，同时也为制定土地开发、复垦、整理专项规划和项目评估提供依据。</w:t>
      </w:r>
    </w:p>
    <w:p>
      <w:pPr>
        <w:pStyle w:val="44"/>
        <w:ind w:left="280" w:firstLine="562"/>
      </w:pPr>
      <w:r>
        <w:rPr>
          <w:rFonts w:hint="eastAsia"/>
          <w:b/>
          <w:bCs/>
        </w:rPr>
        <w:t>项目实施计划：</w:t>
      </w:r>
      <w:r>
        <w:t>此项目调查以第三次国土调查及2020年度国土变更调查数据为基础，其他相关资料为应证套，摸清全县耕地后备资源的类型、数量、质量和分布情况，分析土地开发、复垦、整理适宜性及其对生态环境产生的影响，提出整理开发的措施，为进一步土地开发复垦整理提供基础信息，同时也为制定土地开发、复垦、整理专项规划和项目评估提供依据。</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12.76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12.76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12.76</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0.24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0.24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0.24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98.15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98.15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98.15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此项目调查以第三次国土调查及2020年度国土变更调查数据为基础，其他相关资料为应证套，摸清全县耕地后备资源的类型、数量、质量和分布情况，分析土地开发、复垦、整理适宜性及其对生态环境产生的影响，提出整理开发的措施，为进一步土地开发复垦整理提供基础信息，同时也为制定土地开发、复垦、整理专项规划和项目评估提供依据。</w:t>
      </w:r>
    </w:p>
    <w:p>
      <w:pPr>
        <w:pStyle w:val="44"/>
        <w:ind w:left="0" w:leftChars="0" w:firstLine="0" w:firstLineChars="0"/>
      </w:pPr>
      <w:r>
        <w:rPr>
          <w:rFonts w:hint="eastAsia"/>
        </w:rPr>
        <w:t>（</w:t>
      </w:r>
      <w:r>
        <w:t>2</w:t>
      </w:r>
      <w:r>
        <w:rPr>
          <w:rFonts w:hint="eastAsia"/>
        </w:rPr>
        <w:t>）</w:t>
      </w:r>
      <w:r>
        <w:t xml:space="preserve">. </w:t>
      </w:r>
      <w:r>
        <w:rPr>
          <w:rFonts w:hint="eastAsia"/>
        </w:rPr>
        <w:t>项目年度目标</w:t>
      </w:r>
    </w:p>
    <w:p>
      <w:pPr>
        <w:pStyle w:val="44"/>
        <w:ind w:left="280" w:firstLine="560"/>
      </w:pPr>
      <w:r>
        <w:t>通过补充耕地确保耕地总量动态平衡，促进经济快速、健康、可持续发展服务。</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耕地后备资源调查项目</w:t>
      </w:r>
      <w:r>
        <w:rPr>
          <w:rFonts w:hint="eastAsia"/>
        </w:rPr>
        <w:t>项目绩效自评价结果为</w:t>
      </w:r>
      <w:r>
        <w:t>:</w:t>
      </w:r>
      <w:r>
        <w:rPr>
          <w:rFonts w:hint="eastAsia"/>
        </w:rPr>
        <w:t>总得分</w:t>
      </w:r>
      <w:r>
        <w:t>99.81</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98.14%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9.81</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63"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经济行业覆盖率（%）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44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widowControl/>
        <w:ind w:firstLine="0" w:firstLineChars="0"/>
        <w:jc w:val="left"/>
        <w:rPr>
          <w:rFonts w:ascii="仿宋" w:hAnsi="仿宋" w:eastAsia="仿宋" w:cs="仿宋"/>
          <w:b/>
          <w:bCs w:val="0"/>
        </w:rPr>
      </w:pPr>
      <w:r>
        <w:rPr>
          <w:szCs w:val="44"/>
        </w:rPr>
        <w:br w:type="page"/>
      </w: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Cs/>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bCs/>
        </w:rPr>
      </w:pPr>
      <w:r>
        <w:rPr>
          <w:rFonts w:hint="eastAsia" w:ascii="仿宋_GB2312" w:hAnsi="Times New Roman" w:eastAsia="仿宋_GB2312" w:cs="Times New Roman"/>
          <w:bCs/>
          <w:kern w:val="0"/>
          <w:sz w:val="28"/>
          <w:szCs w:val="28"/>
          <w:lang w:val="en-US" w:eastAsia="zh-CN" w:bidi="ar-SA"/>
        </w:rPr>
        <w:t>耕地后备资源调查项目</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13</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13</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12.76</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98.14</w:t>
      </w:r>
      <w:r>
        <w:rPr>
          <w:rFonts w:hint="eastAsia" w:ascii="仿宋_GB2312" w:hAnsi="Times New Roman" w:eastAsia="仿宋_GB2312" w:cs="Times New Roman"/>
          <w:bCs/>
          <w:kern w:val="0"/>
          <w:sz w:val="28"/>
          <w:szCs w:val="28"/>
          <w:lang w:val="en-US" w:eastAsia="zh-CN" w:bidi="ar-SA"/>
        </w:rPr>
        <w:t>%，剩余资金已退回。</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0" w:leftChars="0" w:firstLine="840" w:firstLineChars="300"/>
        <w:rPr>
          <w:rFonts w:ascii="仿宋_GB2312"/>
          <w:bCs/>
        </w:rPr>
      </w:pPr>
      <w:r>
        <w:rPr>
          <w:rFonts w:hint="eastAsia" w:ascii="仿宋_GB2312"/>
          <w:bCs/>
        </w:rPr>
        <w:t>为评价工作顺利实施垫定坚实基础。大量的外业工作使评价结果客观真实。</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0" w:leftChars="0" w:firstLine="0" w:firstLineChars="0"/>
        <w:rPr>
          <w:rFonts w:hint="default" w:ascii="仿宋_GB2312" w:eastAsia="仿宋_GB2312"/>
          <w:bCs/>
          <w:lang w:val="en-US" w:eastAsia="zh-CN"/>
        </w:rPr>
      </w:pPr>
      <w:r>
        <w:rPr>
          <w:rFonts w:hint="eastAsia" w:ascii="仿宋_GB2312"/>
          <w:bCs/>
          <w:lang w:val="en-US" w:eastAsia="zh-CN"/>
        </w:rPr>
        <w:t xml:space="preserve">     为评价工作顺利实施垫定坚实基础。大量的外业工作使评价结果客观真实。</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280" w:firstLine="562"/>
        <w:rPr>
          <w:rFonts w:hint="eastAsia" w:ascii="仿宋_GB2312" w:eastAsia="仿宋_GB2312"/>
          <w:bCs/>
          <w:lang w:eastAsia="zh-CN"/>
        </w:rPr>
      </w:pPr>
      <w:r>
        <w:rPr>
          <w:rFonts w:hint="eastAsia"/>
          <w:lang w:eastAsia="zh-CN"/>
        </w:rPr>
        <w:t>群众满意度较高</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pPr>
      <w:r>
        <w:t>为进一步土地开发复垦整理提供</w:t>
      </w:r>
      <w:bookmarkStart w:id="17" w:name="_GoBack"/>
      <w:bookmarkEnd w:id="17"/>
      <w:r>
        <w:t>基础信息，同时也为制定土地开发、复垦、整理专项规划和项目评估提供依据。</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pPr>
      <w:r>
        <w:rPr>
          <w:rFonts w:hint="eastAsia"/>
        </w:rPr>
        <w:t>省级、市级及时沟通吃透政策评价结果符合当前国土数据牵一发而动全身的趋势。同时工作中也遇到底图数据与实地现状不相符等问题</w:t>
      </w:r>
    </w:p>
    <w:p>
      <w:pPr>
        <w:pStyle w:val="52"/>
      </w:pPr>
      <w:bookmarkStart w:id="14" w:name="_Toc61505649"/>
      <w:r>
        <w:rPr>
          <w:rFonts w:hint="eastAsia" w:ascii="仿宋" w:hAnsi="仿宋" w:eastAsia="仿宋" w:cs="仿宋"/>
          <w:b/>
          <w:bCs w:val="0"/>
        </w:rPr>
        <w:t>六、进一步加强项目管理措施及建议</w:t>
      </w:r>
      <w:bookmarkEnd w:id="14"/>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满足理论评价要求的基础上，数据整体偏大。实际实施中需结果开发项目设计要求选择地块。</w:t>
      </w: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98.14%</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98.14%</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9.81</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根据项目进度进行支付，项目已经完成。</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经济行业覆盖率（%）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105.26%</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105.26%</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105.56%</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4F617838"/>
    <w:rsid w:val="4FB123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locked/>
    <w:uiPriority w:val="99"/>
    <w:rPr>
      <w:rFonts w:ascii="Calibri" w:hAnsi="Calibri" w:eastAsia="仿宋_GB2312" w:cs="Times New Roman"/>
      <w:bCs/>
      <w:kern w:val="0"/>
      <w:sz w:val="32"/>
      <w:szCs w:val="32"/>
    </w:rPr>
  </w:style>
  <w:style w:type="character" w:customStyle="1" w:styleId="32">
    <w:name w:val="Heading 4 Char"/>
    <w:basedOn w:val="26"/>
    <w:link w:val="8"/>
    <w:semiHidden/>
    <w:locked/>
    <w:uiPriority w:val="99"/>
    <w:rPr>
      <w:rFonts w:ascii="Cambria" w:hAnsi="Cambria" w:eastAsia="宋体" w:cs="Times New Roman"/>
      <w:b/>
      <w:bCs/>
      <w:kern w:val="0"/>
      <w:sz w:val="28"/>
      <w:szCs w:val="28"/>
    </w:rPr>
  </w:style>
  <w:style w:type="character" w:customStyle="1" w:styleId="33">
    <w:name w:val="Header Char"/>
    <w:basedOn w:val="26"/>
    <w:link w:val="17"/>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locked/>
    <w:uiPriority w:val="99"/>
    <w:rPr>
      <w:rFonts w:ascii="宋体" w:hAnsi="Calibri" w:eastAsia="宋体" w:cs="Times New Roman"/>
      <w:kern w:val="0"/>
      <w:sz w:val="18"/>
      <w:szCs w:val="18"/>
    </w:rPr>
  </w:style>
  <w:style w:type="character" w:customStyle="1" w:styleId="43">
    <w:name w:val="No Spacing Char"/>
    <w:link w:val="6"/>
    <w:locked/>
    <w:uiPriority w:val="99"/>
    <w:rPr>
      <w:rFonts w:ascii="Calibri" w:hAnsi="Calibri" w:eastAsia="仿宋_GB2312"/>
      <w:sz w:val="22"/>
    </w:rPr>
  </w:style>
  <w:style w:type="paragraph" w:customStyle="1" w:styleId="44">
    <w:name w:val="闻政-正文段落文字"/>
    <w:basedOn w:val="1"/>
    <w:link w:val="45"/>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2254</Words>
  <Characters>2563</Characters>
  <Lines>0</Lines>
  <Paragraphs>0</Paragraphs>
  <TotalTime>1</TotalTime>
  <ScaleCrop>false</ScaleCrop>
  <LinksUpToDate>false</LinksUpToDate>
  <CharactersWithSpaces>2590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2022-03-28T03:32:00Z</cp:lastPrinted>
  <dcterms:modified xsi:type="dcterms:W3CDTF">2022-05-11T09:12:41Z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7D2B431FF2754A039ECCDD75135E0B50</vt:lpwstr>
  </property>
</Properties>
</file>