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耕地保护和改进占补平衡工作经费</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耕地是最为宝贵的资源，关系粮食安全和“三农”问题，必须保护好，绝不能有闪失。当前,我省经济发展进入新常态，转型综改试验区建设和供给侧结构性改革深入推进,用地需求增加，耕地后备资源不断减少，实现耕地占补平衡、占优补优的难度日益加大，激励约束机制尚不健全，耕地保护面临多重压力。为深入贯彻落实《中共中央、国务院关于加强耕地保护和改进占补平衡的意见》(中发〔2017〕4号)，进一步加强全省耕地保护工作，改进耕地占补平衡管理</w:t>
      </w:r>
    </w:p>
    <w:p>
      <w:pPr>
        <w:pStyle w:val="44"/>
        <w:ind w:left="280" w:firstLine="562"/>
      </w:pPr>
      <w:r>
        <w:rPr>
          <w:rFonts w:hint="eastAsia"/>
          <w:b/>
          <w:bCs/>
        </w:rPr>
        <w:t>立项依据：</w:t>
      </w:r>
      <w:r>
        <w:t>根据《中共山西省委山西省人民政府关于加强耕地保护和改进占补平衡工作实施方案》（晋发〔2017〕43号）第十九条县级财政按每亩耕地每年5元的标准安排工作经费、</w:t>
      </w:r>
    </w:p>
    <w:p>
      <w:pPr>
        <w:pStyle w:val="44"/>
        <w:ind w:left="280" w:firstLine="562"/>
        <w:rPr>
          <w:b w:val="0"/>
          <w:bCs w:val="0"/>
        </w:rPr>
      </w:pPr>
      <w:r>
        <w:rPr>
          <w:rFonts w:hint="eastAsia"/>
          <w:b/>
          <w:bCs/>
        </w:rPr>
        <w:t>设立的必要性：</w:t>
      </w:r>
      <w:r>
        <w:t>耕地后备资源不断减少，实现耕地占补平衡、占优补优的难度日益加大，激励约束机制尚不健全，耕地保护面临多重压力。</w:t>
      </w:r>
    </w:p>
    <w:p>
      <w:pPr>
        <w:pStyle w:val="44"/>
        <w:ind w:left="280" w:firstLine="562"/>
      </w:pPr>
      <w:r>
        <w:rPr>
          <w:rFonts w:hint="eastAsia"/>
          <w:b/>
          <w:bCs/>
        </w:rPr>
        <w:t>保证项目实施的措施与制度：</w:t>
      </w:r>
      <w:r>
        <w:t>完善全省耕地保护责任目考核办法，全面检查和考核耕地与永久基本农田保护情况、补充耕地任务完成情况、耕地占补平衡落实情况等。</w:t>
      </w:r>
    </w:p>
    <w:p>
      <w:pPr>
        <w:pStyle w:val="44"/>
        <w:ind w:left="280" w:firstLine="562"/>
      </w:pPr>
      <w:r>
        <w:rPr>
          <w:rFonts w:hint="eastAsia"/>
          <w:b/>
          <w:bCs/>
        </w:rPr>
        <w:t>项目实施计划：</w:t>
      </w:r>
      <w:r>
        <w:t>充分发挥土地利用总体规划的整体管控作用，从严核定新增建设用地规模,优化建设用地布局，从严控制建设占用耕地特别是质量等级较高的耕地。实行新增建设用地计划安排与土地节约集约利用水平、补充耕地能力挂钩，对建设用地存量规模较大、利用粗放、补充耕地能力不足的市、县,适当调减新增建设用地计划。</w:t>
      </w:r>
    </w:p>
    <w:p>
      <w:pPr>
        <w:widowControl/>
        <w:ind w:firstLine="0" w:firstLineChars="0"/>
        <w:jc w:val="left"/>
        <w:rPr>
          <w:b/>
          <w:szCs w:val="28"/>
        </w:rPr>
      </w:pPr>
      <w:r>
        <w:br w:type="page"/>
      </w: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加强土地规划管控和用途管制。严格永久基本农田划定和保护。以节约集约用地缓解建设占用耕地压力。建立对耕地保护责任主体的补偿机制。</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加强土地规划管控和用途管制。严格永久基本农田划定和保护。以节约集约用地缓解建设占用耕地压力。建立对耕地保护责任主体的补偿机制。</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耕地保护和改进占补平衡工作经费</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41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50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资金发放准确率（%）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47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41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17451"/>
      <w:bookmarkStart w:id="11" w:name="_Toc23655"/>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spacing w:line="480" w:lineRule="auto"/>
        <w:rPr>
          <w:rFonts w:hint="eastAsia" w:ascii="仿宋_GB2312" w:hAnsi="Times New Roman" w:eastAsia="仿宋_GB2312" w:cs="Times New Roman"/>
          <w:bCs/>
          <w:kern w:val="0"/>
          <w:sz w:val="28"/>
          <w:szCs w:val="28"/>
          <w:lang w:val="en-US" w:eastAsia="zh-CN" w:bidi="ar-SA"/>
        </w:rPr>
      </w:pPr>
      <w:r>
        <w:rPr>
          <w:rFonts w:hint="eastAsia" w:ascii="仿宋_GB2312" w:hAnsi="Times New Roman" w:eastAsia="仿宋_GB2312" w:cs="Times New Roman"/>
          <w:bCs/>
          <w:kern w:val="0"/>
          <w:sz w:val="28"/>
          <w:szCs w:val="28"/>
          <w:lang w:val="en-US" w:eastAsia="zh-CN" w:bidi="ar-SA"/>
        </w:rPr>
        <w:t>耕地保护和改进占补平衡工作经费预算</w:t>
      </w:r>
      <w:r>
        <w:rPr>
          <w:rFonts w:hint="eastAsia" w:ascii="仿宋_GB2312" w:hAnsi="Times New Roman" w:cs="Times New Roman"/>
          <w:bCs/>
          <w:kern w:val="0"/>
          <w:sz w:val="28"/>
          <w:szCs w:val="28"/>
          <w:lang w:val="en-US" w:eastAsia="zh-CN" w:bidi="ar-SA"/>
        </w:rPr>
        <w:t>105</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105</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105</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100</w:t>
      </w:r>
      <w:r>
        <w:rPr>
          <w:rFonts w:hint="eastAsia" w:ascii="仿宋_GB2312" w:hAnsi="Times New Roman" w:eastAsia="仿宋_GB2312" w:cs="Times New Roman"/>
          <w:bCs/>
          <w:kern w:val="0"/>
          <w:sz w:val="28"/>
          <w:szCs w:val="28"/>
          <w:lang w:val="en-US" w:eastAsia="zh-CN" w:bidi="ar-SA"/>
        </w:rPr>
        <w:t>%。</w:t>
      </w:r>
    </w:p>
    <w:p>
      <w:pPr>
        <w:pStyle w:val="44"/>
        <w:numPr>
          <w:ilvl w:val="0"/>
          <w:numId w:val="1"/>
        </w:numPr>
        <w:ind w:left="700" w:leftChars="250" w:firstLineChars="0"/>
        <w:rPr>
          <w:rFonts w:ascii="仿宋_GB2312"/>
          <w:b/>
        </w:rPr>
      </w:pPr>
      <w:r>
        <w:rPr>
          <w:rFonts w:hint="eastAsia" w:ascii="仿宋_GB2312"/>
          <w:b/>
        </w:rPr>
        <w:t>产出情况及分析</w:t>
      </w:r>
    </w:p>
    <w:p>
      <w:pPr>
        <w:pStyle w:val="44"/>
        <w:rPr>
          <w:rFonts w:ascii="仿宋_GB2312"/>
          <w:bCs/>
        </w:rPr>
      </w:pPr>
      <w:r>
        <w:t>实行新增建设用地计划安排与土地节约集约利用水平、补充耕地能力挂钩，对建设用地存量规模较大、利用粗放、补充耕地能力不足的市、县,适当调减新增建设用地计划。</w:t>
      </w:r>
    </w:p>
    <w:p>
      <w:pPr>
        <w:pStyle w:val="44"/>
        <w:numPr>
          <w:ilvl w:val="0"/>
          <w:numId w:val="1"/>
        </w:numPr>
        <w:ind w:left="700" w:leftChars="250" w:firstLineChars="0"/>
        <w:rPr>
          <w:rFonts w:ascii="仿宋_GB2312"/>
          <w:b/>
        </w:rPr>
      </w:pPr>
      <w:r>
        <w:rPr>
          <w:rFonts w:hint="eastAsia" w:ascii="仿宋_GB2312"/>
          <w:b/>
        </w:rPr>
        <w:t>效益情况及分析</w:t>
      </w:r>
    </w:p>
    <w:p>
      <w:pPr>
        <w:pStyle w:val="44"/>
        <w:rPr>
          <w:rFonts w:ascii="仿宋_GB2312"/>
          <w:bCs/>
        </w:rPr>
      </w:pPr>
      <w:r>
        <w:t>土地节约集约利用水平、补充耕地能力挂钩，对建设用地存量规模较大</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0" w:leftChars="0" w:firstLine="0" w:firstLineChars="0"/>
        <w:rPr>
          <w:rFonts w:hint="eastAsia" w:ascii="仿宋_GB2312" w:eastAsia="仿宋_GB2312"/>
          <w:bCs/>
          <w:lang w:val="en-US" w:eastAsia="zh-CN"/>
        </w:rPr>
      </w:pPr>
      <w:r>
        <w:rPr>
          <w:rFonts w:hint="eastAsia" w:ascii="仿宋_GB2312"/>
          <w:bCs/>
          <w:lang w:val="en-US" w:eastAsia="zh-CN"/>
        </w:rPr>
        <w:t xml:space="preserve">   </w:t>
      </w:r>
      <w:r>
        <w:rPr>
          <w:rFonts w:hint="eastAsia"/>
          <w:lang w:eastAsia="zh-CN"/>
        </w:rPr>
        <w:t>群众满意度较高</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t>加强土地规划管控和用途管制。严格永久基本农田划定和保护。以节约集约用地缓解建设占用耕地压力。建立对耕地保护责任主体的补偿机制。</w:t>
      </w:r>
      <w:bookmarkStart w:id="17" w:name="_GoBack"/>
      <w:bookmarkEnd w:id="17"/>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pPr>
      <w:r>
        <w:t>加强土地规划管控和用途管制。以节约集约用地缓解建设占用耕地压力。建立对耕地保护责任主体的补偿机制。</w:t>
      </w:r>
    </w:p>
    <w:p>
      <w:pPr>
        <w:pStyle w:val="52"/>
        <w:rPr>
          <w:rFonts w:ascii="仿宋" w:hAnsi="仿宋" w:eastAsia="仿宋" w:cs="仿宋"/>
          <w:b/>
          <w:bCs w:val="0"/>
        </w:rPr>
      </w:pPr>
      <w:bookmarkStart w:id="14" w:name="_Toc61505649"/>
      <w:r>
        <w:rPr>
          <w:rFonts w:hint="eastAsia" w:ascii="仿宋" w:hAnsi="仿宋" w:eastAsia="仿宋" w:cs="仿宋"/>
          <w:b/>
          <w:bCs w:val="0"/>
        </w:rPr>
        <w:t>六、进一步加强项目管理措施及建议</w:t>
      </w:r>
      <w:bookmarkEnd w:id="14"/>
    </w:p>
    <w:p>
      <w:pPr>
        <w:pStyle w:val="44"/>
        <w:ind w:firstLine="848" w:firstLineChars="303"/>
      </w:pPr>
      <w:r>
        <w:t>加强土地规划管控和用途管制。严格永久基本农田划定和保护。以节约集约用地缓解建设占用耕地压力。建立对耕地保护责任主体的补偿机制。</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资金发放准确率（%）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21AE7570"/>
    <w:rsid w:val="6AAB50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2168</Words>
  <Characters>2399</Characters>
  <Lines>0</Lines>
  <Paragraphs>0</Paragraphs>
  <TotalTime>0</TotalTime>
  <ScaleCrop>false</ScaleCrop>
  <LinksUpToDate>false</LinksUpToDate>
  <CharactersWithSpaces>2424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2022-03-28T03:14:00Z</cp:lastPrinted>
  <dcterms:modified xsi:type="dcterms:W3CDTF">2022-05-11T09:11:39Z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FF421FB101CC4E1599ADB1E964EAE238</vt:lpwstr>
  </property>
</Properties>
</file>