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2558" w:leftChars="228" w:hanging="1920" w:hangingChars="60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大宁县农业有机废弃物综合处理和利用建设项目被征地农民养老保险</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5</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10</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11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为实施城市建设的需要，依据土地利用总体规划和城市总体规划，维护被征地农民的知情权</w:t>
      </w:r>
    </w:p>
    <w:p>
      <w:pPr>
        <w:pStyle w:val="44"/>
        <w:ind w:left="280" w:firstLine="562"/>
      </w:pPr>
      <w:r>
        <w:rPr>
          <w:rFonts w:hint="eastAsia"/>
          <w:b/>
          <w:bCs/>
        </w:rPr>
        <w:t>立项依据：</w:t>
      </w:r>
      <w:r>
        <w:t>根据《中华人民共和国土地管理法》第二条、第四十五条</w:t>
      </w:r>
    </w:p>
    <w:p>
      <w:pPr>
        <w:pStyle w:val="44"/>
        <w:ind w:left="280" w:firstLine="562"/>
      </w:pPr>
      <w:r>
        <w:rPr>
          <w:rFonts w:hint="eastAsia"/>
          <w:b/>
          <w:bCs/>
        </w:rPr>
        <w:t>设立的必要性：</w:t>
      </w:r>
      <w:r>
        <w:rPr>
          <w:rFonts w:hint="eastAsia"/>
        </w:rPr>
        <w:t>有效的保障了被征地农民养老保障权益。</w:t>
      </w:r>
    </w:p>
    <w:p>
      <w:pPr>
        <w:pStyle w:val="44"/>
        <w:ind w:left="280" w:firstLine="562"/>
      </w:pPr>
      <w:r>
        <w:rPr>
          <w:rFonts w:hint="eastAsia"/>
          <w:b/>
          <w:bCs/>
        </w:rPr>
        <w:t>保证项目实施的措施与制度：</w:t>
      </w:r>
      <w:r>
        <w:t>根据项目管理制度顺利进行</w:t>
      </w:r>
    </w:p>
    <w:p>
      <w:pPr>
        <w:pStyle w:val="44"/>
        <w:ind w:left="280" w:firstLine="562"/>
      </w:pPr>
      <w:r>
        <w:rPr>
          <w:rFonts w:hint="eastAsia"/>
          <w:b/>
          <w:bCs/>
        </w:rPr>
        <w:t>项目实施计划：</w:t>
      </w:r>
      <w:r>
        <w:t>项目将在2012年顺利完成</w:t>
      </w:r>
    </w:p>
    <w:p>
      <w:pPr>
        <w:widowControl/>
        <w:ind w:firstLine="0" w:firstLineChars="0"/>
        <w:jc w:val="left"/>
        <w:rPr>
          <w:b/>
          <w:szCs w:val="28"/>
        </w:rPr>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42.13</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42.13</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42.13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42.13</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42.13</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42.13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42.13</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42.13</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42.13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该项目对征地信息执行公开，加快安置和社保审批，使项目顺利完成</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该项目对征地信息执行公开，加快安置和社保审批，使项目顺利完成</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大宁县农业有机废弃物综合处理和利用建设项目被征地农民养老保险</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pPr>
      <w:r>
        <w:rPr>
          <w:szCs w:val="44"/>
        </w:rPr>
        <w:br w:type="page"/>
      </w: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资金合理性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合理</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信息落实率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35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村民满意度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bCs/>
        </w:rPr>
      </w:pPr>
      <w:r>
        <w:rPr>
          <w:rFonts w:hint="eastAsia" w:ascii="仿宋_GB2312" w:hAnsi="Times New Roman" w:eastAsia="仿宋_GB2312" w:cs="Times New Roman"/>
          <w:bCs/>
          <w:kern w:val="0"/>
          <w:sz w:val="28"/>
          <w:szCs w:val="28"/>
          <w:lang w:val="en-US" w:eastAsia="zh-CN" w:bidi="ar-SA"/>
        </w:rPr>
        <w:t>大宁县农业有机废弃物综合处理和利用建设项目被征地农民养老保险</w:t>
      </w:r>
      <w:r>
        <w:rPr>
          <w:rFonts w:hint="eastAsia" w:ascii="仿宋_GB2312" w:hAnsi="Times New Roman" w:eastAsia="仿宋_GB2312" w:cs="Times New Roman"/>
          <w:bCs/>
          <w:kern w:val="0"/>
          <w:sz w:val="28"/>
          <w:szCs w:val="28"/>
          <w:lang w:val="en-US" w:eastAsia="zh-CN" w:bidi="ar-SA"/>
        </w:rPr>
        <w:t>预算42</w:t>
      </w:r>
      <w:r>
        <w:rPr>
          <w:rFonts w:hint="eastAsia" w:ascii="仿宋_GB2312" w:hAnsi="Times New Roman" w:cs="Times New Roman"/>
          <w:bCs/>
          <w:kern w:val="0"/>
          <w:sz w:val="28"/>
          <w:szCs w:val="28"/>
          <w:lang w:val="en-US" w:eastAsia="zh-CN" w:bidi="ar-SA"/>
        </w:rPr>
        <w:t>.13</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42.13</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42.13</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100</w:t>
      </w:r>
      <w:r>
        <w:rPr>
          <w:rFonts w:hint="eastAsia" w:ascii="仿宋_GB2312" w:hAnsi="Times New Roman" w:eastAsia="仿宋_GB2312" w:cs="Times New Roman"/>
          <w:bCs/>
          <w:kern w:val="0"/>
          <w:sz w:val="28"/>
          <w:szCs w:val="28"/>
          <w:lang w:val="en-US" w:eastAsia="zh-CN" w:bidi="ar-SA"/>
        </w:rPr>
        <w:t>%。</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firstLine="840" w:firstLineChars="300"/>
        <w:rPr>
          <w:rFonts w:ascii="仿宋_GB2312"/>
          <w:bCs/>
        </w:rPr>
      </w:pPr>
      <w:r>
        <w:rPr>
          <w:rFonts w:hint="eastAsia" w:ascii="仿宋_GB2312"/>
          <w:bCs/>
        </w:rPr>
        <w:t>建议解决失地农民的就业、保证问题。</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840" w:firstLineChars="300"/>
        <w:rPr>
          <w:rFonts w:ascii="仿宋_GB2312"/>
          <w:bCs/>
        </w:rPr>
      </w:pPr>
      <w:r>
        <w:rPr>
          <w:rFonts w:hint="eastAsia" w:ascii="仿宋_GB2312"/>
          <w:bCs/>
        </w:rPr>
        <w:t>建议解决失地农民的就业、保证问题。</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840" w:firstLineChars="300"/>
        <w:rPr>
          <w:rFonts w:ascii="仿宋_GB2312"/>
          <w:bCs/>
        </w:rPr>
      </w:pPr>
      <w:r>
        <w:rPr>
          <w:rFonts w:hint="eastAsia"/>
          <w:lang w:eastAsia="zh-CN"/>
        </w:rPr>
        <w:t>群众满意度较高</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t>为实施城市建设的需要，依据土地利用总体规划和城市总体规划，维护被征地农民的知情权</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rPr>
          <w:rFonts w:hint="eastAsia"/>
        </w:rPr>
      </w:pPr>
      <w:r>
        <w:rPr>
          <w:rFonts w:hint="eastAsia"/>
        </w:rPr>
        <w:t>失地农民再就业比较困难</w:t>
      </w:r>
      <w:bookmarkStart w:id="17" w:name="_GoBack"/>
      <w:bookmarkEnd w:id="17"/>
      <w:r>
        <w:rPr>
          <w:rFonts w:hint="eastAsia"/>
        </w:rPr>
        <w:t>，大多数缺乏非农劳动技能</w:t>
      </w:r>
      <w:bookmarkStart w:id="14" w:name="_Toc61505649"/>
    </w:p>
    <w:p>
      <w:pPr>
        <w:pStyle w:val="44"/>
        <w:numPr>
          <w:ilvl w:val="0"/>
          <w:numId w:val="2"/>
        </w:numPr>
        <w:ind w:left="0" w:leftChars="0" w:firstLine="0" w:firstLineChars="0"/>
        <w:rPr>
          <w:rFonts w:hint="eastAsia" w:ascii="仿宋" w:hAnsi="仿宋" w:eastAsia="仿宋" w:cs="仿宋"/>
          <w:b/>
          <w:bCs w:val="0"/>
        </w:rPr>
      </w:pPr>
      <w:r>
        <w:rPr>
          <w:rFonts w:hint="eastAsia" w:ascii="仿宋" w:hAnsi="仿宋" w:eastAsia="仿宋" w:cs="仿宋"/>
          <w:b/>
          <w:bCs w:val="0"/>
        </w:rPr>
        <w:t>进一步加强项目管理措施及建议</w:t>
      </w:r>
      <w:bookmarkEnd w:id="14"/>
    </w:p>
    <w:p>
      <w:pPr>
        <w:pStyle w:val="44"/>
        <w:ind w:firstLine="840" w:firstLineChars="300"/>
        <w:rPr>
          <w:rFonts w:hint="eastAsia" w:ascii="仿宋" w:hAnsi="仿宋" w:eastAsia="仿宋" w:cs="仿宋"/>
          <w:b/>
          <w:bCs w:val="0"/>
        </w:rPr>
      </w:pPr>
      <w:r>
        <w:t>依据土地利用总体规划和城市总体规划，维护被征地农民的知情权</w:t>
      </w:r>
    </w:p>
    <w:p>
      <w:pPr>
        <w:pStyle w:val="44"/>
        <w:ind w:firstLine="848" w:firstLineChars="303"/>
      </w:pP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资金合理性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合理</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信息落实率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村民满意度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1827E"/>
    <w:multiLevelType w:val="singleLevel"/>
    <w:tmpl w:val="D0D1827E"/>
    <w:lvl w:ilvl="0" w:tentative="0">
      <w:start w:val="6"/>
      <w:numFmt w:val="chineseCounting"/>
      <w:suff w:val="nothing"/>
      <w:lvlText w:val="%1、"/>
      <w:lvlJc w:val="left"/>
      <w:rPr>
        <w:rFonts w:hint="eastAsia"/>
      </w:rPr>
    </w:lvl>
  </w:abstractNum>
  <w:abstractNum w:abstractNumId="1">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3DE1659C"/>
    <w:rsid w:val="7E0000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1453</Words>
  <Characters>1691</Characters>
  <Lines>0</Lines>
  <Paragraphs>0</Paragraphs>
  <TotalTime>1</TotalTime>
  <ScaleCrop>false</ScaleCrop>
  <LinksUpToDate>false</LinksUpToDate>
  <CharactersWithSpaces>1713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dcterms:modified xsi:type="dcterms:W3CDTF">2022-05-11T08:56:43Z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6E589E293B1340E8B79092535935A4FC</vt:lpwstr>
  </property>
</Properties>
</file>