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2238" w:leftChars="228" w:hanging="1600" w:hangingChars="50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大宁县工业园区二期标准化厂房等建设项目报地资金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</w:t>
      </w:r>
    </w:p>
    <w:p>
      <w:pPr>
        <w:spacing w:line="480" w:lineRule="auto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大宁县自然资源局-303001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2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在土地利用总体规划确定的城市和村庄、集镇建设用地规模范围内，为实施该规划而将农用地转为建设用地。由市、县国土资源部门按照土地利用年度划分批次拟定农用地专用方案、补充耕地方案、征收土地方案，编制建设用地呈报说明说，经同级政府审核同意后，逐级上报有批准权的机关批准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由市、县国土资源部门按照土地利用年度划分批次拟定农用地专用方案、补充耕地方案、征收土地方案，编制建设用地呈报说明，经同级政府审核同意后，逐级上报有批准权的机关批准。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t>由市、县国土资源部门按照土地利用年度划分批次拟定农用地专用方案、补充耕地方案、征收土地方案，编制建设用地呈报说明说，经同级政府审核同意后，逐级上报有批准权的机关批准。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在土地利用总体规划确定的城市和村庄、集镇建设用地规模范围内，为实施该规划而将农用地转为建设用地。由市、县国土资源部门按照土地利用年度划分批次拟定农用地专用方案、补充耕地方案、征收土地方案，编制建设用地呈报说明，经同级政府审核同意后，逐级上报有批准权的机关批准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在土地利用总体规划确定的城市和村庄、集镇建设用地规模范围内，为实施该规划而将农用地转为建设用地。由市、县国土资源部门按照土地利用年度划分批次拟定农用地专用方案、补充耕地方案、征收土地方案，编制建设用地呈报说明，经同级政府审核同意后，逐级上报有批准权的机关批准。</w:t>
      </w:r>
    </w:p>
    <w:p>
      <w:pPr>
        <w:widowControl/>
        <w:ind w:firstLine="0" w:firstLineChars="0"/>
        <w:jc w:val="left"/>
        <w:rPr>
          <w:b/>
          <w:szCs w:val="28"/>
        </w:rPr>
      </w:pPr>
      <w:r>
        <w:br w:type="page"/>
      </w: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由市、县国土资源部门按照土地利用年度划分批次拟定农用地专用方案、补充耕地方案、征收土地方案，编制建设用地呈报说明说，经同级政府审核同意后，逐级上报有批准权的机关批准。</w:t>
      </w:r>
    </w:p>
    <w:p>
      <w:pPr>
        <w:pStyle w:val="44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 w:bidi="ar-SA"/>
        </w:rPr>
        <w:t>（2）. 项目年度目标</w:t>
      </w:r>
    </w:p>
    <w:p>
      <w:pPr>
        <w:pStyle w:val="44"/>
        <w:ind w:left="280" w:firstLine="560"/>
      </w:pPr>
      <w:r>
        <w:t>由市、县国土资源部门按照土地利用年度划分批次拟定农用地专用方案、补充耕地方案、征收土地方案，编制建设用地呈报说明说，经同级政府审核同意后，逐级上报有批准权的机关批准。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大宁县工业园区二期标准化厂房等建设项目报地资金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100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firstLine="281" w:firstLineChars="1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bookmarkStart w:id="6" w:name="_Toc61505643"/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pStyle w:val="46"/>
        <w:ind w:left="0" w:leftChars="0" w:firstLine="0" w:firstLineChars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经济行业覆盖率（%）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17451"/>
      <w:bookmarkStart w:id="11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600"/>
        <w:jc w:val="both"/>
        <w:textAlignment w:val="auto"/>
        <w:rPr>
          <w:rFonts w:ascii="仿宋_GB2312"/>
          <w:bCs/>
        </w:rPr>
      </w:pP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大宁县工业园区二期标准化厂房等建设项目报地资金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预算27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.5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万元，资金到位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27.5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27.5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万元，预算执行率</w:t>
      </w:r>
      <w:r>
        <w:rPr>
          <w:rFonts w:hint="eastAsia" w:ascii="仿宋_GB2312" w:hAnsi="Times New Roman" w:cs="Times New Roman"/>
          <w:bCs/>
          <w:kern w:val="0"/>
          <w:sz w:val="28"/>
          <w:szCs w:val="28"/>
          <w:lang w:val="en-US" w:eastAsia="zh-CN" w:bidi="ar-SA"/>
        </w:rPr>
        <w:t>100</w:t>
      </w:r>
      <w:r>
        <w:rPr>
          <w:rFonts w:hint="eastAsia" w:ascii="仿宋_GB2312" w:hAnsi="Times New Roman" w:eastAsia="仿宋_GB2312" w:cs="Times New Roman"/>
          <w:bCs/>
          <w:kern w:val="0"/>
          <w:sz w:val="28"/>
          <w:szCs w:val="28"/>
          <w:lang w:val="en-US" w:eastAsia="zh-CN" w:bidi="ar-SA"/>
        </w:rPr>
        <w:t>%。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ind w:left="0" w:leftChars="0" w:firstLine="0" w:firstLineChars="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 </w:t>
      </w:r>
      <w:r>
        <w:t>在土地利用总体规划确定的城市和村庄、集镇建设用地规模范围内，为实施该规划而将农用地转为建设用地。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0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</w:t>
      </w:r>
      <w:r>
        <w:t>由市、县国土资源部门按照土地利用年度划分批次拟定农用地专用方案、补充耕地方案、征收土地方案，编制建设用地呈报说明说，经同级政府审核同意后，逐级上报有批准权的机关批准</w:t>
      </w:r>
      <w:r>
        <w:rPr>
          <w:rFonts w:hint="eastAsia"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  <w:bookmarkStart w:id="17" w:name="_GoBack"/>
      <w:bookmarkEnd w:id="17"/>
    </w:p>
    <w:p>
      <w:pPr>
        <w:pStyle w:val="44"/>
        <w:ind w:left="280" w:firstLine="560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 xml:space="preserve">   </w:t>
      </w:r>
      <w:r>
        <w:rPr>
          <w:rFonts w:hint="eastAsia"/>
          <w:lang w:eastAsia="zh-CN"/>
        </w:rPr>
        <w:t>群众满意度较高。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  <w:ind w:firstLine="840" w:firstLineChars="300"/>
      </w:pPr>
      <w:r>
        <w:rPr>
          <w:rFonts w:hint="eastAsia"/>
        </w:rPr>
        <w:t>有效的保障了我县重点项目的实施。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  <w:ind w:firstLine="840" w:firstLineChars="300"/>
      </w:pPr>
      <w:r>
        <w:rPr>
          <w:rFonts w:hint="eastAsia"/>
        </w:rPr>
        <w:t>该项目涉及单位较多，严重影响报批进度。</w:t>
      </w:r>
    </w:p>
    <w:p>
      <w:pPr>
        <w:pStyle w:val="52"/>
        <w:numPr>
          <w:ilvl w:val="0"/>
          <w:numId w:val="2"/>
        </w:numPr>
        <w:rPr>
          <w:rFonts w:hint="eastAsia"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进一步加强项目管理措施及建议</w:t>
      </w:r>
      <w:bookmarkEnd w:id="14"/>
    </w:p>
    <w:p>
      <w:pPr>
        <w:pStyle w:val="52"/>
        <w:numPr>
          <w:ilvl w:val="0"/>
          <w:numId w:val="0"/>
        </w:numPr>
        <w:ind w:firstLine="840" w:firstLineChars="300"/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缩减审批流程，加强各部门之间的协同。</w:t>
      </w:r>
    </w:p>
    <w:p>
      <w:pPr>
        <w:pStyle w:val="52"/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质量落实率（%）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执法时效提升率（%）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成本合规性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经济行业覆盖率（%）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群众满意度（%）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0231EA"/>
    <w:multiLevelType w:val="singleLevel"/>
    <w:tmpl w:val="A30231E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liMDUyMjc2YzhhYzIyMTVlZDBiYTNkNzY1OTUyNTQifQ=="/>
  </w:docVars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3A997189"/>
    <w:rsid w:val="477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qFormat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qFormat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qFormat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qFormat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2120</Words>
  <Characters>2398</Characters>
  <Lines>0</Lines>
  <Paragraphs>0</Paragraphs>
  <TotalTime>1</TotalTime>
  <ScaleCrop>false</ScaleCrop>
  <LinksUpToDate>false</LinksUpToDate>
  <CharactersWithSpaces>2428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Administrator</cp:lastModifiedBy>
  <cp:lastPrinted>2022-03-28T02:16:00Z</cp:lastPrinted>
  <dcterms:modified xsi:type="dcterms:W3CDTF">2022-05-11T08:55:26Z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D4638BCC15ED460B8C8053E8622FBE5D</vt:lpwstr>
  </property>
</Properties>
</file>