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城乡建设用地增加挂钩数据汇交项目</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大宁县自然资源局-303001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2</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2</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2</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2</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该项目是将实施的城乡建设用地增减挂钩项目完成后数据汇交上级工作。</w:t>
      </w:r>
    </w:p>
    <w:p>
      <w:pPr>
        <w:pStyle w:val="44"/>
        <w:ind w:left="280" w:firstLine="562"/>
      </w:pPr>
      <w:r>
        <w:rPr>
          <w:rFonts w:hint="eastAsia"/>
          <w:b/>
          <w:bCs/>
        </w:rPr>
        <w:t>立项依据：</w:t>
      </w:r>
      <w:r>
        <w:t>山西省自然资源厅《关于抓紧做好增减挂钩清理检查数据汇交工作的通知》晋自然资函[2020]25号；《关于增减挂钩清理检查成果数据汇交有关要求的函》（自然资用途管制函[2019]20号）</w:t>
      </w:r>
    </w:p>
    <w:p>
      <w:pPr>
        <w:pStyle w:val="44"/>
        <w:ind w:left="280" w:firstLine="562"/>
      </w:pPr>
      <w:r>
        <w:rPr>
          <w:rFonts w:hint="eastAsia"/>
          <w:b/>
          <w:bCs/>
        </w:rPr>
        <w:t>设立的必要性：</w:t>
      </w:r>
      <w:r>
        <w:rPr>
          <w:rFonts w:hint="eastAsia"/>
        </w:rPr>
        <w:t>土地综合整治项目以助力乡村振兴发展为目标，以国土整治为平台，优化乡村国土空间生态布局，提升生态环境质量。</w:t>
      </w:r>
    </w:p>
    <w:p>
      <w:pPr>
        <w:pStyle w:val="44"/>
        <w:ind w:left="280" w:firstLine="562"/>
      </w:pPr>
      <w:r>
        <w:rPr>
          <w:rFonts w:hint="eastAsia"/>
          <w:b/>
          <w:bCs/>
        </w:rPr>
        <w:t>保证项目实施的措施与制度：</w:t>
      </w:r>
      <w:r>
        <w:t>项目设立领导小组，领导小组办公室下设县自然资源局，负责项目日常事务工作。</w:t>
      </w:r>
    </w:p>
    <w:p>
      <w:pPr>
        <w:pStyle w:val="44"/>
        <w:ind w:left="280" w:firstLine="562"/>
      </w:pPr>
      <w:r>
        <w:rPr>
          <w:rFonts w:hint="eastAsia"/>
          <w:b/>
          <w:bCs/>
        </w:rPr>
        <w:t>项目实施计划：</w:t>
      </w:r>
      <w:r>
        <w:t>一、确定清查范围，强化监督检查；二认真清查整改，做好汇总分析；三明确相关要求，建立长效机制</w:t>
      </w:r>
    </w:p>
    <w:p>
      <w:pPr>
        <w:widowControl/>
        <w:ind w:firstLine="0" w:firstLineChars="0"/>
        <w:jc w:val="left"/>
        <w:rPr>
          <w:b/>
          <w:bCs/>
          <w:sz w:val="32"/>
          <w:szCs w:val="24"/>
        </w:rPr>
      </w:pPr>
      <w:bookmarkStart w:id="2" w:name="_Toc61505638"/>
      <w:r>
        <w:rPr>
          <w:rFonts w:hint="eastAsia"/>
          <w:b/>
          <w:bCs/>
          <w:sz w:val="32"/>
          <w:szCs w:val="24"/>
        </w:rPr>
        <w:t>（二）预算执行情况</w:t>
      </w:r>
      <w:bookmarkEnd w:id="2"/>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30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30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30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30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30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30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29.4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29.4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29.4</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0.6</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0.6</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0.6</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98</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98</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98</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于年底前完成数据汇交</w:t>
      </w:r>
    </w:p>
    <w:p>
      <w:pPr>
        <w:pStyle w:val="44"/>
        <w:rPr>
          <w:rFonts w:hint="eastAsia" w:ascii="Times New Roman" w:hAnsi="Times New Roman" w:eastAsia="仿宋_GB2312" w:cs="Times New Roman"/>
          <w:b/>
          <w:kern w:val="0"/>
          <w:sz w:val="28"/>
          <w:szCs w:val="28"/>
          <w:lang w:val="en-US" w:eastAsia="zh-CN" w:bidi="ar-SA"/>
        </w:rPr>
      </w:pPr>
      <w:r>
        <w:rPr>
          <w:rFonts w:hint="eastAsia" w:ascii="Times New Roman" w:hAnsi="Times New Roman" w:eastAsia="仿宋_GB2312" w:cs="Times New Roman"/>
          <w:b/>
          <w:kern w:val="0"/>
          <w:sz w:val="28"/>
          <w:szCs w:val="28"/>
          <w:lang w:val="en-US" w:eastAsia="zh-CN" w:bidi="ar-SA"/>
        </w:rPr>
        <w:t>（2）. 项目年度目标</w:t>
      </w:r>
    </w:p>
    <w:p>
      <w:pPr>
        <w:pStyle w:val="44"/>
        <w:ind w:left="280" w:firstLine="560"/>
      </w:pPr>
      <w:r>
        <w:t>于年底前完成数据汇交</w:t>
      </w:r>
      <w:bookmarkStart w:id="4" w:name="_Toc61505641"/>
    </w:p>
    <w:p>
      <w:pPr>
        <w:pStyle w:val="44"/>
        <w:ind w:left="280" w:firstLine="560"/>
        <w:rPr>
          <w:rFonts w:ascii="仿宋" w:hAnsi="仿宋" w:eastAsia="仿宋" w:cs="仿宋"/>
          <w:b/>
          <w:bCs w:val="0"/>
        </w:rPr>
      </w:pPr>
      <w:r>
        <w:rPr>
          <w:rFonts w:hint="eastAsia" w:ascii="仿宋" w:hAnsi="仿宋" w:eastAsia="仿宋" w:cs="仿宋"/>
          <w:b/>
          <w:bCs w:val="0"/>
        </w:rPr>
        <w:t>二、项目绩效情况</w:t>
      </w:r>
      <w:bookmarkEnd w:id="4"/>
    </w:p>
    <w:p>
      <w:pPr>
        <w:pStyle w:val="44"/>
        <w:ind w:left="140" w:leftChars="50" w:firstLine="560"/>
        <w:rPr>
          <w:rFonts w:hint="eastAsia"/>
        </w:rPr>
      </w:pPr>
      <w:r>
        <w:rPr>
          <w:rFonts w:hint="eastAsia"/>
        </w:rPr>
        <w:t>综合考虑预算执行情况、产出、效益、服务对象满意度各方面因素，通过数据采集及分析，最终评分结果：</w:t>
      </w:r>
      <w:r>
        <w:t>城乡建设用地增加挂钩数据汇交项目</w:t>
      </w:r>
      <w:r>
        <w:rPr>
          <w:rFonts w:hint="eastAsia"/>
        </w:rPr>
        <w:t>项目绩效自评价结果为</w:t>
      </w:r>
      <w:r>
        <w:t>:</w:t>
      </w:r>
      <w:r>
        <w:rPr>
          <w:rFonts w:hint="eastAsia"/>
        </w:rPr>
        <w:t>总得分</w:t>
      </w:r>
      <w:r>
        <w:t>99.54</w:t>
      </w:r>
      <w:r>
        <w:rPr>
          <w:rFonts w:hint="eastAsia"/>
        </w:rPr>
        <w:t>分，属于</w:t>
      </w:r>
      <w:r>
        <w:t>"优秀"</w:t>
      </w:r>
      <w:r>
        <w:rPr>
          <w:rFonts w:hint="eastAsia"/>
        </w:rPr>
        <w:t>。</w:t>
      </w:r>
      <w:bookmarkStart w:id="5" w:name="_Toc61505642"/>
    </w:p>
    <w:p>
      <w:pPr>
        <w:pStyle w:val="44"/>
        <w:ind w:left="140" w:leftChars="50" w:firstLine="560"/>
      </w:pPr>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lang w:val="en-US" w:eastAsia="zh-CN"/>
              </w:rPr>
              <w:t>98</w:t>
            </w:r>
            <w:r>
              <w:rPr>
                <w:rFonts w:ascii="Times New Roman" w:hAnsi="Times New Roman" w:cs="Times New Roman"/>
                <w:bCs/>
                <w:kern w:val="0"/>
                <w:sz w:val="21"/>
                <w:szCs w:val="21"/>
              </w:rPr>
              <w:t>%</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widowControl/>
        <w:ind w:firstLine="0" w:firstLineChars="0"/>
        <w:jc w:val="left"/>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预算资金完成率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数据准确率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14.54</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数据应用率（%）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pStyle w:val="46"/>
        <w:ind w:left="0" w:leftChars="0" w:firstLine="0" w:firstLineChars="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r>
    </w:tbl>
    <w:p>
      <w:pPr>
        <w:ind w:firstLine="0" w:firstLineChars="0"/>
        <w:rPr>
          <w:szCs w:val="44"/>
        </w:rPr>
      </w:pPr>
    </w:p>
    <w:p>
      <w:pPr>
        <w:widowControl/>
        <w:ind w:firstLine="0" w:firstLineChars="0"/>
        <w:jc w:val="left"/>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widowControl/>
        <w:ind w:firstLine="0" w:firstLineChars="0"/>
        <w:jc w:val="left"/>
        <w:rPr>
          <w:rFonts w:ascii="仿宋" w:hAnsi="仿宋" w:eastAsia="仿宋" w:cs="仿宋"/>
          <w:b/>
          <w:bCs w:val="0"/>
        </w:rPr>
      </w:pPr>
      <w:bookmarkStart w:id="9" w:name="_Toc61505646"/>
      <w:r>
        <w:rPr>
          <w:rFonts w:hint="eastAsia" w:ascii="仿宋" w:hAnsi="仿宋" w:eastAsia="仿宋" w:cs="仿宋"/>
          <w:b/>
          <w:bCs w:val="0"/>
        </w:rPr>
        <w:t>三、</w:t>
      </w:r>
      <w:bookmarkStart w:id="10" w:name="_Toc23655"/>
      <w:bookmarkStart w:id="11" w:name="_Toc17451"/>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
        </w:rPr>
      </w:pPr>
      <w:r>
        <w:rPr>
          <w:rFonts w:hint="eastAsia" w:ascii="仿宋_GB2312"/>
          <w:b/>
        </w:rPr>
        <w:t>项目实施和预算执行情况及分析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00"/>
        <w:jc w:val="both"/>
        <w:textAlignment w:val="auto"/>
        <w:rPr>
          <w:rFonts w:ascii="仿宋_GB2312" w:hAnsi="Times New Roman" w:cs="Times New Roman"/>
          <w:kern w:val="0"/>
          <w:sz w:val="32"/>
          <w:szCs w:val="32"/>
        </w:rPr>
      </w:pPr>
      <w:r>
        <w:rPr>
          <w:rFonts w:hint="eastAsia" w:ascii="仿宋_GB2312" w:hAnsi="Times New Roman" w:eastAsia="仿宋_GB2312" w:cs="Times New Roman"/>
          <w:bCs/>
          <w:kern w:val="0"/>
          <w:sz w:val="28"/>
          <w:szCs w:val="28"/>
          <w:lang w:val="en-US" w:eastAsia="zh-CN" w:bidi="ar-SA"/>
        </w:rPr>
        <w:t>城乡建设用地增加挂钩数据汇交项目预算</w:t>
      </w:r>
      <w:r>
        <w:rPr>
          <w:rFonts w:hint="eastAsia" w:ascii="仿宋_GB2312" w:hAnsi="Times New Roman" w:cs="Times New Roman"/>
          <w:bCs/>
          <w:kern w:val="0"/>
          <w:sz w:val="28"/>
          <w:szCs w:val="28"/>
          <w:lang w:val="en-US" w:eastAsia="zh-CN" w:bidi="ar-SA"/>
        </w:rPr>
        <w:t>30</w:t>
      </w:r>
      <w:r>
        <w:rPr>
          <w:rFonts w:hint="eastAsia" w:ascii="仿宋_GB2312" w:hAnsi="Times New Roman" w:eastAsia="仿宋_GB2312" w:cs="Times New Roman"/>
          <w:bCs/>
          <w:kern w:val="0"/>
          <w:sz w:val="28"/>
          <w:szCs w:val="28"/>
          <w:lang w:val="en-US" w:eastAsia="zh-CN" w:bidi="ar-SA"/>
        </w:rPr>
        <w:t>万元，资金到位</w:t>
      </w:r>
      <w:r>
        <w:rPr>
          <w:rFonts w:hint="eastAsia" w:ascii="仿宋_GB2312" w:hAnsi="Times New Roman" w:cs="Times New Roman"/>
          <w:bCs/>
          <w:kern w:val="0"/>
          <w:sz w:val="28"/>
          <w:szCs w:val="28"/>
          <w:lang w:val="en-US" w:eastAsia="zh-CN" w:bidi="ar-SA"/>
        </w:rPr>
        <w:t>30</w:t>
      </w:r>
      <w:r>
        <w:rPr>
          <w:rFonts w:hint="eastAsia" w:ascii="仿宋_GB2312" w:hAnsi="Times New Roman" w:eastAsia="仿宋_GB2312" w:cs="Times New Roman"/>
          <w:bCs/>
          <w:kern w:val="0"/>
          <w:sz w:val="28"/>
          <w:szCs w:val="28"/>
          <w:lang w:val="en-US" w:eastAsia="zh-CN" w:bidi="ar-SA"/>
        </w:rPr>
        <w:t>万元，预算执行</w:t>
      </w:r>
      <w:r>
        <w:rPr>
          <w:rFonts w:hint="eastAsia" w:ascii="仿宋_GB2312" w:hAnsi="Times New Roman" w:cs="Times New Roman"/>
          <w:bCs/>
          <w:kern w:val="0"/>
          <w:sz w:val="28"/>
          <w:szCs w:val="28"/>
          <w:lang w:val="en-US" w:eastAsia="zh-CN" w:bidi="ar-SA"/>
        </w:rPr>
        <w:t>29.4</w:t>
      </w:r>
      <w:r>
        <w:rPr>
          <w:rFonts w:hint="eastAsia" w:ascii="仿宋_GB2312" w:hAnsi="Times New Roman" w:eastAsia="仿宋_GB2312" w:cs="Times New Roman"/>
          <w:bCs/>
          <w:kern w:val="0"/>
          <w:sz w:val="28"/>
          <w:szCs w:val="28"/>
          <w:lang w:val="en-US" w:eastAsia="zh-CN" w:bidi="ar-SA"/>
        </w:rPr>
        <w:t>万元，预算执行率</w:t>
      </w:r>
      <w:r>
        <w:rPr>
          <w:rFonts w:hint="eastAsia" w:ascii="仿宋_GB2312" w:hAnsi="Times New Roman" w:cs="Times New Roman"/>
          <w:bCs/>
          <w:kern w:val="0"/>
          <w:sz w:val="28"/>
          <w:szCs w:val="28"/>
          <w:lang w:val="en-US" w:eastAsia="zh-CN" w:bidi="ar-SA"/>
        </w:rPr>
        <w:t>98</w:t>
      </w:r>
      <w:r>
        <w:rPr>
          <w:rFonts w:hint="eastAsia" w:ascii="仿宋_GB2312" w:hAnsi="Times New Roman" w:eastAsia="仿宋_GB2312" w:cs="Times New Roman"/>
          <w:bCs/>
          <w:kern w:val="0"/>
          <w:sz w:val="28"/>
          <w:szCs w:val="28"/>
          <w:lang w:val="en-US" w:eastAsia="zh-CN" w:bidi="ar-SA"/>
        </w:rPr>
        <w:t>%，剩余资金已退回。</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firstLine="1120" w:firstLineChars="400"/>
        <w:rPr>
          <w:rFonts w:ascii="仿宋_GB2312"/>
          <w:bCs/>
        </w:rPr>
      </w:pPr>
      <w:r>
        <w:rPr>
          <w:rFonts w:hint="eastAsia" w:ascii="仿宋_GB2312"/>
          <w:bCs/>
        </w:rPr>
        <w:t>土地综合整治项目以助力乡村振兴发展为目标，以国土整治为平台，优化乡村国土空间生态布局，提升生态环境质量。</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firstLine="1120" w:firstLineChars="400"/>
        <w:rPr>
          <w:rFonts w:ascii="仿宋_GB2312"/>
          <w:bCs/>
        </w:rPr>
      </w:pPr>
      <w:r>
        <w:rPr>
          <w:rFonts w:hint="eastAsia" w:ascii="仿宋_GB2312"/>
          <w:bCs/>
        </w:rPr>
        <w:t>土地综合整治项目以助力乡村振兴发展为目标，以国土整治为平台，优化乡村国土空间生态布局，提升生态环境质量。</w:t>
      </w:r>
    </w:p>
    <w:p>
      <w:pPr>
        <w:pStyle w:val="44"/>
        <w:numPr>
          <w:ilvl w:val="0"/>
          <w:numId w:val="1"/>
        </w:numPr>
        <w:ind w:left="700" w:leftChars="250" w:firstLineChars="0"/>
        <w:rPr>
          <w:rFonts w:hint="eastAsia" w:ascii="仿宋_GB2312" w:hAnsi="Times New Roman" w:eastAsia="仿宋_GB2312" w:cs="Times New Roman"/>
          <w:bCs/>
          <w:kern w:val="0"/>
          <w:sz w:val="28"/>
          <w:szCs w:val="28"/>
          <w:lang w:val="en-US" w:eastAsia="zh-CN" w:bidi="ar-SA"/>
        </w:rPr>
      </w:pPr>
      <w:r>
        <w:rPr>
          <w:rFonts w:hint="eastAsia" w:ascii="仿宋_GB2312"/>
          <w:b/>
        </w:rPr>
        <w:t>满意度情况及分析</w:t>
      </w:r>
      <w:bookmarkStart w:id="12" w:name="_Toc61505647"/>
    </w:p>
    <w:p>
      <w:pPr>
        <w:pStyle w:val="44"/>
        <w:numPr>
          <w:numId w:val="0"/>
        </w:numPr>
        <w:ind w:leftChars="250" w:firstLine="280" w:firstLineChars="100"/>
        <w:rPr>
          <w:rFonts w:hint="eastAsia" w:ascii="仿宋_GB2312" w:hAnsi="Times New Roman" w:eastAsia="仿宋_GB2312" w:cs="Times New Roman"/>
          <w:bCs/>
          <w:kern w:val="0"/>
          <w:sz w:val="28"/>
          <w:szCs w:val="28"/>
          <w:lang w:val="en-US" w:eastAsia="zh-CN" w:bidi="ar-SA"/>
        </w:rPr>
      </w:pPr>
      <w:r>
        <w:rPr>
          <w:rFonts w:hint="eastAsia" w:ascii="仿宋_GB2312" w:hAnsi="Times New Roman" w:eastAsia="仿宋_GB2312" w:cs="Times New Roman"/>
          <w:bCs/>
          <w:kern w:val="0"/>
          <w:sz w:val="28"/>
          <w:szCs w:val="28"/>
          <w:lang w:val="en-US" w:eastAsia="zh-CN" w:bidi="ar-SA"/>
        </w:rPr>
        <w:t>群众满意度较高</w:t>
      </w:r>
    </w:p>
    <w:p>
      <w:pPr>
        <w:pStyle w:val="52"/>
      </w:pPr>
      <w:r>
        <w:rPr>
          <w:rFonts w:hint="eastAsia" w:ascii="仿宋" w:hAnsi="仿宋" w:eastAsia="仿宋" w:cs="仿宋"/>
          <w:b/>
          <w:bCs w:val="0"/>
        </w:rPr>
        <w:t>四、项目主要经验做法</w:t>
      </w:r>
      <w:bookmarkEnd w:id="12"/>
      <w:r>
        <w:t xml:space="preserve"> </w:t>
      </w:r>
    </w:p>
    <w:p>
      <w:pPr>
        <w:pStyle w:val="44"/>
        <w:ind w:left="280" w:firstLine="562"/>
      </w:pPr>
      <w:r>
        <w:t>项目设立领导小组，领导小组办公室下设县自然资源局，负责项目日常事务工作。</w:t>
      </w:r>
    </w:p>
    <w:p>
      <w:pPr>
        <w:pStyle w:val="52"/>
        <w:rPr>
          <w:rFonts w:ascii="仿宋" w:hAnsi="仿宋" w:eastAsia="仿宋" w:cs="仿宋"/>
          <w:b/>
          <w:bCs w:val="0"/>
        </w:rPr>
      </w:pPr>
      <w:bookmarkStart w:id="13" w:name="_Toc61505648"/>
      <w:r>
        <w:rPr>
          <w:rFonts w:hint="eastAsia" w:ascii="仿宋" w:hAnsi="仿宋" w:eastAsia="仿宋" w:cs="仿宋"/>
          <w:b/>
          <w:bCs w:val="0"/>
        </w:rPr>
        <w:t>五、项目管理中存在问题及原因分析</w:t>
      </w:r>
      <w:bookmarkEnd w:id="13"/>
      <w:bookmarkStart w:id="17" w:name="_GoBack"/>
      <w:bookmarkEnd w:id="17"/>
    </w:p>
    <w:p>
      <w:pPr>
        <w:pStyle w:val="44"/>
        <w:ind w:firstLine="840" w:firstLineChars="300"/>
      </w:pPr>
      <w:r>
        <w:rPr>
          <w:rFonts w:hint="eastAsia"/>
        </w:rPr>
        <w:t>经过前4轮的增减挂钩拆旧复垦，我县拆旧复垦潜力已经枯竭，剩余拆旧区有村民居住需要政府协调解决拆迁和安置工作。</w:t>
      </w:r>
    </w:p>
    <w:p>
      <w:pPr>
        <w:pStyle w:val="52"/>
        <w:rPr>
          <w:rFonts w:ascii="仿宋" w:hAnsi="仿宋" w:eastAsia="仿宋" w:cs="仿宋"/>
          <w:b/>
          <w:bCs w:val="0"/>
        </w:rPr>
      </w:pPr>
      <w:bookmarkStart w:id="14" w:name="_Toc61505649"/>
      <w:r>
        <w:rPr>
          <w:rFonts w:hint="eastAsia" w:ascii="仿宋" w:hAnsi="仿宋" w:eastAsia="仿宋" w:cs="仿宋"/>
          <w:b/>
          <w:bCs w:val="0"/>
        </w:rPr>
        <w:t>六、进一步加强项目管理措施及建议</w:t>
      </w:r>
      <w:bookmarkEnd w:id="14"/>
    </w:p>
    <w:p>
      <w:pPr>
        <w:pStyle w:val="44"/>
        <w:ind w:left="0" w:leftChars="0" w:firstLine="560" w:firstLineChars="200"/>
      </w:pPr>
      <w:r>
        <w:t>一、确定清查范围，强化监督检查；二认真清查整改，做好汇总分析；三明确相关要求，建立长效机制</w:t>
      </w:r>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预算资金完成率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数据准确率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98%</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96.94%</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14.54</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数据应用率（%）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iMDUyMjc2YzhhYzIyMTVlZDBiYTNkNzY1OTUyNTQifQ=="/>
  </w:docVars>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2D03199A"/>
    <w:rsid w:val="63A330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Pages>
  <Words>1646</Words>
  <Characters>1883</Characters>
  <Lines>0</Lines>
  <Paragraphs>0</Paragraphs>
  <TotalTime>1</TotalTime>
  <ScaleCrop>false</ScaleCrop>
  <LinksUpToDate>false</LinksUpToDate>
  <CharactersWithSpaces>1905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cp:lastPrinted>2022-03-25T08:41:00Z</cp:lastPrinted>
  <dcterms:modified xsi:type="dcterms:W3CDTF">2022-05-11T08:45:49Z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E4CAE926D0B34D8592C27782113AE8C1</vt:lpwstr>
  </property>
</Properties>
</file>