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hint="eastAsia" w:ascii="Times New Roman" w:hAnsi="Times New Roman" w:eastAsia="黑体" w:cs="Times New Roman"/>
          <w:b/>
          <w:kern w:val="0"/>
          <w:sz w:val="50"/>
          <w:szCs w:val="50"/>
          <w:lang w:eastAsia="zh-CN"/>
        </w:rPr>
      </w:pPr>
      <w:r>
        <w:rPr>
          <w:rFonts w:hint="eastAsia" w:ascii="Times New Roman" w:hAnsi="Times New Roman" w:eastAsia="黑体" w:cs="Times New Roman"/>
          <w:b/>
          <w:kern w:val="0"/>
          <w:sz w:val="50"/>
          <w:szCs w:val="50"/>
          <w:lang w:eastAsia="zh-CN"/>
        </w:rPr>
        <w:drawing>
          <wp:inline distT="0" distB="0" distL="114300" distR="114300">
            <wp:extent cx="5271770" cy="7523480"/>
            <wp:effectExtent l="0" t="0" r="5080" b="1270"/>
            <wp:docPr id="1" name="图片 1" descr="12022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0220518"/>
                    <pic:cNvPicPr>
                      <a:picLocks noChangeAspect="1"/>
                    </pic:cNvPicPr>
                  </pic:nvPicPr>
                  <pic:blipFill>
                    <a:blip r:embed="rId18"/>
                    <a:stretch>
                      <a:fillRect/>
                    </a:stretch>
                  </pic:blipFill>
                  <pic:spPr>
                    <a:xfrm>
                      <a:off x="0" y="0"/>
                      <a:ext cx="5271770" cy="7523480"/>
                    </a:xfrm>
                    <a:prstGeom prst="rect">
                      <a:avLst/>
                    </a:prstGeom>
                  </pic:spPr>
                </pic:pic>
              </a:graphicData>
            </a:graphic>
          </wp:inline>
        </w:drawing>
      </w: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pStyle w:val="18"/>
        <w:tabs>
          <w:tab w:val="right" w:leader="dot" w:pos="8296"/>
        </w:tabs>
        <w:ind w:firstLine="440" w:firstLineChars="137"/>
      </w:pPr>
      <w:bookmarkStart w:id="17" w:name="_GoBack"/>
      <w:bookmarkEnd w:id="17"/>
      <w:r>
        <w:rPr>
          <w:rFonts w:ascii="仿宋_GB2312" w:hAnsi="Times New Roman" w:cs="Times New Roman"/>
          <w:kern w:val="0"/>
          <w:sz w:val="32"/>
          <w:szCs w:val="32"/>
        </w:rPr>
        <w:br w:type="page"/>
      </w:r>
      <w:r>
        <w:rPr>
          <w:szCs w:val="44"/>
        </w:rPr>
        <w:fldChar w:fldCharType="begin"/>
      </w:r>
      <w:r>
        <w:rPr>
          <w:szCs w:val="44"/>
        </w:rPr>
        <w:instrText xml:space="preserve"> TOC \o "1-4" \f </w:instrText>
      </w:r>
      <w:r>
        <w:rPr>
          <w:szCs w:val="44"/>
        </w:rPr>
        <w:fldChar w:fldCharType="separate"/>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一、项目的基本情况</w:t>
      </w:r>
      <w:r>
        <w:tab/>
      </w:r>
      <w:r>
        <w:fldChar w:fldCharType="begin"/>
      </w:r>
      <w:r>
        <w:instrText xml:space="preserve"> PAGEREF _Toc61505636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（一）项目概况</w:t>
      </w:r>
      <w:r>
        <w:tab/>
      </w:r>
      <w:r>
        <w:fldChar w:fldCharType="begin"/>
      </w:r>
      <w:r>
        <w:instrText xml:space="preserve"> PAGEREF _Toc61505637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（二）预算执行情况</w:t>
      </w:r>
      <w:r>
        <w:tab/>
      </w:r>
      <w:r>
        <w:fldChar w:fldCharType="begin"/>
      </w:r>
      <w:r>
        <w:instrText xml:space="preserve"> PAGEREF _Toc61505638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（三）项目绩效目标</w:t>
      </w:r>
      <w:r>
        <w:tab/>
      </w:r>
      <w:r>
        <w:fldChar w:fldCharType="begin"/>
      </w:r>
      <w:r>
        <w:instrText xml:space="preserve"> PAGEREF _Toc61505639 \h </w:instrText>
      </w:r>
      <w:r>
        <w:fldChar w:fldCharType="separate"/>
      </w:r>
      <w:r>
        <w:t>4</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二、项目绩效情况</w:t>
      </w:r>
      <w:r>
        <w:tab/>
      </w:r>
      <w:r>
        <w:fldChar w:fldCharType="begin"/>
      </w:r>
      <w:r>
        <w:instrText xml:space="preserve"> PAGEREF _Toc61505641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（一）预算执行情况</w:t>
      </w:r>
      <w:r>
        <w:tab/>
      </w:r>
      <w:r>
        <w:fldChar w:fldCharType="begin"/>
      </w:r>
      <w:r>
        <w:instrText xml:space="preserve"> PAGEREF _Toc61505642 \h </w:instrText>
      </w:r>
      <w:r>
        <w:fldChar w:fldCharType="separate"/>
      </w:r>
      <w:r>
        <w:t>5</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（二）项目产出情况</w:t>
      </w:r>
      <w:r>
        <w:tab/>
      </w:r>
      <w:r>
        <w:fldChar w:fldCharType="begin"/>
      </w:r>
      <w:r>
        <w:instrText xml:space="preserve"> PAGEREF _Toc61505643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（三）项目效益情况</w:t>
      </w:r>
      <w:r>
        <w:tab/>
      </w:r>
      <w:r>
        <w:fldChar w:fldCharType="begin"/>
      </w:r>
      <w:r>
        <w:instrText xml:space="preserve"> PAGEREF _Toc61505644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（四）项目满意度情况</w:t>
      </w:r>
      <w:r>
        <w:tab/>
      </w:r>
      <w:r>
        <w:fldChar w:fldCharType="begin"/>
      </w:r>
      <w:r>
        <w:instrText xml:space="preserve"> PAGEREF _Toc61505645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三、项目绩效分析</w:t>
      </w:r>
      <w:r>
        <w:tab/>
      </w:r>
      <w:r>
        <w:fldChar w:fldCharType="begin"/>
      </w:r>
      <w:r>
        <w:instrText xml:space="preserve"> PAGEREF _Toc61505646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四、项目主要经验做法</w:t>
      </w:r>
      <w:r>
        <w:tab/>
      </w:r>
      <w:r>
        <w:fldChar w:fldCharType="begin"/>
      </w:r>
      <w:r>
        <w:instrText xml:space="preserve"> PAGEREF _Toc61505647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五、项目管理中存在问题及原因分析</w:t>
      </w:r>
      <w:r>
        <w:tab/>
      </w:r>
      <w:r>
        <w:fldChar w:fldCharType="begin"/>
      </w:r>
      <w:r>
        <w:instrText xml:space="preserve"> PAGEREF _Toc61505648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六、进一步加强项目管理措施及建议</w:t>
      </w:r>
      <w:r>
        <w:tab/>
      </w:r>
      <w:r>
        <w:fldChar w:fldCharType="begin"/>
      </w:r>
      <w:r>
        <w:instrText xml:space="preserve"> PAGEREF _Toc61505649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1.</w:t>
      </w:r>
      <w:r>
        <w:rPr>
          <w:rFonts w:hint="eastAsia" w:ascii="仿宋" w:hAnsi="仿宋" w:eastAsia="仿宋" w:cs="仿宋"/>
          <w:bCs w:val="0"/>
        </w:rPr>
        <w:t>项目支出绩效自评表</w:t>
      </w:r>
      <w:r>
        <w:tab/>
      </w:r>
      <w:r>
        <w:fldChar w:fldCharType="begin"/>
      </w:r>
      <w:r>
        <w:instrText xml:space="preserve"> PAGEREF _Toc61505650 \h </w:instrText>
      </w:r>
      <w:r>
        <w:fldChar w:fldCharType="separate"/>
      </w:r>
      <w:r>
        <w:t>10</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2.</w:t>
      </w:r>
      <w:r>
        <w:rPr>
          <w:rFonts w:hint="eastAsia" w:ascii="仿宋" w:hAnsi="仿宋" w:eastAsia="仿宋" w:cs="仿宋"/>
          <w:bCs w:val="0"/>
        </w:rPr>
        <w:t>绩效自评相关资料</w:t>
      </w:r>
      <w:r>
        <w:tab/>
      </w:r>
      <w:r>
        <w:fldChar w:fldCharType="begin"/>
      </w:r>
      <w:r>
        <w:instrText xml:space="preserve"> PAGEREF _Toc61505651 \h </w:instrText>
      </w:r>
      <w:r>
        <w:fldChar w:fldCharType="separate"/>
      </w:r>
      <w:r>
        <w:t>11</w:t>
      </w:r>
      <w:r>
        <w:fldChar w:fldCharType="end"/>
      </w:r>
    </w:p>
    <w:p>
      <w:pPr>
        <w:tabs>
          <w:tab w:val="left" w:pos="620"/>
        </w:tabs>
        <w:ind w:firstLine="0" w:firstLineChars="0"/>
        <w:rPr>
          <w:szCs w:val="44"/>
        </w:rPr>
      </w:pPr>
      <w:r>
        <w:rPr>
          <w:szCs w:val="44"/>
        </w:rPr>
        <w:fldChar w:fldCharType="end"/>
      </w:r>
      <w:r>
        <w:rPr>
          <w:szCs w:val="44"/>
        </w:rPr>
        <w:tab/>
      </w:r>
    </w:p>
    <w:p>
      <w:pPr>
        <w:ind w:firstLine="560"/>
        <w:rPr>
          <w:szCs w:val="44"/>
        </w:rPr>
      </w:pPr>
    </w:p>
    <w:p>
      <w:pPr>
        <w:ind w:firstLine="560"/>
        <w:rPr>
          <w:szCs w:val="44"/>
        </w:rPr>
      </w:pPr>
    </w:p>
    <w:p>
      <w:pPr>
        <w:ind w:firstLine="560"/>
        <w:rPr>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52"/>
        <w:rPr>
          <w:rFonts w:ascii="仿宋" w:hAnsi="仿宋" w:eastAsia="仿宋" w:cs="仿宋"/>
          <w:b/>
          <w:bCs w:val="0"/>
        </w:rPr>
      </w:pPr>
      <w:bookmarkStart w:id="0" w:name="_Toc61505636"/>
      <w:r>
        <w:rPr>
          <w:rFonts w:hint="eastAsia" w:ascii="仿宋" w:hAnsi="仿宋" w:eastAsia="仿宋" w:cs="仿宋"/>
          <w:b/>
          <w:bCs w:val="0"/>
        </w:rPr>
        <w:t>一、项目的基本情况</w:t>
      </w:r>
      <w:bookmarkEnd w:id="0"/>
    </w:p>
    <w:p>
      <w:pPr>
        <w:pStyle w:val="46"/>
        <w:ind w:left="560"/>
      </w:pPr>
      <w:bookmarkStart w:id="1" w:name="_Toc61505637"/>
      <w:r>
        <w:rPr>
          <w:rFonts w:hint="eastAsia"/>
        </w:rPr>
        <w:t>（一）项目概况</w:t>
      </w:r>
      <w:bookmarkEnd w:id="1"/>
    </w:p>
    <w:p>
      <w:pPr>
        <w:pStyle w:val="44"/>
        <w:ind w:left="280" w:firstLine="562"/>
      </w:pPr>
      <w:r>
        <w:rPr>
          <w:rFonts w:hint="eastAsia"/>
          <w:b/>
          <w:bCs/>
        </w:rPr>
        <w:t>项目概况：</w:t>
      </w:r>
      <w:r>
        <w:t>“山西鸿晋塑胶科技有限公司年产40亿只一次性防护手套产业扶贫项目”于2017年4月经大宁县发展改革和经济信息化局（大发信审批发【2017】11号}）备案，备案编号：2017-141030-29-03-012521。于2017年8月经大宁县环境保护局大环审函【2017】8号批复环境影响报告表。</w:t>
      </w:r>
    </w:p>
    <w:p>
      <w:pPr>
        <w:pStyle w:val="44"/>
        <w:ind w:left="280" w:firstLine="562"/>
      </w:pPr>
      <w:r>
        <w:rPr>
          <w:rFonts w:hint="eastAsia"/>
          <w:b/>
          <w:bCs/>
        </w:rPr>
        <w:t>立项依据：</w:t>
      </w:r>
      <w:r>
        <w:t>在大宁县决战脱贫攻坚的坚定决心影响下，在石家庄鸿锐集团总公司近30年来“以人为本”的企业文化带领下，山西鸿晋塑胶科技有限公司义不容辞承担起为大宁县脱贫攻坚贡献力量的智能</w:t>
      </w:r>
    </w:p>
    <w:p>
      <w:pPr>
        <w:pStyle w:val="44"/>
        <w:ind w:left="280" w:firstLine="560"/>
      </w:pPr>
      <w:r>
        <w:rPr>
          <w:rFonts w:hint="eastAsia"/>
          <w:b/>
          <w:bCs/>
        </w:rPr>
        <w:t>设立的必要性：</w:t>
      </w:r>
      <w:r>
        <w:t>1：2020年建成投产目标2：新增3000万元目标3：产能达到40亿只PVC一次性手套</w:t>
      </w:r>
    </w:p>
    <w:p>
      <w:pPr>
        <w:pStyle w:val="44"/>
        <w:ind w:left="280" w:firstLine="562"/>
      </w:pPr>
    </w:p>
    <w:p>
      <w:pPr>
        <w:pStyle w:val="44"/>
        <w:ind w:left="280" w:firstLine="562"/>
      </w:pPr>
      <w:r>
        <w:rPr>
          <w:rFonts w:hint="eastAsia"/>
          <w:b/>
          <w:bCs/>
        </w:rPr>
        <w:t>保证项目实施的措施与制度：</w:t>
      </w:r>
      <w:r>
        <w:t>按照规定，根据施工进度进行 1.项目实施准备包括项目实施机制，项目材料准备、项目现场准备、项目队伍准备、作业条件准备、项目设备准备。 2.项目实施管理包括项目进度管理、质量管理、安全管理等</w:t>
      </w:r>
    </w:p>
    <w:p>
      <w:pPr>
        <w:pStyle w:val="44"/>
        <w:ind w:left="280" w:firstLine="562"/>
      </w:pPr>
      <w:r>
        <w:rPr>
          <w:rFonts w:hint="eastAsia"/>
          <w:b/>
          <w:bCs/>
        </w:rPr>
        <w:t>项目实施计划：</w:t>
      </w:r>
      <w:r>
        <w:t>本项目于2017年4月开工，共建设24条生产线，已于2018年9月建设完成16条生产线并已投产，其余8条生产线于2020年12月完工。</w:t>
      </w:r>
    </w:p>
    <w:p>
      <w:pPr>
        <w:widowControl/>
        <w:ind w:firstLine="0" w:firstLineChars="0"/>
        <w:jc w:val="left"/>
        <w:rPr>
          <w:rFonts w:ascii="Times New Roman" w:hAnsi="Times New Roman" w:cs="Times New Roman"/>
          <w:kern w:val="0"/>
          <w:szCs w:val="28"/>
        </w:rPr>
      </w:pPr>
      <w:r>
        <w:br w:type="page"/>
      </w:r>
    </w:p>
    <w:p>
      <w:pPr>
        <w:pStyle w:val="46"/>
        <w:ind w:left="560"/>
      </w:pPr>
      <w:bookmarkStart w:id="2" w:name="_Toc61505638"/>
      <w:r>
        <w:rPr>
          <w:rFonts w:hint="eastAsia"/>
        </w:rPr>
        <w:t>（二）预算执行情况</w:t>
      </w:r>
      <w:bookmarkEnd w:id="2"/>
    </w:p>
    <w:p>
      <w:pPr>
        <w:ind w:firstLine="0" w:firstLineChars="0"/>
        <w:jc w:val="left"/>
        <w:rPr>
          <w:b/>
          <w:szCs w:val="28"/>
        </w:rPr>
      </w:pPr>
    </w:p>
    <w:tbl>
      <w:tblPr>
        <w:tblStyle w:val="24"/>
        <w:tblW w:w="13972" w:type="dxa"/>
        <w:tblInd w:w="172" w:type="dxa"/>
        <w:tblLayout w:type="fixed"/>
        <w:tblCellMar>
          <w:top w:w="0" w:type="dxa"/>
          <w:left w:w="30" w:type="dxa"/>
          <w:bottom w:w="0" w:type="dxa"/>
          <w:right w:w="30" w:type="dxa"/>
        </w:tblCellMar>
      </w:tblPr>
      <w:tblGrid>
        <w:gridCol w:w="1559"/>
        <w:gridCol w:w="1276"/>
        <w:gridCol w:w="1356"/>
        <w:gridCol w:w="1337"/>
        <w:gridCol w:w="851"/>
        <w:gridCol w:w="850"/>
        <w:gridCol w:w="851"/>
        <w:gridCol w:w="930"/>
        <w:gridCol w:w="2410"/>
        <w:gridCol w:w="2552"/>
      </w:tblGrid>
      <w:tr>
        <w:tblPrEx>
          <w:tblCellMar>
            <w:top w:w="0" w:type="dxa"/>
            <w:left w:w="30" w:type="dxa"/>
            <w:bottom w:w="0" w:type="dxa"/>
            <w:right w:w="30" w:type="dxa"/>
          </w:tblCellMar>
        </w:tblPrEx>
        <w:trPr>
          <w:trHeight w:val="359"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ascii="仿宋_GB2312"/>
                <w:b/>
                <w:bCs/>
                <w:kern w:val="0"/>
                <w:sz w:val="24"/>
                <w:szCs w:val="24"/>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ascii="仿宋_GB2312"/>
                <w:b/>
                <w:bCs/>
                <w:kern w:val="0"/>
                <w:sz w:val="24"/>
                <w:szCs w:val="24"/>
              </w:rPr>
              <w:t>年度总金额</w:t>
            </w:r>
            <w:r>
              <w:rPr>
                <w:rFonts w:ascii="仿宋_GB2312"/>
                <w:b/>
                <w:bCs/>
                <w:kern w:val="0"/>
                <w:sz w:val="24"/>
                <w:szCs w:val="24"/>
              </w:rPr>
              <w:t>(</w:t>
            </w:r>
            <w:r>
              <w:rPr>
                <w:rFonts w:hint="eastAsia" w:ascii="仿宋_GB2312"/>
                <w:b/>
                <w:bCs/>
                <w:kern w:val="0"/>
                <w:sz w:val="24"/>
                <w:szCs w:val="24"/>
              </w:rPr>
              <w:t>万元</w:t>
            </w:r>
            <w:r>
              <w:rPr>
                <w:rFonts w:ascii="仿宋_GB2312"/>
                <w:b/>
                <w:bCs/>
                <w:kern w:val="0"/>
                <w:sz w:val="24"/>
                <w:szCs w:val="24"/>
              </w:rPr>
              <w:t>)</w:t>
            </w:r>
          </w:p>
        </w:tc>
        <w:tc>
          <w:tcPr>
            <w:tcW w:w="4819" w:type="dxa"/>
            <w:gridSpan w:val="5"/>
            <w:tcBorders>
              <w:top w:val="single" w:color="000000" w:sz="6" w:space="0"/>
              <w:left w:val="single" w:color="auto" w:sz="4"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tblPrEx>
          <w:tblCellMar>
            <w:top w:w="0" w:type="dxa"/>
            <w:left w:w="30" w:type="dxa"/>
            <w:bottom w:w="0" w:type="dxa"/>
            <w:right w:w="30" w:type="dxa"/>
          </w:tblCellMar>
        </w:tblPrEx>
        <w:trPr>
          <w:trHeight w:val="267" w:hRule="atLeast"/>
        </w:trPr>
        <w:tc>
          <w:tcPr>
            <w:tcW w:w="1559" w:type="dxa"/>
            <w:vMerge w:val="continue"/>
            <w:tcBorders>
              <w:top w:val="single" w:color="auto" w:sz="4" w:space="0"/>
              <w:left w:val="single" w:color="auto" w:sz="4" w:space="0"/>
              <w:bottom w:val="single" w:color="auto" w:sz="4" w:space="0"/>
              <w:right w:val="single" w:color="auto" w:sz="4" w:space="0"/>
            </w:tcBorders>
            <w:shd w:val="solid" w:color="FFFFFF" w:fill="auto"/>
            <w:vAlign w:val="center"/>
          </w:tcPr>
          <w:p>
            <w:pPr>
              <w:widowControl/>
              <w:ind w:firstLine="0" w:firstLineChars="0"/>
              <w:jc w:val="center"/>
              <w:rPr>
                <w:rFonts w:ascii="仿宋_GB2312"/>
                <w:b/>
                <w:bCs/>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56"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37" w:type="dxa"/>
            <w:tcBorders>
              <w:top w:val="single" w:color="000000" w:sz="6" w:space="0"/>
              <w:left w:val="single" w:color="auto" w:sz="4"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小计</w:t>
            </w:r>
          </w:p>
        </w:tc>
        <w:tc>
          <w:tcPr>
            <w:tcW w:w="851" w:type="dxa"/>
            <w:tcBorders>
              <w:top w:val="single" w:color="000000" w:sz="6" w:space="0"/>
              <w:left w:val="single" w:color="000000" w:sz="6" w:space="0"/>
              <w:bottom w:val="single" w:color="auto" w:sz="4"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中央级</w:t>
            </w:r>
          </w:p>
        </w:tc>
        <w:tc>
          <w:tcPr>
            <w:tcW w:w="850"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省级</w:t>
            </w:r>
          </w:p>
        </w:tc>
        <w:tc>
          <w:tcPr>
            <w:tcW w:w="851"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市级</w:t>
            </w:r>
          </w:p>
        </w:tc>
        <w:tc>
          <w:tcPr>
            <w:tcW w:w="930" w:type="dxa"/>
            <w:tcBorders>
              <w:top w:val="single" w:color="000000" w:sz="6" w:space="0"/>
              <w:left w:val="single" w:color="000000" w:sz="6"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县区级</w:t>
            </w:r>
          </w:p>
        </w:tc>
        <w:tc>
          <w:tcPr>
            <w:tcW w:w="2410"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2552"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资金结余</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(5)=(3)-(4)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预算到位率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(6)=(3)/(2)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预算执行率(%)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(7)=(4)/(2)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534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实际到位资金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(3)</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534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全年执行资金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534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534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年初预算资金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(1)</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bl>
    <w:p>
      <w:pPr>
        <w:pStyle w:val="46"/>
        <w:ind w:left="560"/>
      </w:pPr>
      <w:bookmarkStart w:id="3" w:name="_Toc61505639"/>
      <w:r>
        <w:rPr>
          <w:rFonts w:hint="eastAsia"/>
        </w:rPr>
        <w:t>（三）项目绩效目标</w:t>
      </w:r>
      <w:bookmarkEnd w:id="3"/>
    </w:p>
    <w:p>
      <w:pPr>
        <w:pStyle w:val="48"/>
        <w:ind w:left="560"/>
      </w:pPr>
      <w:r>
        <w:rPr>
          <w:rFonts w:hint="eastAsia"/>
        </w:rPr>
        <w:t>（</w:t>
      </w:r>
      <w:r>
        <w:t>1</w:t>
      </w:r>
      <w:r>
        <w:rPr>
          <w:rFonts w:hint="eastAsia"/>
        </w:rPr>
        <w:t>）</w:t>
      </w:r>
      <w:r>
        <w:t xml:space="preserve">. </w:t>
      </w:r>
      <w:r>
        <w:rPr>
          <w:rFonts w:hint="eastAsia"/>
        </w:rPr>
        <w:t>项目实施期绩效目标</w:t>
      </w:r>
    </w:p>
    <w:p>
      <w:pPr>
        <w:pStyle w:val="44"/>
        <w:ind w:left="280" w:firstLine="560"/>
      </w:pPr>
      <w:r>
        <w:t>目标1：2020年建成投产</w:t>
      </w:r>
      <w:r>
        <w:br w:type="textWrapping"/>
      </w:r>
      <w:r>
        <w:t>目标2：新增3000万元</w:t>
      </w:r>
      <w:r>
        <w:br w:type="textWrapping"/>
      </w:r>
      <w:r>
        <w:t>目标3：产能达到40亿只PVC一次性手套</w:t>
      </w:r>
    </w:p>
    <w:p>
      <w:pPr>
        <w:pStyle w:val="44"/>
        <w:ind w:left="280" w:firstLine="560"/>
      </w:pPr>
      <w:r>
        <w:tab/>
      </w:r>
    </w:p>
    <w:p>
      <w:pPr>
        <w:pStyle w:val="48"/>
        <w:ind w:left="560"/>
      </w:pPr>
      <w:r>
        <w:rPr>
          <w:rFonts w:hint="eastAsia"/>
        </w:rPr>
        <w:t>（</w:t>
      </w:r>
      <w:r>
        <w:t>2</w:t>
      </w:r>
      <w:r>
        <w:rPr>
          <w:rFonts w:hint="eastAsia"/>
        </w:rPr>
        <w:t>）</w:t>
      </w:r>
      <w:r>
        <w:t xml:space="preserve">. </w:t>
      </w:r>
      <w:r>
        <w:rPr>
          <w:rFonts w:hint="eastAsia"/>
        </w:rPr>
        <w:t>项目年度目标</w:t>
      </w:r>
    </w:p>
    <w:p>
      <w:pPr>
        <w:pStyle w:val="44"/>
        <w:ind w:left="280" w:firstLine="560"/>
      </w:pPr>
      <w:r>
        <w:t>目标1：2020年建成投产目标2：新增3000万元目标3：产能达到40亿只PVC一次性手套</w:t>
      </w:r>
    </w:p>
    <w:p>
      <w:pPr>
        <w:pStyle w:val="44"/>
        <w:ind w:firstLine="560"/>
      </w:pPr>
    </w:p>
    <w:p>
      <w:pPr>
        <w:pStyle w:val="52"/>
        <w:rPr>
          <w:rFonts w:ascii="仿宋" w:hAnsi="仿宋" w:eastAsia="仿宋" w:cs="仿宋"/>
          <w:b/>
          <w:bCs w:val="0"/>
        </w:rPr>
      </w:pPr>
      <w:bookmarkStart w:id="4" w:name="_Toc61505641"/>
      <w:r>
        <w:rPr>
          <w:rFonts w:hint="eastAsia" w:ascii="仿宋" w:hAnsi="仿宋" w:eastAsia="仿宋" w:cs="仿宋"/>
          <w:b/>
          <w:bCs w:val="0"/>
        </w:rPr>
        <w:t>二、项目绩效情况</w:t>
      </w:r>
      <w:bookmarkEnd w:id="4"/>
    </w:p>
    <w:p>
      <w:pPr>
        <w:pStyle w:val="44"/>
        <w:ind w:left="140" w:leftChars="50" w:firstLine="560"/>
      </w:pPr>
      <w:r>
        <w:rPr>
          <w:rFonts w:hint="eastAsia"/>
        </w:rPr>
        <w:t>综合考虑预算执行情况、产出、效益、服务对象满意度各方面因素，通过数据采集及分析，最终评分结果：</w:t>
      </w:r>
      <w:r>
        <w:t>山西省新动能专项资金（年产40亿只一次性防护手套产业扶贫项目）</w:t>
      </w:r>
      <w:r>
        <w:rPr>
          <w:rFonts w:hint="eastAsia"/>
        </w:rPr>
        <w:t>项目绩效自评价结果为</w:t>
      </w:r>
      <w:r>
        <w:t>:</w:t>
      </w:r>
      <w:r>
        <w:rPr>
          <w:rFonts w:hint="eastAsia"/>
        </w:rPr>
        <w:t>总得分</w:t>
      </w:r>
      <w:r>
        <w:t>100</w:t>
      </w:r>
      <w:r>
        <w:rPr>
          <w:rFonts w:hint="eastAsia"/>
        </w:rPr>
        <w:t>分，属于</w:t>
      </w:r>
      <w:r>
        <w:t>"优秀"</w:t>
      </w:r>
      <w:r>
        <w:rPr>
          <w:rFonts w:hint="eastAsia"/>
        </w:rPr>
        <w:t>。</w:t>
      </w:r>
    </w:p>
    <w:p>
      <w:pPr>
        <w:pStyle w:val="46"/>
        <w:ind w:left="560"/>
      </w:pPr>
      <w:bookmarkStart w:id="5" w:name="_Toc61505642"/>
      <w:r>
        <w:rPr>
          <w:rFonts w:hint="eastAsia"/>
        </w:rPr>
        <w:t>（一）预算执行情况</w:t>
      </w:r>
      <w:bookmarkEnd w:id="5"/>
    </w:p>
    <w:tbl>
      <w:tblPr>
        <w:tblStyle w:val="24"/>
        <w:tblW w:w="0" w:type="auto"/>
        <w:jc w:val="center"/>
        <w:tblLayout w:type="fixed"/>
        <w:tblCellMar>
          <w:top w:w="0" w:type="dxa"/>
          <w:left w:w="108" w:type="dxa"/>
          <w:bottom w:w="0" w:type="dxa"/>
          <w:right w:w="108" w:type="dxa"/>
        </w:tblCellMar>
      </w:tblPr>
      <w:tblGrid>
        <w:gridCol w:w="1712"/>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r>
    </w:tbl>
    <w:p>
      <w:pPr>
        <w:ind w:firstLine="0" w:firstLineChars="0"/>
        <w:rPr>
          <w:szCs w:val="44"/>
        </w:rPr>
      </w:pPr>
    </w:p>
    <w:p>
      <w:pPr>
        <w:widowControl/>
        <w:ind w:firstLine="0" w:firstLineChars="0"/>
        <w:jc w:val="left"/>
        <w:rPr>
          <w:szCs w:val="44"/>
        </w:rPr>
      </w:pPr>
      <w:r>
        <w:rPr>
          <w:szCs w:val="44"/>
        </w:rPr>
        <w:br w:type="page"/>
      </w:r>
    </w:p>
    <w:p>
      <w:pPr>
        <w:pStyle w:val="46"/>
        <w:ind w:left="560"/>
      </w:pPr>
      <w:bookmarkStart w:id="6" w:name="_Toc61505643"/>
      <w:r>
        <w:rPr>
          <w:rFonts w:hint="eastAsia"/>
        </w:rPr>
        <w:t>（二）项目产出情况</w:t>
      </w:r>
      <w:bookmarkEnd w:id="6"/>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工业转型强基-贫困地区工业基础能力提升项目数量</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1个</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项目专项符合性</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项目投产达效时限</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按照项目建设周期，最晚不超过2年</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支持限额</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单个项目支持资金额度不超最高标准限额</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pStyle w:val="46"/>
        <w:ind w:left="560"/>
      </w:pPr>
      <w:bookmarkStart w:id="7" w:name="_Toc61505644"/>
      <w:r>
        <w:rPr>
          <w:rFonts w:hint="eastAsia"/>
        </w:rPr>
        <w:t>（三）项目效益情况</w:t>
      </w:r>
      <w:bookmarkEnd w:id="7"/>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财政投入乘数</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0.3</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0.3亿元</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新增税收收入</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0.0992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0.0992万人</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生态效益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节能降耗、资源综合利用、清洁生产水平</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全区域制造业水平</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r>
    </w:tbl>
    <w:p>
      <w:pPr>
        <w:ind w:firstLine="0" w:firstLineChars="0"/>
        <w:rPr>
          <w:szCs w:val="44"/>
        </w:rPr>
      </w:pPr>
    </w:p>
    <w:p>
      <w:pPr>
        <w:widowControl/>
        <w:ind w:firstLine="0" w:firstLineChars="0"/>
        <w:jc w:val="left"/>
        <w:rPr>
          <w:szCs w:val="44"/>
        </w:rPr>
      </w:pPr>
      <w:r>
        <w:rPr>
          <w:szCs w:val="44"/>
        </w:rPr>
        <w:br w:type="page"/>
      </w:r>
    </w:p>
    <w:p>
      <w:pPr>
        <w:ind w:firstLine="0" w:firstLineChars="0"/>
        <w:rPr>
          <w:szCs w:val="44"/>
        </w:rPr>
      </w:pPr>
    </w:p>
    <w:p>
      <w:pPr>
        <w:pStyle w:val="46"/>
        <w:ind w:left="560"/>
      </w:pPr>
      <w:bookmarkStart w:id="8" w:name="_Toc61505645"/>
      <w:r>
        <w:rPr>
          <w:rFonts w:hint="eastAsia"/>
        </w:rPr>
        <w:t>（四）项目满意度情况</w:t>
      </w:r>
      <w:bookmarkEnd w:id="8"/>
    </w:p>
    <w:tbl>
      <w:tblPr>
        <w:tblStyle w:val="24"/>
        <w:tblW w:w="0" w:type="auto"/>
        <w:jc w:val="center"/>
        <w:tblLayout w:type="fixed"/>
        <w:tblCellMar>
          <w:top w:w="0" w:type="dxa"/>
          <w:left w:w="108" w:type="dxa"/>
          <w:bottom w:w="0" w:type="dxa"/>
          <w:right w:w="108" w:type="dxa"/>
        </w:tblCellMar>
      </w:tblPr>
      <w:tblGrid>
        <w:gridCol w:w="1404"/>
        <w:gridCol w:w="2916"/>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2916"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2916"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申报项目企业满意度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85%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85%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rPr>
          <w:szCs w:val="44"/>
        </w:rPr>
      </w:pPr>
      <w:r>
        <w:rPr>
          <w:szCs w:val="44"/>
        </w:rPr>
        <w:br w:type="page"/>
      </w:r>
    </w:p>
    <w:p>
      <w:pPr>
        <w:pStyle w:val="52"/>
        <w:rPr>
          <w:rFonts w:ascii="仿宋" w:hAnsi="仿宋" w:eastAsia="仿宋" w:cs="仿宋"/>
          <w:b/>
          <w:bCs w:val="0"/>
        </w:rPr>
      </w:pPr>
      <w:bookmarkStart w:id="9" w:name="_Toc61505646"/>
      <w:r>
        <w:rPr>
          <w:rFonts w:hint="eastAsia" w:ascii="仿宋" w:hAnsi="仿宋" w:eastAsia="仿宋" w:cs="仿宋"/>
          <w:b/>
          <w:bCs w:val="0"/>
        </w:rPr>
        <w:t>三、</w:t>
      </w:r>
      <w:bookmarkStart w:id="10" w:name="_Toc17451"/>
      <w:bookmarkStart w:id="11" w:name="_Toc23655"/>
      <w:r>
        <w:rPr>
          <w:rFonts w:hint="eastAsia" w:ascii="仿宋" w:hAnsi="仿宋" w:eastAsia="仿宋" w:cs="仿宋"/>
          <w:b/>
          <w:bCs w:val="0"/>
        </w:rPr>
        <w:t>项目绩效分析</w:t>
      </w:r>
      <w:bookmarkEnd w:id="9"/>
      <w:bookmarkEnd w:id="10"/>
      <w:bookmarkEnd w:id="11"/>
    </w:p>
    <w:p>
      <w:pPr>
        <w:pStyle w:val="44"/>
        <w:numPr>
          <w:ilvl w:val="0"/>
          <w:numId w:val="1"/>
        </w:numPr>
        <w:ind w:left="700" w:leftChars="250" w:firstLineChars="0"/>
        <w:rPr>
          <w:rFonts w:ascii="仿宋_GB2312"/>
          <w:b/>
        </w:rPr>
      </w:pPr>
      <w:r>
        <w:rPr>
          <w:rFonts w:hint="eastAsia" w:ascii="仿宋_GB2312"/>
          <w:b/>
        </w:rPr>
        <w:t>项目实施和预算执行情况及分析</w:t>
      </w:r>
    </w:p>
    <w:p>
      <w:pPr>
        <w:pStyle w:val="44"/>
        <w:ind w:left="1134" w:leftChars="405" w:firstLine="426" w:firstLineChars="0"/>
        <w:rPr>
          <w:rFonts w:ascii="仿宋_GB2312"/>
          <w:bCs/>
        </w:rPr>
      </w:pPr>
      <w:r>
        <w:rPr>
          <w:rFonts w:hint="eastAsia" w:ascii="仿宋_GB2312"/>
          <w:bCs/>
        </w:rPr>
        <w:t>山西省新动能专项资金（年产40亿只一次性防护手套产业扶贫项目）预算534万元，资金到位534万元，预算执行534万元，预算执行率100%。</w:t>
      </w:r>
    </w:p>
    <w:p>
      <w:pPr>
        <w:pStyle w:val="44"/>
        <w:ind w:left="700" w:leftChars="250"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产出情况及分析</w:t>
      </w:r>
    </w:p>
    <w:p>
      <w:pPr>
        <w:pStyle w:val="44"/>
        <w:ind w:left="1134" w:leftChars="405" w:firstLine="426" w:firstLineChars="0"/>
        <w:rPr>
          <w:rFonts w:ascii="仿宋_GB2312"/>
          <w:bCs/>
        </w:rPr>
      </w:pPr>
      <w:r>
        <w:rPr>
          <w:rFonts w:hint="eastAsia" w:ascii="仿宋_GB2312"/>
          <w:bCs/>
        </w:rPr>
        <w:t>山西省新动能专项资金（年产40亿只一次性防护手套产业扶贫项目）预算534万元，资金到位534万元，预算执行534万元，预算执行率100%。用于山西鸿晋塑胶科技有限公司技术改造资金。</w:t>
      </w:r>
    </w:p>
    <w:p>
      <w:pPr>
        <w:pStyle w:val="44"/>
        <w:ind w:left="1134" w:leftChars="405"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效益情况及分析</w:t>
      </w:r>
    </w:p>
    <w:p>
      <w:pPr>
        <w:pStyle w:val="44"/>
        <w:ind w:left="280" w:firstLine="560"/>
      </w:pPr>
      <w:r>
        <w:t>1：2020年建成投产目标2：新增3000万元目标3：产能达到40亿只PVC一次性手套</w:t>
      </w:r>
    </w:p>
    <w:p>
      <w:pPr>
        <w:pStyle w:val="44"/>
        <w:ind w:left="1134" w:leftChars="405" w:firstLine="426" w:firstLineChars="0"/>
        <w:rPr>
          <w:rFonts w:ascii="仿宋_GB2312"/>
          <w:bCs/>
        </w:rPr>
      </w:pPr>
    </w:p>
    <w:p>
      <w:pPr>
        <w:pStyle w:val="44"/>
        <w:ind w:left="1134" w:leftChars="405"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满意度情况及分析</w:t>
      </w:r>
    </w:p>
    <w:p>
      <w:pPr>
        <w:pStyle w:val="44"/>
        <w:ind w:left="991" w:leftChars="354" w:firstLine="569" w:firstLineChars="0"/>
        <w:rPr>
          <w:rFonts w:hint="default" w:ascii="仿宋_GB2312" w:eastAsia="仿宋_GB2312"/>
          <w:bCs/>
          <w:lang w:val="en-US" w:eastAsia="zh-CN"/>
        </w:rPr>
      </w:pPr>
      <w:r>
        <w:rPr>
          <w:rFonts w:hint="eastAsia" w:ascii="仿宋_GB2312"/>
          <w:bCs/>
          <w:lang w:val="en-US" w:eastAsia="zh-CN"/>
        </w:rPr>
        <w:t>工作人员满意度较高</w:t>
      </w:r>
    </w:p>
    <w:p>
      <w:pPr>
        <w:pStyle w:val="52"/>
      </w:pPr>
      <w:bookmarkStart w:id="12" w:name="_Toc61505647"/>
      <w:r>
        <w:rPr>
          <w:rFonts w:hint="eastAsia" w:ascii="仿宋" w:hAnsi="仿宋" w:eastAsia="仿宋" w:cs="仿宋"/>
          <w:b/>
          <w:bCs w:val="0"/>
        </w:rPr>
        <w:t>四、项目主要经验做法</w:t>
      </w:r>
      <w:bookmarkEnd w:id="12"/>
      <w:r>
        <w:t xml:space="preserve"> </w:t>
      </w:r>
    </w:p>
    <w:p>
      <w:pPr>
        <w:pStyle w:val="44"/>
        <w:ind w:firstLine="840" w:firstLineChars="300"/>
      </w:pPr>
      <w:r>
        <w:rPr>
          <w:rFonts w:hint="eastAsia"/>
        </w:rPr>
        <w:t>依据山西省工业和信息化厅关于下达2020年山西省技术改造专项资金（第二批)项目计划，督促项目承担单位履行项目建设和规范使用山西省技术改造专项资金的主体责任，严格按照企业承诺事项推进项目建设，确保按期建成发挥效益。未经批准不得擅自变更建设内容、更改建设规模，如需调整，须按程序报批。合理使用新动能资金，提高财政资金使用效益。</w:t>
      </w:r>
    </w:p>
    <w:p>
      <w:pPr>
        <w:pStyle w:val="52"/>
        <w:rPr>
          <w:rFonts w:ascii="仿宋" w:hAnsi="仿宋" w:eastAsia="仿宋" w:cs="仿宋"/>
          <w:b/>
          <w:bCs w:val="0"/>
        </w:rPr>
      </w:pPr>
      <w:bookmarkStart w:id="13" w:name="_Toc61505648"/>
      <w:r>
        <w:rPr>
          <w:rFonts w:hint="eastAsia" w:ascii="仿宋" w:hAnsi="仿宋" w:eastAsia="仿宋" w:cs="仿宋"/>
          <w:b/>
          <w:bCs w:val="0"/>
        </w:rPr>
        <w:t>五、项目管理中存在问题及原因分析</w:t>
      </w:r>
      <w:bookmarkEnd w:id="13"/>
    </w:p>
    <w:p>
      <w:pPr>
        <w:pStyle w:val="44"/>
        <w:ind w:firstLine="840" w:firstLineChars="300"/>
      </w:pPr>
      <w:r>
        <w:rPr>
          <w:rFonts w:hint="eastAsia"/>
        </w:rPr>
        <w:t>项目监管不及时。</w:t>
      </w:r>
    </w:p>
    <w:p>
      <w:pPr>
        <w:pStyle w:val="52"/>
        <w:rPr>
          <w:rFonts w:ascii="仿宋" w:hAnsi="仿宋" w:eastAsia="仿宋" w:cs="仿宋"/>
          <w:b/>
          <w:bCs w:val="0"/>
        </w:rPr>
      </w:pPr>
      <w:bookmarkStart w:id="14" w:name="_Toc61505649"/>
      <w:r>
        <w:rPr>
          <w:rFonts w:hint="eastAsia" w:ascii="仿宋" w:hAnsi="仿宋" w:eastAsia="仿宋" w:cs="仿宋"/>
          <w:b/>
          <w:bCs w:val="0"/>
        </w:rPr>
        <w:t>六、进一步加强项目管理措施及建议</w:t>
      </w:r>
      <w:bookmarkEnd w:id="14"/>
    </w:p>
    <w:p>
      <w:pPr>
        <w:pStyle w:val="44"/>
        <w:ind w:left="0" w:leftChars="0" w:firstLine="560" w:firstLineChars="200"/>
        <w:sectPr>
          <w:footerReference r:id="rId9" w:type="default"/>
          <w:pgSz w:w="16838" w:h="11906" w:orient="landscape"/>
          <w:pgMar w:top="1800" w:right="1440" w:bottom="1800" w:left="1440" w:header="851" w:footer="992" w:gutter="0"/>
          <w:pgNumType w:start="1"/>
          <w:cols w:space="425" w:num="1"/>
          <w:docGrid w:type="lines" w:linePitch="381" w:charSpace="0"/>
        </w:sectPr>
      </w:pPr>
      <w:r>
        <w:rPr>
          <w:rFonts w:hint="eastAsia"/>
        </w:rPr>
        <w:t>督促项目承担单位履行项目建设和规范使用山西省技术改造专项资金的主体责任，严格按照企业承诺事项推进项目建设，确保按期建成发挥效益。根据项目实际编制项目预算，按时间节点完成工作，及时高效使用经费，严格落实预算执行。山西省新动能专项资金（年产40亿只一次性防护手套产业扶贫项目）预算534万元，资金到位534万元，预算执行534万元，预算执行率100%。</w:t>
      </w:r>
    </w:p>
    <w:p>
      <w:pPr>
        <w:pStyle w:val="52"/>
        <w:rPr>
          <w:rFonts w:ascii="仿宋" w:hAnsi="仿宋" w:eastAsia="仿宋" w:cs="仿宋"/>
          <w:b/>
          <w:bCs w:val="0"/>
        </w:rPr>
      </w:pPr>
      <w:bookmarkStart w:id="15" w:name="_Toc61505650"/>
      <w:r>
        <w:rPr>
          <w:rFonts w:hint="eastAsia" w:ascii="仿宋" w:hAnsi="仿宋" w:eastAsia="仿宋" w:cs="仿宋"/>
          <w:b/>
          <w:bCs w:val="0"/>
        </w:rPr>
        <w:t>附件</w:t>
      </w:r>
      <w:r>
        <w:rPr>
          <w:rFonts w:ascii="仿宋" w:hAnsi="仿宋" w:eastAsia="仿宋" w:cs="仿宋"/>
          <w:b/>
          <w:bCs w:val="0"/>
        </w:rPr>
        <w:t>1.</w:t>
      </w:r>
      <w:r>
        <w:rPr>
          <w:rFonts w:hint="eastAsia" w:ascii="仿宋" w:hAnsi="仿宋" w:eastAsia="仿宋" w:cs="仿宋"/>
          <w:b/>
          <w:bCs w:val="0"/>
        </w:rPr>
        <w:t>项目支出绩效自评表</w:t>
      </w:r>
      <w:bookmarkEnd w:id="15"/>
    </w:p>
    <w:p>
      <w:pPr>
        <w:ind w:firstLine="560"/>
      </w:pPr>
    </w:p>
    <w:tbl>
      <w:tblPr>
        <w:tblStyle w:val="24"/>
        <w:tblW w:w="14063" w:type="dxa"/>
        <w:tblInd w:w="5" w:type="dxa"/>
        <w:tblLayout w:type="fixed"/>
        <w:tblCellMar>
          <w:top w:w="0" w:type="dxa"/>
          <w:left w:w="0" w:type="dxa"/>
          <w:bottom w:w="0" w:type="dxa"/>
          <w:right w:w="0" w:type="dxa"/>
        </w:tblCellMar>
      </w:tblPr>
      <w:tblGrid>
        <w:gridCol w:w="1754"/>
        <w:gridCol w:w="1843"/>
        <w:gridCol w:w="1819"/>
        <w:gridCol w:w="840"/>
        <w:gridCol w:w="1188"/>
        <w:gridCol w:w="1487"/>
        <w:gridCol w:w="1328"/>
        <w:gridCol w:w="1276"/>
        <w:gridCol w:w="2528"/>
      </w:tblGrid>
      <w:tr>
        <w:tblPrEx>
          <w:tblCellMar>
            <w:top w:w="0" w:type="dxa"/>
            <w:left w:w="0" w:type="dxa"/>
            <w:bottom w:w="0" w:type="dxa"/>
            <w:right w:w="0" w:type="dxa"/>
          </w:tblCellMar>
        </w:tblPrEx>
        <w:trPr>
          <w:trHeight w:val="375" w:hRule="atLeast"/>
        </w:trPr>
        <w:tc>
          <w:tcPr>
            <w:tcW w:w="14063" w:type="dxa"/>
            <w:gridSpan w:val="9"/>
            <w:tcBorders>
              <w:top w:val="single" w:color="000000" w:sz="4" w:space="0"/>
              <w:left w:val="single" w:color="000000" w:sz="4" w:space="0"/>
              <w:bottom w:val="single" w:color="000000" w:sz="4" w:space="0"/>
              <w:right w:val="single" w:color="000000" w:sz="4" w:space="0"/>
            </w:tcBorders>
            <w:shd w:val="clear" w:color="000000" w:fill="C0C0C0"/>
          </w:tcPr>
          <w:p>
            <w:pPr>
              <w:ind w:firstLine="562"/>
              <w:jc w:val="center"/>
              <w:rPr>
                <w:rFonts w:ascii="黑体" w:hAnsi="Arial" w:eastAsia="黑体" w:cs="Arial"/>
                <w:b/>
                <w:bCs/>
                <w:szCs w:val="28"/>
              </w:rPr>
            </w:pPr>
            <w:r>
              <w:rPr>
                <w:rFonts w:hint="eastAsia" w:ascii="仿宋" w:hAnsi="仿宋" w:eastAsia="仿宋" w:cs="仿宋"/>
                <w:b/>
              </w:rPr>
              <w:t>附件</w:t>
            </w:r>
            <w:r>
              <w:rPr>
                <w:rFonts w:ascii="仿宋" w:hAnsi="仿宋" w:eastAsia="仿宋" w:cs="仿宋"/>
                <w:b/>
              </w:rPr>
              <w:t>1.</w:t>
            </w:r>
            <w:r>
              <w:rPr>
                <w:rFonts w:hint="eastAsia" w:ascii="仿宋" w:hAnsi="仿宋" w:eastAsia="仿宋" w:cs="仿宋"/>
                <w:b/>
              </w:rPr>
              <w:t>项目支出绩效自评表</w:t>
            </w:r>
          </w:p>
        </w:tc>
      </w:tr>
      <w:tr>
        <w:tblPrEx>
          <w:tblCellMar>
            <w:top w:w="0" w:type="dxa"/>
            <w:left w:w="0" w:type="dxa"/>
            <w:bottom w:w="0" w:type="dxa"/>
            <w:right w:w="0" w:type="dxa"/>
          </w:tblCellMar>
        </w:tblPrEx>
        <w:trPr>
          <w:trHeight w:val="613" w:hRule="atLeast"/>
        </w:trPr>
        <w:tc>
          <w:tcPr>
            <w:tcW w:w="1754" w:type="dxa"/>
            <w:tcBorders>
              <w:top w:val="nil"/>
              <w:left w:val="single" w:color="000000" w:sz="4" w:space="0"/>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一级指标</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二级指标</w:t>
            </w:r>
          </w:p>
        </w:tc>
        <w:tc>
          <w:tcPr>
            <w:tcW w:w="1819"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目标指标</w:t>
            </w:r>
          </w:p>
        </w:tc>
        <w:tc>
          <w:tcPr>
            <w:tcW w:w="84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权重</w:t>
            </w:r>
          </w:p>
        </w:tc>
        <w:tc>
          <w:tcPr>
            <w:tcW w:w="118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目标值</w:t>
            </w:r>
          </w:p>
        </w:tc>
        <w:tc>
          <w:tcPr>
            <w:tcW w:w="1487" w:type="dxa"/>
            <w:tcBorders>
              <w:top w:val="nil"/>
              <w:left w:val="nil"/>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业绩值</w:t>
            </w:r>
          </w:p>
        </w:tc>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完成率</w:t>
            </w:r>
          </w:p>
        </w:tc>
        <w:tc>
          <w:tcPr>
            <w:tcW w:w="1276"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指标得分</w:t>
            </w:r>
          </w:p>
        </w:tc>
        <w:tc>
          <w:tcPr>
            <w:tcW w:w="25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偏差原因分析及改进措施</w:t>
            </w: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产出指标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工业转型强基-贫困地区工业基础能力提升项目数量</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1个</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项目专项符合性</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项目投产达效时限</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按照项目建设周期，最晚不超过2年</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支持限额</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单个项目支持资金额度不超最高标准限额</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效益指标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财政投入乘数</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0.3</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0.3亿元</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新增税收收入</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0.0992</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0.0992万人</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生态效益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节能降耗、资源综合利用、清洁生产水平</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全区域制造业水平</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提高</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满意度指标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申报项目企业满意度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85%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85%</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289" w:hRule="atLeast"/>
        </w:trPr>
        <w:tc>
          <w:tcPr>
            <w:tcW w:w="1754" w:type="dxa"/>
            <w:tcBorders>
              <w:top w:val="single" w:color="000000" w:sz="4" w:space="0"/>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843" w:type="dxa"/>
            <w:tcBorders>
              <w:top w:val="single" w:color="auto" w:sz="4" w:space="0"/>
              <w:bottom w:val="single" w:color="000000" w:sz="4" w:space="0"/>
              <w:right w:val="nil"/>
            </w:tcBorders>
          </w:tcPr>
          <w:p>
            <w:pPr>
              <w:ind w:firstLine="440"/>
              <w:rPr>
                <w:rFonts w:ascii="仿宋_GB2312" w:hAnsi="Arial" w:cs="Arial"/>
                <w:sz w:val="22"/>
              </w:rPr>
            </w:pPr>
          </w:p>
        </w:tc>
        <w:tc>
          <w:tcPr>
            <w:tcW w:w="1819"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840"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18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487"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328" w:type="dxa"/>
            <w:tcBorders>
              <w:top w:val="single" w:color="auto" w:sz="4" w:space="0"/>
              <w:left w:val="nil"/>
              <w:bottom w:val="single" w:color="000000" w:sz="4" w:space="0"/>
              <w:right w:val="nil"/>
            </w:tcBorders>
          </w:tcPr>
          <w:p>
            <w:pPr>
              <w:ind w:firstLine="440"/>
              <w:rPr>
                <w:rFonts w:ascii="仿宋_GB2312" w:hAnsi="Arial" w:cs="Arial"/>
                <w:sz w:val="22"/>
              </w:rPr>
            </w:pPr>
          </w:p>
        </w:tc>
        <w:tc>
          <w:tcPr>
            <w:tcW w:w="1276"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252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r>
      <w:tr>
        <w:tblPrEx>
          <w:tblCellMar>
            <w:top w:w="0" w:type="dxa"/>
            <w:left w:w="0" w:type="dxa"/>
            <w:bottom w:w="0" w:type="dxa"/>
            <w:right w:w="0" w:type="dxa"/>
          </w:tblCellMar>
        </w:tblPrEx>
        <w:trPr>
          <w:hidden/>
        </w:trPr>
        <w:tc>
          <w:tcPr>
            <w:tcW w:w="1754"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843" w:type="dxa"/>
            <w:tcBorders>
              <w:top w:val="nil"/>
              <w:left w:val="nil"/>
              <w:bottom w:val="nil"/>
              <w:right w:val="nil"/>
            </w:tcBorders>
          </w:tcPr>
          <w:p>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328" w:type="dxa"/>
            <w:tcBorders>
              <w:top w:val="nil"/>
              <w:left w:val="nil"/>
              <w:bottom w:val="nil"/>
              <w:right w:val="nil"/>
            </w:tcBorders>
          </w:tcPr>
          <w:p>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r>
    </w:tbl>
    <w:p>
      <w:pPr>
        <w:pStyle w:val="44"/>
        <w:ind w:firstLine="560"/>
        <w:sectPr>
          <w:footerReference r:id="rId10" w:type="default"/>
          <w:pgSz w:w="16838" w:h="11906" w:orient="landscape"/>
          <w:pgMar w:top="1800" w:right="1440" w:bottom="1800" w:left="1440" w:header="851" w:footer="992" w:gutter="0"/>
          <w:pgNumType w:start="1"/>
          <w:cols w:space="425" w:num="1"/>
          <w:docGrid w:type="lines" w:linePitch="381" w:charSpace="0"/>
        </w:sectPr>
      </w:pPr>
    </w:p>
    <w:p>
      <w:pPr>
        <w:pStyle w:val="52"/>
        <w:rPr>
          <w:rFonts w:ascii="仿宋" w:hAnsi="仿宋" w:eastAsia="仿宋" w:cs="仿宋"/>
          <w:b/>
          <w:bCs w:val="0"/>
        </w:rPr>
      </w:pPr>
      <w:bookmarkStart w:id="16" w:name="_Toc61505651"/>
      <w:r>
        <w:rPr>
          <w:rFonts w:hint="eastAsia" w:ascii="仿宋" w:hAnsi="仿宋" w:eastAsia="仿宋" w:cs="仿宋"/>
          <w:b/>
          <w:bCs w:val="0"/>
        </w:rPr>
        <w:t>附件</w:t>
      </w:r>
      <w:r>
        <w:rPr>
          <w:rFonts w:ascii="仿宋" w:hAnsi="仿宋" w:eastAsia="仿宋" w:cs="仿宋"/>
          <w:b/>
          <w:bCs w:val="0"/>
        </w:rPr>
        <w:t>2.</w:t>
      </w:r>
      <w:r>
        <w:rPr>
          <w:rFonts w:hint="eastAsia" w:ascii="仿宋" w:hAnsi="仿宋" w:eastAsia="仿宋" w:cs="仿宋"/>
          <w:b/>
          <w:bCs w:val="0"/>
        </w:rPr>
        <w:t>绩效自评相关资料</w:t>
      </w:r>
      <w:bookmarkEnd w:id="16"/>
    </w:p>
    <w:tbl>
      <w:tblPr>
        <w:tblStyle w:val="24"/>
        <w:tblW w:w="12100" w:type="dxa"/>
        <w:jc w:val="center"/>
        <w:tblLayout w:type="autofit"/>
        <w:tblCellMar>
          <w:top w:w="0" w:type="dxa"/>
          <w:left w:w="0" w:type="dxa"/>
          <w:bottom w:w="0" w:type="dxa"/>
          <w:right w:w="0" w:type="dxa"/>
        </w:tblCellMar>
      </w:tblPr>
      <w:tblGrid>
        <w:gridCol w:w="12100"/>
      </w:tblGrid>
      <w:tr>
        <w:tblPrEx>
          <w:tblCellMar>
            <w:top w:w="0" w:type="dxa"/>
            <w:left w:w="0" w:type="dxa"/>
            <w:bottom w:w="0" w:type="dxa"/>
            <w:right w:w="0" w:type="dxa"/>
          </w:tblCellMar>
        </w:tblPrEx>
        <w:trPr>
          <w:trHeight w:val="375" w:hRule="atLeast"/>
          <w:jc w:val="center"/>
        </w:trPr>
        <w:tc>
          <w:tcPr>
            <w:tcW w:w="12100" w:type="dxa"/>
            <w:tcBorders>
              <w:top w:val="single" w:color="000000" w:sz="4" w:space="0"/>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pPr>
              <w:ind w:firstLine="562"/>
              <w:jc w:val="center"/>
              <w:rPr>
                <w:rFonts w:ascii="黑体" w:hAnsi="Arial" w:eastAsia="黑体" w:cs="Arial"/>
                <w:b/>
                <w:bCs/>
                <w:szCs w:val="28"/>
              </w:rPr>
            </w:pPr>
            <w:r>
              <w:rPr>
                <w:rFonts w:hint="eastAsia" w:ascii="仿宋" w:hAnsi="仿宋" w:eastAsia="仿宋" w:cs="仿宋"/>
                <w:b/>
                <w:bCs/>
                <w:szCs w:val="28"/>
              </w:rPr>
              <w:t>附件</w:t>
            </w:r>
            <w:r>
              <w:rPr>
                <w:rFonts w:ascii="仿宋" w:hAnsi="仿宋" w:eastAsia="仿宋" w:cs="仿宋"/>
                <w:b/>
                <w:bCs/>
                <w:szCs w:val="28"/>
              </w:rPr>
              <w:t>2.</w:t>
            </w:r>
            <w:r>
              <w:rPr>
                <w:rFonts w:hint="eastAsia" w:ascii="仿宋" w:hAnsi="仿宋" w:eastAsia="仿宋" w:cs="仿宋"/>
                <w:b/>
                <w:bCs/>
                <w:szCs w:val="28"/>
              </w:rPr>
              <w:t>绩效自评相关资料</w:t>
            </w:r>
          </w:p>
        </w:tc>
      </w:tr>
      <w:tr>
        <w:tblPrEx>
          <w:tblCellMar>
            <w:top w:w="0" w:type="dxa"/>
            <w:left w:w="0" w:type="dxa"/>
            <w:bottom w:w="0" w:type="dxa"/>
            <w:right w:w="0" w:type="dxa"/>
          </w:tblCellMar>
        </w:tblPrEx>
        <w:trPr>
          <w:trHeight w:val="5267" w:hRule="atLeast"/>
          <w:jc w:val="center"/>
        </w:trPr>
        <w:tc>
          <w:tcPr>
            <w:tcW w:w="1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562"/>
              <w:jc w:val="center"/>
              <w:rPr>
                <w:rFonts w:ascii="仿宋" w:hAnsi="仿宋" w:eastAsia="仿宋" w:cs="仿宋"/>
                <w:b/>
                <w:bCs/>
                <w:szCs w:val="28"/>
              </w:rPr>
            </w:pPr>
          </w:p>
        </w:tc>
      </w:tr>
    </w:tbl>
    <w:p>
      <w:pPr>
        <w:ind w:firstLine="0" w:firstLineChars="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7</w:t>
    </w:r>
    <w:r>
      <w:rPr>
        <w:lang w:val="zh-CN"/>
      </w:rPr>
      <w:fldChar w:fldCharType="end"/>
    </w:r>
  </w:p>
  <w:p>
    <w:pPr>
      <w:pStyle w:val="16"/>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53022"/>
    <w:multiLevelType w:val="singleLevel"/>
    <w:tmpl w:val="E3B53022"/>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B7"/>
    <w:rsid w:val="000122EB"/>
    <w:rsid w:val="000142C9"/>
    <w:rsid w:val="00027C90"/>
    <w:rsid w:val="000805D6"/>
    <w:rsid w:val="00080DE2"/>
    <w:rsid w:val="0009606F"/>
    <w:rsid w:val="000A2B0D"/>
    <w:rsid w:val="000C6D57"/>
    <w:rsid w:val="000E044C"/>
    <w:rsid w:val="001028E5"/>
    <w:rsid w:val="001507B7"/>
    <w:rsid w:val="00156586"/>
    <w:rsid w:val="00170CA4"/>
    <w:rsid w:val="0017285F"/>
    <w:rsid w:val="001A3CD2"/>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E0FDB"/>
    <w:rsid w:val="00542BD3"/>
    <w:rsid w:val="00543E44"/>
    <w:rsid w:val="00576C00"/>
    <w:rsid w:val="00593D5E"/>
    <w:rsid w:val="005A080E"/>
    <w:rsid w:val="005A3D0F"/>
    <w:rsid w:val="005B1DE6"/>
    <w:rsid w:val="005B7922"/>
    <w:rsid w:val="005E4265"/>
    <w:rsid w:val="005E7218"/>
    <w:rsid w:val="00614D76"/>
    <w:rsid w:val="006314F7"/>
    <w:rsid w:val="006475F4"/>
    <w:rsid w:val="00651C0F"/>
    <w:rsid w:val="00656B37"/>
    <w:rsid w:val="006570A5"/>
    <w:rsid w:val="00690F0F"/>
    <w:rsid w:val="006A3C55"/>
    <w:rsid w:val="006E330B"/>
    <w:rsid w:val="006F17DD"/>
    <w:rsid w:val="00700951"/>
    <w:rsid w:val="00734FBB"/>
    <w:rsid w:val="00795EE4"/>
    <w:rsid w:val="007A0274"/>
    <w:rsid w:val="007B18A7"/>
    <w:rsid w:val="007B29FC"/>
    <w:rsid w:val="007F5D03"/>
    <w:rsid w:val="00805ED9"/>
    <w:rsid w:val="00843FC2"/>
    <w:rsid w:val="00844C16"/>
    <w:rsid w:val="00850D03"/>
    <w:rsid w:val="00872799"/>
    <w:rsid w:val="0089335B"/>
    <w:rsid w:val="00893ADD"/>
    <w:rsid w:val="008B49C9"/>
    <w:rsid w:val="008B6A5F"/>
    <w:rsid w:val="008C2871"/>
    <w:rsid w:val="008C72AA"/>
    <w:rsid w:val="008F371F"/>
    <w:rsid w:val="00910324"/>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92A0A"/>
    <w:rsid w:val="00AA568B"/>
    <w:rsid w:val="00AB0F1D"/>
    <w:rsid w:val="00AC2951"/>
    <w:rsid w:val="00AD64A8"/>
    <w:rsid w:val="00B0412B"/>
    <w:rsid w:val="00B21080"/>
    <w:rsid w:val="00B31ECA"/>
    <w:rsid w:val="00B43815"/>
    <w:rsid w:val="00B52EBA"/>
    <w:rsid w:val="00B535AB"/>
    <w:rsid w:val="00B64666"/>
    <w:rsid w:val="00B8092D"/>
    <w:rsid w:val="00B81BE0"/>
    <w:rsid w:val="00B85A2B"/>
    <w:rsid w:val="00B9323C"/>
    <w:rsid w:val="00BC2B39"/>
    <w:rsid w:val="00BC42DD"/>
    <w:rsid w:val="00BD346F"/>
    <w:rsid w:val="00C24C26"/>
    <w:rsid w:val="00C25722"/>
    <w:rsid w:val="00C372D2"/>
    <w:rsid w:val="00C44067"/>
    <w:rsid w:val="00CA22A5"/>
    <w:rsid w:val="00CA34FC"/>
    <w:rsid w:val="00CA50DE"/>
    <w:rsid w:val="00CD128E"/>
    <w:rsid w:val="00CE5BDA"/>
    <w:rsid w:val="00CF39E1"/>
    <w:rsid w:val="00CF51F1"/>
    <w:rsid w:val="00D01733"/>
    <w:rsid w:val="00D71919"/>
    <w:rsid w:val="00D90DEA"/>
    <w:rsid w:val="00D97E83"/>
    <w:rsid w:val="00DC184E"/>
    <w:rsid w:val="00E11E0B"/>
    <w:rsid w:val="00E56E53"/>
    <w:rsid w:val="00E609AE"/>
    <w:rsid w:val="00E750BD"/>
    <w:rsid w:val="00E91A08"/>
    <w:rsid w:val="00E965D1"/>
    <w:rsid w:val="00EB4620"/>
    <w:rsid w:val="00EC43B2"/>
    <w:rsid w:val="00F03519"/>
    <w:rsid w:val="00F03929"/>
    <w:rsid w:val="00F060C7"/>
    <w:rsid w:val="00F068F7"/>
    <w:rsid w:val="00F14561"/>
    <w:rsid w:val="00F25650"/>
    <w:rsid w:val="00F45162"/>
    <w:rsid w:val="00F5304C"/>
    <w:rsid w:val="00F870C6"/>
    <w:rsid w:val="00F92B58"/>
    <w:rsid w:val="00F96480"/>
    <w:rsid w:val="00FD0AF5"/>
    <w:rsid w:val="00FD3022"/>
    <w:rsid w:val="00FD64C8"/>
    <w:rsid w:val="00FE4A15"/>
    <w:rsid w:val="00FF6DAB"/>
    <w:rsid w:val="0AF00C12"/>
    <w:rsid w:val="540B019C"/>
    <w:rsid w:val="575A42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3"/>
    <w:link w:val="29"/>
    <w:qFormat/>
    <w:uiPriority w:val="9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5">
    <w:name w:val="heading 2"/>
    <w:basedOn w:val="1"/>
    <w:next w:val="6"/>
    <w:link w:val="30"/>
    <w:qFormat/>
    <w:uiPriority w:val="9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7">
    <w:name w:val="heading 3"/>
    <w:basedOn w:val="1"/>
    <w:next w:val="1"/>
    <w:link w:val="31"/>
    <w:qFormat/>
    <w:uiPriority w:val="99"/>
    <w:pPr>
      <w:keepNext/>
      <w:keepLines/>
      <w:spacing w:before="260" w:after="260" w:line="416" w:lineRule="auto"/>
      <w:jc w:val="left"/>
      <w:outlineLvl w:val="2"/>
    </w:pPr>
    <w:rPr>
      <w:rFonts w:cs="Times New Roman"/>
      <w:bCs/>
      <w:kern w:val="0"/>
      <w:szCs w:val="32"/>
    </w:rPr>
  </w:style>
  <w:style w:type="paragraph" w:styleId="8">
    <w:name w:val="heading 4"/>
    <w:basedOn w:val="1"/>
    <w:next w:val="1"/>
    <w:link w:val="32"/>
    <w:qFormat/>
    <w:uiPriority w:val="99"/>
    <w:pPr>
      <w:keepNext/>
      <w:keepLines/>
      <w:spacing w:before="280" w:after="290" w:line="376" w:lineRule="auto"/>
      <w:outlineLvl w:val="3"/>
    </w:pPr>
    <w:rPr>
      <w:rFonts w:ascii="Cambria" w:hAnsi="Cambria" w:eastAsia="宋体" w:cs="Times New Roman"/>
      <w:b/>
      <w:bCs/>
      <w:kern w:val="0"/>
      <w:szCs w:val="28"/>
    </w:rPr>
  </w:style>
  <w:style w:type="character" w:default="1" w:styleId="26">
    <w:name w:val="Default Paragraph Font"/>
    <w:semiHidden/>
    <w:qFormat/>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36"/>
    <w:qFormat/>
    <w:uiPriority w:val="99"/>
    <w:pPr>
      <w:ind w:firstLine="420"/>
    </w:pPr>
  </w:style>
  <w:style w:type="paragraph" w:styleId="4">
    <w:name w:val="Body Text Indent"/>
    <w:basedOn w:val="1"/>
    <w:link w:val="35"/>
    <w:semiHidden/>
    <w:qFormat/>
    <w:uiPriority w:val="99"/>
    <w:pPr>
      <w:spacing w:after="120"/>
      <w:ind w:left="420" w:leftChars="200"/>
    </w:pPr>
    <w:rPr>
      <w:rFonts w:cs="Times New Roman"/>
      <w:kern w:val="0"/>
      <w:szCs w:val="20"/>
    </w:rPr>
  </w:style>
  <w:style w:type="paragraph" w:styleId="6">
    <w:name w:val="No Spacing"/>
    <w:link w:val="43"/>
    <w:qFormat/>
    <w:uiPriority w:val="99"/>
    <w:pPr>
      <w:widowControl w:val="0"/>
      <w:ind w:firstLine="600" w:firstLineChars="200"/>
      <w:jc w:val="both"/>
    </w:pPr>
    <w:rPr>
      <w:rFonts w:ascii="Calibri" w:hAnsi="Calibri" w:eastAsia="仿宋_GB2312" w:cs="Times New Roman"/>
      <w:kern w:val="0"/>
      <w:sz w:val="28"/>
      <w:szCs w:val="22"/>
      <w:lang w:val="en-US" w:eastAsia="zh-CN" w:bidi="ar-SA"/>
    </w:rPr>
  </w:style>
  <w:style w:type="paragraph" w:styleId="9">
    <w:name w:val="toc 7"/>
    <w:basedOn w:val="1"/>
    <w:next w:val="1"/>
    <w:qFormat/>
    <w:uiPriority w:val="99"/>
    <w:pPr>
      <w:ind w:left="1680"/>
      <w:jc w:val="left"/>
    </w:pPr>
    <w:rPr>
      <w:rFonts w:cs="Calibri"/>
      <w:sz w:val="18"/>
      <w:szCs w:val="18"/>
    </w:rPr>
  </w:style>
  <w:style w:type="paragraph" w:styleId="10">
    <w:name w:val="Document Map"/>
    <w:basedOn w:val="1"/>
    <w:link w:val="42"/>
    <w:semiHidden/>
    <w:qFormat/>
    <w:uiPriority w:val="99"/>
    <w:rPr>
      <w:rFonts w:ascii="宋体" w:eastAsia="宋体" w:cs="Times New Roman"/>
      <w:kern w:val="0"/>
      <w:sz w:val="18"/>
      <w:szCs w:val="18"/>
    </w:rPr>
  </w:style>
  <w:style w:type="paragraph" w:styleId="11">
    <w:name w:val="annotation text"/>
    <w:basedOn w:val="1"/>
    <w:link w:val="40"/>
    <w:semiHidden/>
    <w:qFormat/>
    <w:uiPriority w:val="99"/>
    <w:rPr>
      <w:rFonts w:cs="Times New Roman"/>
      <w:kern w:val="0"/>
      <w:sz w:val="20"/>
      <w:szCs w:val="20"/>
    </w:rPr>
  </w:style>
  <w:style w:type="paragraph" w:styleId="12">
    <w:name w:val="toc 5"/>
    <w:basedOn w:val="1"/>
    <w:next w:val="1"/>
    <w:qFormat/>
    <w:uiPriority w:val="99"/>
    <w:pPr>
      <w:ind w:left="1120"/>
      <w:jc w:val="left"/>
    </w:pPr>
    <w:rPr>
      <w:rFonts w:cs="Calibri"/>
      <w:sz w:val="18"/>
      <w:szCs w:val="18"/>
    </w:rPr>
  </w:style>
  <w:style w:type="paragraph" w:styleId="13">
    <w:name w:val="toc 3"/>
    <w:basedOn w:val="1"/>
    <w:next w:val="1"/>
    <w:qFormat/>
    <w:uiPriority w:val="99"/>
    <w:pPr>
      <w:ind w:left="560"/>
      <w:jc w:val="left"/>
    </w:pPr>
    <w:rPr>
      <w:rFonts w:cs="Calibri"/>
      <w:i/>
      <w:iCs/>
      <w:sz w:val="20"/>
      <w:szCs w:val="20"/>
    </w:rPr>
  </w:style>
  <w:style w:type="paragraph" w:styleId="14">
    <w:name w:val="toc 8"/>
    <w:basedOn w:val="1"/>
    <w:next w:val="1"/>
    <w:qFormat/>
    <w:uiPriority w:val="99"/>
    <w:pPr>
      <w:ind w:left="1960"/>
      <w:jc w:val="left"/>
    </w:pPr>
    <w:rPr>
      <w:rFonts w:cs="Calibri"/>
      <w:sz w:val="18"/>
      <w:szCs w:val="18"/>
    </w:rPr>
  </w:style>
  <w:style w:type="paragraph" w:styleId="15">
    <w:name w:val="Balloon Text"/>
    <w:basedOn w:val="1"/>
    <w:link w:val="38"/>
    <w:semiHidden/>
    <w:qFormat/>
    <w:uiPriority w:val="99"/>
    <w:rPr>
      <w:rFonts w:cs="Times New Roman"/>
      <w:kern w:val="0"/>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spacing w:before="120" w:after="120"/>
      <w:jc w:val="left"/>
    </w:pPr>
    <w:rPr>
      <w:rFonts w:cs="Calibri"/>
      <w:b/>
      <w:bCs/>
      <w:caps/>
      <w:sz w:val="20"/>
      <w:szCs w:val="20"/>
    </w:rPr>
  </w:style>
  <w:style w:type="paragraph" w:styleId="19">
    <w:name w:val="toc 4"/>
    <w:basedOn w:val="1"/>
    <w:next w:val="1"/>
    <w:qFormat/>
    <w:uiPriority w:val="99"/>
    <w:pPr>
      <w:ind w:left="840"/>
      <w:jc w:val="left"/>
    </w:pPr>
    <w:rPr>
      <w:rFonts w:cs="Calibri"/>
      <w:sz w:val="18"/>
      <w:szCs w:val="18"/>
    </w:rPr>
  </w:style>
  <w:style w:type="paragraph" w:styleId="20">
    <w:name w:val="toc 6"/>
    <w:basedOn w:val="1"/>
    <w:next w:val="1"/>
    <w:qFormat/>
    <w:uiPriority w:val="99"/>
    <w:pPr>
      <w:ind w:left="1400"/>
      <w:jc w:val="left"/>
    </w:pPr>
    <w:rPr>
      <w:rFonts w:cs="Calibri"/>
      <w:sz w:val="18"/>
      <w:szCs w:val="18"/>
    </w:rPr>
  </w:style>
  <w:style w:type="paragraph" w:styleId="21">
    <w:name w:val="toc 2"/>
    <w:basedOn w:val="1"/>
    <w:next w:val="1"/>
    <w:qFormat/>
    <w:uiPriority w:val="99"/>
    <w:pPr>
      <w:ind w:left="280"/>
      <w:jc w:val="left"/>
    </w:pPr>
    <w:rPr>
      <w:rFonts w:cs="Calibri"/>
      <w:smallCaps/>
      <w:sz w:val="20"/>
      <w:szCs w:val="20"/>
    </w:rPr>
  </w:style>
  <w:style w:type="paragraph" w:styleId="22">
    <w:name w:val="toc 9"/>
    <w:basedOn w:val="1"/>
    <w:next w:val="1"/>
    <w:qFormat/>
    <w:uiPriority w:val="99"/>
    <w:pPr>
      <w:ind w:left="2240"/>
      <w:jc w:val="left"/>
    </w:pPr>
    <w:rPr>
      <w:rFonts w:cs="Calibri"/>
      <w:sz w:val="18"/>
      <w:szCs w:val="18"/>
    </w:rPr>
  </w:style>
  <w:style w:type="paragraph" w:styleId="23">
    <w:name w:val="annotation subject"/>
    <w:basedOn w:val="11"/>
    <w:next w:val="11"/>
    <w:link w:val="41"/>
    <w:semiHidden/>
    <w:qFormat/>
    <w:uiPriority w:val="99"/>
    <w:rPr>
      <w:b/>
      <w:bCs/>
    </w:rPr>
  </w:style>
  <w:style w:type="table" w:styleId="25">
    <w:name w:val="Table Grid"/>
    <w:basedOn w:val="24"/>
    <w:qFormat/>
    <w:uiPriority w:val="99"/>
    <w:rPr>
      <w:rFonts w:ascii="Calibri" w:hAnsi="Calibri"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Hyperlink"/>
    <w:basedOn w:val="26"/>
    <w:qFormat/>
    <w:uiPriority w:val="99"/>
    <w:rPr>
      <w:rFonts w:cs="Times New Roman"/>
      <w:color w:val="0000FF"/>
      <w:u w:val="single"/>
    </w:rPr>
  </w:style>
  <w:style w:type="character" w:styleId="28">
    <w:name w:val="annotation reference"/>
    <w:basedOn w:val="26"/>
    <w:semiHidden/>
    <w:qFormat/>
    <w:uiPriority w:val="99"/>
    <w:rPr>
      <w:rFonts w:cs="Times New Roman"/>
      <w:sz w:val="16"/>
    </w:rPr>
  </w:style>
  <w:style w:type="character" w:customStyle="1" w:styleId="29">
    <w:name w:val="Heading 1 Char"/>
    <w:basedOn w:val="26"/>
    <w:link w:val="2"/>
    <w:qFormat/>
    <w:locked/>
    <w:uiPriority w:val="99"/>
    <w:rPr>
      <w:rFonts w:ascii="Times New Roman" w:hAnsi="Times New Roman" w:eastAsia="仿宋_GB2312" w:cs="Times New Roman"/>
      <w:b/>
      <w:bCs/>
      <w:kern w:val="44"/>
      <w:sz w:val="44"/>
      <w:szCs w:val="44"/>
    </w:rPr>
  </w:style>
  <w:style w:type="character" w:customStyle="1" w:styleId="30">
    <w:name w:val="Heading 2 Char"/>
    <w:basedOn w:val="26"/>
    <w:link w:val="5"/>
    <w:qFormat/>
    <w:locked/>
    <w:uiPriority w:val="99"/>
    <w:rPr>
      <w:rFonts w:ascii="Cambria" w:hAnsi="Cambria" w:eastAsia="仿宋_GB2312" w:cs="Times New Roman"/>
      <w:b/>
      <w:bCs/>
      <w:kern w:val="0"/>
      <w:sz w:val="32"/>
      <w:szCs w:val="32"/>
    </w:rPr>
  </w:style>
  <w:style w:type="character" w:customStyle="1" w:styleId="31">
    <w:name w:val="Heading 3 Char"/>
    <w:basedOn w:val="26"/>
    <w:link w:val="7"/>
    <w:qFormat/>
    <w:locked/>
    <w:uiPriority w:val="99"/>
    <w:rPr>
      <w:rFonts w:ascii="Calibri" w:hAnsi="Calibri" w:eastAsia="仿宋_GB2312" w:cs="Times New Roman"/>
      <w:bCs/>
      <w:kern w:val="0"/>
      <w:sz w:val="32"/>
      <w:szCs w:val="32"/>
    </w:rPr>
  </w:style>
  <w:style w:type="character" w:customStyle="1" w:styleId="32">
    <w:name w:val="Heading 4 Char"/>
    <w:basedOn w:val="26"/>
    <w:link w:val="8"/>
    <w:semiHidden/>
    <w:qFormat/>
    <w:locked/>
    <w:uiPriority w:val="99"/>
    <w:rPr>
      <w:rFonts w:ascii="Cambria" w:hAnsi="Cambria" w:eastAsia="宋体" w:cs="Times New Roman"/>
      <w:b/>
      <w:bCs/>
      <w:kern w:val="0"/>
      <w:sz w:val="28"/>
      <w:szCs w:val="28"/>
    </w:rPr>
  </w:style>
  <w:style w:type="character" w:customStyle="1" w:styleId="33">
    <w:name w:val="Header Char"/>
    <w:basedOn w:val="26"/>
    <w:link w:val="17"/>
    <w:qFormat/>
    <w:locked/>
    <w:uiPriority w:val="99"/>
    <w:rPr>
      <w:rFonts w:cs="Times New Roman"/>
      <w:sz w:val="18"/>
      <w:szCs w:val="18"/>
    </w:rPr>
  </w:style>
  <w:style w:type="character" w:customStyle="1" w:styleId="34">
    <w:name w:val="Footer Char"/>
    <w:basedOn w:val="26"/>
    <w:link w:val="16"/>
    <w:qFormat/>
    <w:locked/>
    <w:uiPriority w:val="99"/>
    <w:rPr>
      <w:rFonts w:cs="Times New Roman"/>
      <w:sz w:val="18"/>
      <w:szCs w:val="18"/>
    </w:rPr>
  </w:style>
  <w:style w:type="character" w:customStyle="1" w:styleId="35">
    <w:name w:val="Body Text Indent Char"/>
    <w:basedOn w:val="26"/>
    <w:link w:val="4"/>
    <w:semiHidden/>
    <w:qFormat/>
    <w:locked/>
    <w:uiPriority w:val="99"/>
    <w:rPr>
      <w:rFonts w:ascii="Calibri" w:hAnsi="Calibri" w:eastAsia="仿宋_GB2312" w:cs="Times New Roman"/>
      <w:kern w:val="0"/>
      <w:sz w:val="20"/>
      <w:szCs w:val="20"/>
    </w:rPr>
  </w:style>
  <w:style w:type="character" w:customStyle="1" w:styleId="36">
    <w:name w:val="Body Text First Indent 2 Char"/>
    <w:basedOn w:val="35"/>
    <w:link w:val="3"/>
    <w:qFormat/>
    <w:locked/>
    <w:uiPriority w:val="99"/>
  </w:style>
  <w:style w:type="character" w:customStyle="1" w:styleId="37">
    <w:name w:val="Intense Reference"/>
    <w:basedOn w:val="26"/>
    <w:qFormat/>
    <w:uiPriority w:val="99"/>
    <w:rPr>
      <w:b/>
      <w:smallCaps/>
      <w:color w:val="C0504D"/>
      <w:spacing w:val="5"/>
      <w:u w:val="single"/>
    </w:rPr>
  </w:style>
  <w:style w:type="character" w:customStyle="1" w:styleId="38">
    <w:name w:val="Balloon Text Char"/>
    <w:basedOn w:val="26"/>
    <w:link w:val="15"/>
    <w:semiHidden/>
    <w:qFormat/>
    <w:locked/>
    <w:uiPriority w:val="99"/>
    <w:rPr>
      <w:rFonts w:ascii="Calibri" w:hAnsi="Calibri" w:eastAsia="仿宋_GB2312" w:cs="Times New Roman"/>
      <w:kern w:val="0"/>
      <w:sz w:val="18"/>
      <w:szCs w:val="18"/>
    </w:rPr>
  </w:style>
  <w:style w:type="paragraph" w:styleId="39">
    <w:name w:val="List Paragraph"/>
    <w:basedOn w:val="1"/>
    <w:qFormat/>
    <w:uiPriority w:val="99"/>
    <w:pPr>
      <w:ind w:firstLine="420"/>
    </w:pPr>
  </w:style>
  <w:style w:type="character" w:customStyle="1" w:styleId="40">
    <w:name w:val="Comment Text Char"/>
    <w:basedOn w:val="26"/>
    <w:link w:val="11"/>
    <w:semiHidden/>
    <w:qFormat/>
    <w:locked/>
    <w:uiPriority w:val="99"/>
    <w:rPr>
      <w:rFonts w:ascii="Calibri" w:hAnsi="Calibri" w:eastAsia="仿宋_GB2312" w:cs="Times New Roman"/>
      <w:kern w:val="0"/>
      <w:sz w:val="20"/>
      <w:szCs w:val="20"/>
    </w:rPr>
  </w:style>
  <w:style w:type="character" w:customStyle="1" w:styleId="41">
    <w:name w:val="Comment Subject Char"/>
    <w:basedOn w:val="40"/>
    <w:link w:val="23"/>
    <w:semiHidden/>
    <w:qFormat/>
    <w:locked/>
    <w:uiPriority w:val="99"/>
    <w:rPr>
      <w:b/>
      <w:bCs/>
    </w:rPr>
  </w:style>
  <w:style w:type="character" w:customStyle="1" w:styleId="42">
    <w:name w:val="Document Map Char"/>
    <w:basedOn w:val="26"/>
    <w:link w:val="10"/>
    <w:semiHidden/>
    <w:qFormat/>
    <w:locked/>
    <w:uiPriority w:val="99"/>
    <w:rPr>
      <w:rFonts w:ascii="宋体" w:hAnsi="Calibri" w:eastAsia="宋体" w:cs="Times New Roman"/>
      <w:kern w:val="0"/>
      <w:sz w:val="18"/>
      <w:szCs w:val="18"/>
    </w:rPr>
  </w:style>
  <w:style w:type="character" w:customStyle="1" w:styleId="43">
    <w:name w:val="No Spacing Char"/>
    <w:link w:val="6"/>
    <w:qFormat/>
    <w:locked/>
    <w:uiPriority w:val="99"/>
    <w:rPr>
      <w:rFonts w:ascii="Calibri" w:hAnsi="Calibri" w:eastAsia="仿宋_GB2312"/>
      <w:sz w:val="22"/>
    </w:rPr>
  </w:style>
  <w:style w:type="paragraph" w:customStyle="1" w:styleId="44">
    <w:name w:val="闻政-正文段落文字"/>
    <w:basedOn w:val="1"/>
    <w:link w:val="45"/>
    <w:qFormat/>
    <w:uiPriority w:val="99"/>
    <w:pPr>
      <w:spacing w:line="500" w:lineRule="exact"/>
      <w:ind w:firstLine="200"/>
    </w:pPr>
    <w:rPr>
      <w:rFonts w:ascii="Times New Roman" w:hAnsi="Times New Roman" w:cs="Times New Roman"/>
      <w:kern w:val="0"/>
      <w:szCs w:val="28"/>
    </w:rPr>
  </w:style>
  <w:style w:type="character" w:customStyle="1" w:styleId="45">
    <w:name w:val="闻政-正文段落文字 Char"/>
    <w:link w:val="44"/>
    <w:qFormat/>
    <w:locked/>
    <w:uiPriority w:val="99"/>
    <w:rPr>
      <w:rFonts w:ascii="Times New Roman" w:hAnsi="Times New Roman" w:eastAsia="仿宋_GB2312"/>
      <w:kern w:val="0"/>
      <w:sz w:val="28"/>
    </w:rPr>
  </w:style>
  <w:style w:type="paragraph" w:customStyle="1" w:styleId="46">
    <w:name w:val="闻政-正文二级标题"/>
    <w:basedOn w:val="5"/>
    <w:next w:val="44"/>
    <w:link w:val="47"/>
    <w:qFormat/>
    <w:uiPriority w:val="99"/>
    <w:pPr>
      <w:spacing w:before="120" w:after="60" w:line="500" w:lineRule="exact"/>
      <w:ind w:left="200" w:leftChars="200" w:firstLine="0" w:firstLineChars="0"/>
    </w:pPr>
    <w:rPr>
      <w:rFonts w:ascii="Times New Roman" w:hAnsi="Times New Roman"/>
      <w:sz w:val="28"/>
    </w:rPr>
  </w:style>
  <w:style w:type="character" w:customStyle="1" w:styleId="47">
    <w:name w:val="闻政-正文二级标题 Char"/>
    <w:link w:val="46"/>
    <w:qFormat/>
    <w:locked/>
    <w:uiPriority w:val="99"/>
    <w:rPr>
      <w:rFonts w:ascii="Times New Roman" w:hAnsi="Times New Roman" w:eastAsia="仿宋_GB2312"/>
      <w:b/>
      <w:kern w:val="0"/>
      <w:sz w:val="32"/>
    </w:rPr>
  </w:style>
  <w:style w:type="paragraph" w:customStyle="1" w:styleId="48">
    <w:name w:val="闻政-正文三级标题"/>
    <w:basedOn w:val="1"/>
    <w:next w:val="44"/>
    <w:link w:val="49"/>
    <w:qFormat/>
    <w:uiPriority w:val="99"/>
    <w:pPr>
      <w:widowControl/>
      <w:spacing w:before="120" w:after="60" w:line="500" w:lineRule="exact"/>
      <w:ind w:left="200" w:leftChars="200" w:firstLine="0" w:firstLineChars="0"/>
    </w:pPr>
    <w:rPr>
      <w:rFonts w:ascii="Times New Roman" w:hAnsi="Times New Roman" w:cs="Times New Roman"/>
      <w:b/>
      <w:kern w:val="0"/>
      <w:szCs w:val="28"/>
    </w:rPr>
  </w:style>
  <w:style w:type="character" w:customStyle="1" w:styleId="49">
    <w:name w:val="闻政-正文三级标题 Char"/>
    <w:link w:val="48"/>
    <w:qFormat/>
    <w:locked/>
    <w:uiPriority w:val="99"/>
    <w:rPr>
      <w:rFonts w:ascii="Times New Roman" w:hAnsi="Times New Roman" w:eastAsia="仿宋_GB2312"/>
      <w:b/>
      <w:snapToGrid w:val="0"/>
      <w:kern w:val="0"/>
      <w:sz w:val="28"/>
    </w:rPr>
  </w:style>
  <w:style w:type="paragraph" w:customStyle="1" w:styleId="50">
    <w:name w:val="闻政-正文四级标题"/>
    <w:basedOn w:val="48"/>
    <w:next w:val="44"/>
    <w:link w:val="51"/>
    <w:qFormat/>
    <w:uiPriority w:val="99"/>
    <w:rPr>
      <w:b w:val="0"/>
    </w:rPr>
  </w:style>
  <w:style w:type="character" w:customStyle="1" w:styleId="51">
    <w:name w:val="闻政-正文四级标题 Char"/>
    <w:link w:val="50"/>
    <w:qFormat/>
    <w:locked/>
    <w:uiPriority w:val="99"/>
    <w:rPr>
      <w:rFonts w:ascii="Times New Roman" w:hAnsi="Times New Roman" w:eastAsia="仿宋_GB2312"/>
      <w:snapToGrid w:val="0"/>
      <w:kern w:val="0"/>
      <w:sz w:val="28"/>
    </w:rPr>
  </w:style>
  <w:style w:type="paragraph" w:customStyle="1" w:styleId="52">
    <w:name w:val="闻政-正文一级标题"/>
    <w:basedOn w:val="7"/>
    <w:next w:val="44"/>
    <w:link w:val="53"/>
    <w:qFormat/>
    <w:uiPriority w:val="99"/>
    <w:pPr>
      <w:spacing w:before="120" w:after="60" w:line="500" w:lineRule="exact"/>
      <w:ind w:firstLine="0" w:firstLineChars="0"/>
      <w:outlineLvl w:val="0"/>
    </w:pPr>
    <w:rPr>
      <w:rFonts w:ascii="黑体" w:hAnsi="黑体" w:eastAsia="黑体"/>
      <w:sz w:val="32"/>
    </w:rPr>
  </w:style>
  <w:style w:type="character" w:customStyle="1" w:styleId="53">
    <w:name w:val="闻政-正文一级标题 Char"/>
    <w:link w:val="52"/>
    <w:qFormat/>
    <w:locked/>
    <w:uiPriority w:val="99"/>
    <w:rPr>
      <w:rFonts w:ascii="黑体" w:hAnsi="黑体" w:eastAsia="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455</Words>
  <Characters>2599</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2020-07-13T07:59:00Z</dcterms:created>
  <dc:creator>qq</dc:creator>
  <cp:lastModifiedBy>Administrator</cp:lastModifiedBy>
  <dcterms:modified xsi:type="dcterms:W3CDTF">2022-05-18T08:13:01Z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