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before="120" w:after="120" w:line="480" w:lineRule="auto"/>
        <w:ind w:firstLine="0" w:firstLineChars="0"/>
        <w:jc w:val="center"/>
        <w:outlineLvl w:val="0"/>
        <w:rPr>
          <w:rFonts w:ascii="仿宋_GB2312" w:hAnsi="Arial"/>
          <w:b/>
          <w:sz w:val="44"/>
          <w:szCs w:val="44"/>
        </w:rPr>
      </w:pPr>
      <w:r>
        <w:rPr>
          <w:rFonts w:hint="eastAsia" w:ascii="仿宋_GB2312" w:hAnsi="Arial"/>
          <w:b/>
          <w:sz w:val="44"/>
          <w:szCs w:val="44"/>
        </w:rPr>
        <w:t>财政项目支出绩效自评报告</w:t>
      </w: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仿宋_GB2312" w:hAnsi="Times New Roman" w:cs="Times New Roman"/>
          <w:kern w:val="0"/>
          <w:sz w:val="30"/>
          <w:szCs w:val="30"/>
        </w:rPr>
      </w:pP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项目名称：</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粮改饲项目</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项目单位：</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主管部门：</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大宁县畜牧中心-409001</w:t>
      </w: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jc w:val="center"/>
        <w:rPr>
          <w:rFonts w:ascii="仿宋_GB2312" w:hAnsi="Times New Roman" w:cs="Times New Roman"/>
          <w:kern w:val="0"/>
          <w:sz w:val="32"/>
          <w:szCs w:val="32"/>
        </w:rPr>
      </w:pPr>
      <w:r>
        <w:rPr>
          <w:rFonts w:ascii="仿宋_GB2312" w:hAnsi="Times New Roman" w:cs="Times New Roman"/>
          <w:kern w:val="0"/>
          <w:sz w:val="32"/>
          <w:szCs w:val="32"/>
        </w:rPr>
        <w:t>2022</w:t>
      </w:r>
      <w:r>
        <w:rPr>
          <w:rFonts w:hint="eastAsia" w:ascii="仿宋_GB2312" w:hAnsi="Times New Roman" w:cs="Times New Roman"/>
          <w:kern w:val="0"/>
          <w:sz w:val="32"/>
          <w:szCs w:val="32"/>
        </w:rPr>
        <w:t>年</w:t>
      </w:r>
      <w:r>
        <w:rPr>
          <w:rFonts w:ascii="仿宋_GB2312" w:hAnsi="Times New Roman" w:cs="Times New Roman"/>
          <w:kern w:val="0"/>
          <w:sz w:val="32"/>
          <w:szCs w:val="32"/>
        </w:rPr>
        <w:t>2</w:t>
      </w:r>
      <w:r>
        <w:rPr>
          <w:rFonts w:hint="eastAsia" w:ascii="仿宋_GB2312" w:hAnsi="Times New Roman" w:cs="Times New Roman"/>
          <w:kern w:val="0"/>
          <w:sz w:val="32"/>
          <w:szCs w:val="32"/>
        </w:rPr>
        <w:t>月</w:t>
      </w:r>
    </w:p>
    <w:p>
      <w:pPr>
        <w:pStyle w:val="18"/>
        <w:tabs>
          <w:tab w:val="right" w:leader="dot" w:pos="8296"/>
        </w:tabs>
        <w:ind w:firstLine="440" w:firstLineChars="137"/>
      </w:pPr>
      <w:r>
        <w:rPr>
          <w:rFonts w:ascii="仿宋_GB2312" w:hAnsi="Times New Roman" w:cs="Times New Roman"/>
          <w:kern w:val="0"/>
          <w:sz w:val="32"/>
          <w:szCs w:val="32"/>
        </w:rPr>
        <w:br w:type="page"/>
      </w:r>
      <w:r>
        <w:rPr>
          <w:szCs w:val="44"/>
        </w:rPr>
        <w:fldChar w:fldCharType="begin"/>
      </w:r>
      <w:r>
        <w:rPr>
          <w:szCs w:val="44"/>
        </w:rPr>
        <w:instrText xml:space="preserve"> TOC \o "1-4" \f </w:instrText>
      </w:r>
      <w:r>
        <w:rPr>
          <w:szCs w:val="44"/>
        </w:rPr>
        <w:fldChar w:fldCharType="separate"/>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一、项目的基本情况</w:t>
      </w:r>
      <w:r>
        <w:tab/>
      </w:r>
      <w:r>
        <w:fldChar w:fldCharType="begin"/>
      </w:r>
      <w:r>
        <w:instrText xml:space="preserve"> PAGEREF _Toc61505636 \h </w:instrText>
      </w:r>
      <w:r>
        <w:fldChar w:fldCharType="separate"/>
      </w:r>
      <w:r>
        <w:t>1</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（一）项目概况</w:t>
      </w:r>
      <w:r>
        <w:tab/>
      </w:r>
      <w:r>
        <w:fldChar w:fldCharType="begin"/>
      </w:r>
      <w:r>
        <w:instrText xml:space="preserve"> PAGEREF _Toc61505637 \h </w:instrText>
      </w:r>
      <w:r>
        <w:fldChar w:fldCharType="separate"/>
      </w:r>
      <w:r>
        <w:t>1</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（二）预算执行情况</w:t>
      </w:r>
      <w:r>
        <w:tab/>
      </w:r>
      <w:r>
        <w:fldChar w:fldCharType="begin"/>
      </w:r>
      <w:r>
        <w:instrText xml:space="preserve"> PAGEREF _Toc61505638 \h </w:instrText>
      </w:r>
      <w:r>
        <w:fldChar w:fldCharType="separate"/>
      </w:r>
      <w:r>
        <w:t>2</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（三）项目绩效目标</w:t>
      </w:r>
      <w:r>
        <w:tab/>
      </w:r>
      <w:r>
        <w:fldChar w:fldCharType="begin"/>
      </w:r>
      <w:r>
        <w:instrText xml:space="preserve"> PAGEREF _Toc61505639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（四）项目实施计划</w:t>
      </w:r>
      <w:r>
        <w:tab/>
      </w:r>
      <w:r>
        <w:fldChar w:fldCharType="begin"/>
      </w:r>
      <w:r>
        <w:instrText xml:space="preserve"> PAGEREF _Toc61505640 \h </w:instrText>
      </w:r>
      <w:r>
        <w:fldChar w:fldCharType="separate"/>
      </w:r>
      <w:r>
        <w:rPr>
          <w:b/>
        </w:rPr>
        <w:t>错误！未定义书签。</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二、项目绩效情况</w:t>
      </w:r>
      <w:r>
        <w:tab/>
      </w:r>
      <w:r>
        <w:fldChar w:fldCharType="begin"/>
      </w:r>
      <w:r>
        <w:instrText xml:space="preserve"> PAGEREF _Toc61505641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（一）预算执行情况</w:t>
      </w:r>
      <w:r>
        <w:tab/>
      </w:r>
      <w:r>
        <w:fldChar w:fldCharType="begin"/>
      </w:r>
      <w:r>
        <w:instrText xml:space="preserve"> PAGEREF _Toc61505642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（二）项目产出情况</w:t>
      </w:r>
      <w:r>
        <w:tab/>
      </w:r>
      <w:r>
        <w:fldChar w:fldCharType="begin"/>
      </w:r>
      <w:r>
        <w:instrText xml:space="preserve"> PAGEREF _Toc61505643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（三）项目效益情况</w:t>
      </w:r>
      <w:r>
        <w:tab/>
      </w:r>
      <w:r>
        <w:fldChar w:fldCharType="begin"/>
      </w:r>
      <w:r>
        <w:instrText xml:space="preserve"> PAGEREF _Toc61505644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（四）项目满意度情况</w:t>
      </w:r>
      <w:r>
        <w:tab/>
      </w:r>
      <w:r>
        <w:fldChar w:fldCharType="begin"/>
      </w:r>
      <w:r>
        <w:instrText xml:space="preserve"> PAGEREF _Toc61505645 \h </w:instrText>
      </w:r>
      <w:r>
        <w:fldChar w:fldCharType="separate"/>
      </w:r>
      <w:r>
        <w:t>5</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三、项目绩效分析</w:t>
      </w:r>
      <w:r>
        <w:tab/>
      </w:r>
      <w:r>
        <w:fldChar w:fldCharType="begin"/>
      </w:r>
      <w:r>
        <w:instrText xml:space="preserve"> PAGEREF _Toc61505646 \h </w:instrText>
      </w:r>
      <w:r>
        <w:fldChar w:fldCharType="separate"/>
      </w:r>
      <w:r>
        <w:t>5</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四、项目主要经验做法</w:t>
      </w:r>
      <w:r>
        <w:tab/>
      </w:r>
      <w:r>
        <w:fldChar w:fldCharType="begin"/>
      </w:r>
      <w:r>
        <w:instrText xml:space="preserve"> PAGEREF _Toc61505647 \h </w:instrText>
      </w:r>
      <w:r>
        <w:fldChar w:fldCharType="separate"/>
      </w:r>
      <w:r>
        <w:t>6</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五、项目管理中存在问题及原因分析</w:t>
      </w:r>
      <w:r>
        <w:tab/>
      </w:r>
      <w:r>
        <w:fldChar w:fldCharType="begin"/>
      </w:r>
      <w:r>
        <w:instrText xml:space="preserve"> PAGEREF _Toc61505648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六、进一步加强项目管理措施及建议</w:t>
      </w:r>
      <w:r>
        <w:tab/>
      </w:r>
      <w:r>
        <w:fldChar w:fldCharType="begin"/>
      </w:r>
      <w:r>
        <w:instrText xml:space="preserve"> PAGEREF _Toc61505649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1.</w:t>
      </w:r>
      <w:r>
        <w:rPr>
          <w:rFonts w:hint="eastAsia" w:ascii="仿宋" w:hAnsi="仿宋" w:eastAsia="仿宋" w:cs="仿宋"/>
          <w:bCs w:val="0"/>
        </w:rPr>
        <w:t>项目支出绩效自评表</w:t>
      </w:r>
      <w:r>
        <w:tab/>
      </w:r>
      <w:r>
        <w:fldChar w:fldCharType="begin"/>
      </w:r>
      <w:r>
        <w:instrText xml:space="preserve"> PAGEREF _Toc61505650 \h </w:instrText>
      </w:r>
      <w:r>
        <w:fldChar w:fldCharType="separate"/>
      </w:r>
      <w:r>
        <w:t>1</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2.</w:t>
      </w:r>
      <w:r>
        <w:rPr>
          <w:rFonts w:hint="eastAsia" w:ascii="仿宋" w:hAnsi="仿宋" w:eastAsia="仿宋" w:cs="仿宋"/>
          <w:bCs w:val="0"/>
        </w:rPr>
        <w:t>绩效自评相关资料</w:t>
      </w:r>
      <w:r>
        <w:tab/>
      </w:r>
      <w:r>
        <w:fldChar w:fldCharType="begin"/>
      </w:r>
      <w:r>
        <w:instrText xml:space="preserve"> PAGEREF _Toc61505651 \h </w:instrText>
      </w:r>
      <w:r>
        <w:fldChar w:fldCharType="separate"/>
      </w:r>
      <w:r>
        <w:t>2</w:t>
      </w:r>
      <w:r>
        <w:fldChar w:fldCharType="end"/>
      </w:r>
    </w:p>
    <w:p>
      <w:pPr>
        <w:tabs>
          <w:tab w:val="left" w:pos="620"/>
        </w:tabs>
        <w:ind w:firstLine="0" w:firstLineChars="0"/>
        <w:rPr>
          <w:szCs w:val="44"/>
        </w:rPr>
      </w:pPr>
      <w:r>
        <w:rPr>
          <w:szCs w:val="44"/>
        </w:rPr>
        <w:fldChar w:fldCharType="end"/>
      </w:r>
      <w:r>
        <w:rPr>
          <w:szCs w:val="44"/>
        </w:rPr>
        <w:tab/>
      </w:r>
    </w:p>
    <w:p>
      <w:pPr>
        <w:ind w:firstLine="560"/>
        <w:rPr>
          <w:szCs w:val="44"/>
        </w:rPr>
      </w:pPr>
    </w:p>
    <w:p>
      <w:pPr>
        <w:ind w:firstLine="560"/>
        <w:rPr>
          <w:szCs w:val="44"/>
        </w:rPr>
      </w:pPr>
    </w:p>
    <w:p>
      <w:pPr>
        <w:ind w:firstLine="560"/>
        <w:rPr>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53"/>
        <w:rPr>
          <w:rFonts w:ascii="仿宋" w:hAnsi="仿宋" w:eastAsia="仿宋" w:cs="仿宋"/>
          <w:b/>
          <w:bCs w:val="0"/>
        </w:rPr>
      </w:pPr>
      <w:bookmarkStart w:id="0" w:name="_Toc61505636"/>
      <w:r>
        <w:rPr>
          <w:rFonts w:hint="eastAsia" w:ascii="仿宋" w:hAnsi="仿宋" w:eastAsia="仿宋" w:cs="仿宋"/>
          <w:b/>
          <w:bCs w:val="0"/>
        </w:rPr>
        <w:t>一、项目的基本情况</w:t>
      </w:r>
      <w:bookmarkEnd w:id="0"/>
    </w:p>
    <w:p>
      <w:pPr>
        <w:pStyle w:val="47"/>
        <w:ind w:left="560"/>
      </w:pPr>
      <w:bookmarkStart w:id="1" w:name="_Toc61505637"/>
      <w:r>
        <w:rPr>
          <w:rFonts w:hint="eastAsia"/>
        </w:rPr>
        <w:t>（一）项目概况</w:t>
      </w:r>
      <w:bookmarkEnd w:id="1"/>
    </w:p>
    <w:p>
      <w:pPr>
        <w:pStyle w:val="45"/>
        <w:ind w:left="280" w:firstLine="562"/>
      </w:pPr>
      <w:r>
        <w:rPr>
          <w:rFonts w:hint="eastAsia"/>
          <w:b/>
          <w:bCs/>
        </w:rPr>
        <w:t>项目概况：</w:t>
      </w:r>
      <w:r>
        <w:t>粮改饲主要是采取以养带种方式推动种植结构调整，促进青贮玉米、甜高粱、苜蓿、燕麦草等优质饲料作物种植，收获加工后由牛羊等草食家畜就地转化，全面提升种植收益、草食家畜生产效率和养殖效益。通过对优质饲草收贮环节补助，推动种植业结构调整，促进青贮玉米收获、加工后饲喂草食家畜，实现全县草畜平衡</w:t>
      </w:r>
    </w:p>
    <w:p>
      <w:pPr>
        <w:pStyle w:val="45"/>
        <w:ind w:left="280" w:firstLine="562"/>
      </w:pPr>
      <w:r>
        <w:rPr>
          <w:rFonts w:hint="eastAsia"/>
          <w:b/>
          <w:bCs/>
        </w:rPr>
        <w:t>立项依据：</w:t>
      </w:r>
      <w:r>
        <w:t>《临汾市农业农村局关于下达2021年中央农业生产发展资金使用计划的通知》（临农计财发[2020]68号)</w:t>
      </w:r>
    </w:p>
    <w:p>
      <w:pPr>
        <w:pStyle w:val="45"/>
        <w:ind w:left="280" w:firstLine="562"/>
        <w:rPr>
          <w:rFonts w:hint="eastAsia" w:eastAsia="仿宋_GB2312"/>
          <w:lang w:val="en-US" w:eastAsia="zh-CN"/>
        </w:rPr>
      </w:pPr>
      <w:r>
        <w:rPr>
          <w:rFonts w:hint="eastAsia"/>
          <w:b/>
          <w:bCs/>
        </w:rPr>
        <w:t>设立的必要性：</w:t>
      </w:r>
      <w:r>
        <w:rPr>
          <w:rFonts w:hint="eastAsia"/>
          <w:lang w:eastAsia="zh-CN"/>
        </w:rPr>
        <w:t>通过补助，解决反刍动物的饲草问题，增加养殖户的收入。</w:t>
      </w:r>
    </w:p>
    <w:p>
      <w:pPr>
        <w:pStyle w:val="45"/>
        <w:ind w:left="280" w:firstLine="562"/>
      </w:pPr>
      <w:r>
        <w:rPr>
          <w:rFonts w:hint="eastAsia"/>
          <w:b/>
          <w:bCs/>
        </w:rPr>
        <w:t>保证项目实施的措施与制度：</w:t>
      </w:r>
      <w:r>
        <w:t>（1）根据我县实际，补助对象为具备独立法人资格的牛羊规模养殖场和养殖户、专业收贮企业，主要补助青贮全株玉米和青贮收完玉米后的秸秆，补助标准为：利用青贮池青贮、打捆青贮、袋装青贮全株玉米每亩补助145元；利用收完玉米后的秸秆青贮、打捆青贮、袋装青贮、黄贮每亩补助80元。（每立方米折合0.8吨，每2吨折合1亩）。 （2）坚持公平公正公开的原则，通过自主申报、现场核查、技术评审、张榜公示等方式，切实选择一批收贮能力强、带动能力高的饲草种植户、牛羊规模养殖场、养殖户作为粮改饲项目的实施主体。 （3）粮改饲项目实施主体结合实际制定具体的2021年粮改饲试点青贮玉米补贴的申请报告，明确实施青贮种类和面积，养殖场（户）向乡镇畜牧兽医中心站提出申请和承诺书；各乡镇畜牧兽医中心站汇总报大宁县畜牧中心牧草饲料工作站。 （4）大宁县畜牧中心牧草饲料工作站根据各乡镇畜牧兽医中心站所申报的建设内容，实地进行核验，对具备项目实施主体条件的饲草种植户、牛羊养殖规模场和养殖户进行批复。 （5）大宁县畜牧中心会同财政部门组成项目验收组，认真做好项目的验收工作，统一验收方案、统一验收标准、统一验收程序。现场查验与审核签字同步进行，留存验收影像资料。并由各乡镇畜牧兽医中心站签署意见，大宁县畜牧中心牧草饲料工作站负责人签署意见并盖章，项目主管部门主管领导签署意见并盖章。</w:t>
      </w:r>
    </w:p>
    <w:p>
      <w:pPr>
        <w:pStyle w:val="45"/>
        <w:ind w:left="280" w:firstLine="562"/>
      </w:pPr>
      <w:r>
        <w:rPr>
          <w:rFonts w:hint="eastAsia"/>
          <w:b/>
          <w:bCs/>
        </w:rPr>
        <w:t>项目实施计划：</w:t>
      </w:r>
      <w:r>
        <w:t>2021年重点选择全县范围内具备实施条件的饲草种植户、牛羊规模养殖场和养殖户、专业收贮企业储存优质牧草0.72万亩。</w:t>
      </w:r>
    </w:p>
    <w:p>
      <w:pPr>
        <w:widowControl/>
        <w:ind w:firstLine="0" w:firstLineChars="0"/>
        <w:jc w:val="left"/>
      </w:pPr>
      <w:bookmarkStart w:id="2" w:name="_Toc61505638"/>
      <w:r>
        <w:rPr>
          <w:rFonts w:hint="eastAsia"/>
        </w:rPr>
        <w:t>（二）预算执行情况</w:t>
      </w:r>
      <w:bookmarkEnd w:id="2"/>
    </w:p>
    <w:p>
      <w:pPr>
        <w:ind w:firstLine="0" w:firstLineChars="0"/>
        <w:jc w:val="left"/>
        <w:rPr>
          <w:b/>
          <w:szCs w:val="28"/>
        </w:rPr>
      </w:pPr>
    </w:p>
    <w:tbl>
      <w:tblPr>
        <w:tblStyle w:val="25"/>
        <w:tblW w:w="13972" w:type="dxa"/>
        <w:tblInd w:w="172" w:type="dxa"/>
        <w:tblLayout w:type="fixed"/>
        <w:tblCellMar>
          <w:top w:w="0" w:type="dxa"/>
          <w:left w:w="30" w:type="dxa"/>
          <w:bottom w:w="0" w:type="dxa"/>
          <w:right w:w="30" w:type="dxa"/>
        </w:tblCellMar>
      </w:tblPr>
      <w:tblGrid>
        <w:gridCol w:w="1559"/>
        <w:gridCol w:w="1276"/>
        <w:gridCol w:w="1356"/>
        <w:gridCol w:w="1337"/>
        <w:gridCol w:w="851"/>
        <w:gridCol w:w="850"/>
        <w:gridCol w:w="851"/>
        <w:gridCol w:w="930"/>
        <w:gridCol w:w="2410"/>
        <w:gridCol w:w="2552"/>
      </w:tblGrid>
      <w:tr>
        <w:tblPrEx>
          <w:tblCellMar>
            <w:top w:w="0" w:type="dxa"/>
            <w:left w:w="30" w:type="dxa"/>
            <w:bottom w:w="0" w:type="dxa"/>
            <w:right w:w="30" w:type="dxa"/>
          </w:tblCellMar>
        </w:tblPrEx>
        <w:trPr>
          <w:trHeight w:val="359"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ascii="仿宋_GB2312"/>
                <w:b/>
                <w:bCs/>
                <w:kern w:val="0"/>
                <w:sz w:val="24"/>
                <w:szCs w:val="24"/>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ascii="仿宋_GB2312"/>
                <w:b/>
                <w:bCs/>
                <w:kern w:val="0"/>
                <w:sz w:val="24"/>
                <w:szCs w:val="24"/>
              </w:rPr>
              <w:t>年度总金额</w:t>
            </w:r>
            <w:r>
              <w:rPr>
                <w:rFonts w:ascii="仿宋_GB2312"/>
                <w:b/>
                <w:bCs/>
                <w:kern w:val="0"/>
                <w:sz w:val="24"/>
                <w:szCs w:val="24"/>
              </w:rPr>
              <w:t>(</w:t>
            </w:r>
            <w:r>
              <w:rPr>
                <w:rFonts w:hint="eastAsia" w:ascii="仿宋_GB2312"/>
                <w:b/>
                <w:bCs/>
                <w:kern w:val="0"/>
                <w:sz w:val="24"/>
                <w:szCs w:val="24"/>
              </w:rPr>
              <w:t>万元</w:t>
            </w:r>
            <w:r>
              <w:rPr>
                <w:rFonts w:ascii="仿宋_GB2312"/>
                <w:b/>
                <w:bCs/>
                <w:kern w:val="0"/>
                <w:sz w:val="24"/>
                <w:szCs w:val="24"/>
              </w:rPr>
              <w:t>)</w:t>
            </w:r>
          </w:p>
        </w:tc>
        <w:tc>
          <w:tcPr>
            <w:tcW w:w="4819" w:type="dxa"/>
            <w:gridSpan w:val="5"/>
            <w:tcBorders>
              <w:top w:val="single" w:color="000000" w:sz="6" w:space="0"/>
              <w:left w:val="single" w:color="auto" w:sz="4"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tblPrEx>
          <w:tblCellMar>
            <w:top w:w="0" w:type="dxa"/>
            <w:left w:w="30" w:type="dxa"/>
            <w:bottom w:w="0" w:type="dxa"/>
            <w:right w:w="30" w:type="dxa"/>
          </w:tblCellMar>
        </w:tblPrEx>
        <w:trPr>
          <w:trHeight w:val="267" w:hRule="atLeast"/>
        </w:trPr>
        <w:tc>
          <w:tcPr>
            <w:tcW w:w="1559" w:type="dxa"/>
            <w:vMerge w:val="continue"/>
            <w:tcBorders>
              <w:top w:val="single" w:color="auto" w:sz="4" w:space="0"/>
              <w:left w:val="single" w:color="auto" w:sz="4" w:space="0"/>
              <w:bottom w:val="single" w:color="auto" w:sz="4" w:space="0"/>
              <w:right w:val="single" w:color="auto" w:sz="4" w:space="0"/>
            </w:tcBorders>
            <w:shd w:val="solid" w:color="FFFFFF" w:fill="auto"/>
            <w:vAlign w:val="center"/>
          </w:tcPr>
          <w:p>
            <w:pPr>
              <w:widowControl/>
              <w:ind w:firstLine="0" w:firstLineChars="0"/>
              <w:jc w:val="center"/>
              <w:rPr>
                <w:rFonts w:ascii="仿宋_GB2312"/>
                <w:b/>
                <w:bCs/>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56"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37" w:type="dxa"/>
            <w:tcBorders>
              <w:top w:val="single" w:color="000000" w:sz="6" w:space="0"/>
              <w:left w:val="single" w:color="auto" w:sz="4"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小计</w:t>
            </w:r>
          </w:p>
        </w:tc>
        <w:tc>
          <w:tcPr>
            <w:tcW w:w="851" w:type="dxa"/>
            <w:tcBorders>
              <w:top w:val="single" w:color="000000" w:sz="6" w:space="0"/>
              <w:left w:val="single" w:color="000000" w:sz="6" w:space="0"/>
              <w:bottom w:val="single" w:color="auto" w:sz="4"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中央级</w:t>
            </w:r>
          </w:p>
        </w:tc>
        <w:tc>
          <w:tcPr>
            <w:tcW w:w="850"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省级</w:t>
            </w:r>
          </w:p>
        </w:tc>
        <w:tc>
          <w:tcPr>
            <w:tcW w:w="851"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市级</w:t>
            </w:r>
          </w:p>
        </w:tc>
        <w:tc>
          <w:tcPr>
            <w:tcW w:w="930" w:type="dxa"/>
            <w:tcBorders>
              <w:top w:val="single" w:color="000000" w:sz="6" w:space="0"/>
              <w:left w:val="single" w:color="000000" w:sz="6"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县区级</w:t>
            </w:r>
          </w:p>
        </w:tc>
        <w:tc>
          <w:tcPr>
            <w:tcW w:w="2410"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2552"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年初预算资金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(1)</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104.4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104.4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104.4</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实际到位资金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(3)</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104.4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104.4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104.4</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全年执行资金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101.17</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101.17</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101.17</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资金结余</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(5)=(3)-(4)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3.23</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3.23</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3.23</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预算到位率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(6)=(3)/(2)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预算执行率(%)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(7)=(4)/(2)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96.9</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96.9</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96.9</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bl>
    <w:p>
      <w:pPr>
        <w:pStyle w:val="47"/>
        <w:ind w:left="560"/>
      </w:pPr>
      <w:bookmarkStart w:id="3" w:name="_Toc61505639"/>
      <w:r>
        <w:rPr>
          <w:rFonts w:hint="eastAsia"/>
        </w:rPr>
        <w:t>（三）项目绩效目标</w:t>
      </w:r>
      <w:bookmarkEnd w:id="3"/>
    </w:p>
    <w:p>
      <w:pPr>
        <w:pStyle w:val="49"/>
        <w:ind w:left="560"/>
      </w:pPr>
      <w:r>
        <w:rPr>
          <w:rFonts w:hint="eastAsia"/>
        </w:rPr>
        <w:t>（</w:t>
      </w:r>
      <w:r>
        <w:t>1</w:t>
      </w:r>
      <w:r>
        <w:rPr>
          <w:rFonts w:hint="eastAsia"/>
        </w:rPr>
        <w:t>）</w:t>
      </w:r>
      <w:r>
        <w:t xml:space="preserve">. </w:t>
      </w:r>
      <w:r>
        <w:rPr>
          <w:rFonts w:hint="eastAsia"/>
        </w:rPr>
        <w:t>项目实施期绩效目标</w:t>
      </w:r>
    </w:p>
    <w:p>
      <w:pPr>
        <w:pStyle w:val="45"/>
        <w:ind w:left="280" w:firstLine="560"/>
      </w:pPr>
      <w:r>
        <w:t>完成0.72万亩的粮改饲</w:t>
      </w:r>
      <w:r>
        <w:tab/>
      </w:r>
    </w:p>
    <w:p>
      <w:pPr>
        <w:pStyle w:val="49"/>
        <w:ind w:left="560"/>
      </w:pPr>
      <w:r>
        <w:rPr>
          <w:rFonts w:hint="eastAsia"/>
        </w:rPr>
        <w:t>（</w:t>
      </w:r>
      <w:r>
        <w:t>2</w:t>
      </w:r>
      <w:r>
        <w:rPr>
          <w:rFonts w:hint="eastAsia"/>
        </w:rPr>
        <w:t>）</w:t>
      </w:r>
      <w:r>
        <w:t xml:space="preserve">. </w:t>
      </w:r>
      <w:r>
        <w:rPr>
          <w:rFonts w:hint="eastAsia"/>
        </w:rPr>
        <w:t>项目年度目标</w:t>
      </w:r>
    </w:p>
    <w:p>
      <w:pPr>
        <w:pStyle w:val="45"/>
        <w:ind w:left="280" w:firstLine="560"/>
      </w:pPr>
      <w:r>
        <w:t>完成0.72万亩的粮改饲</w:t>
      </w:r>
    </w:p>
    <w:p>
      <w:pPr>
        <w:pStyle w:val="53"/>
        <w:rPr>
          <w:rFonts w:ascii="仿宋" w:hAnsi="仿宋" w:eastAsia="仿宋" w:cs="仿宋"/>
          <w:b/>
          <w:bCs w:val="0"/>
        </w:rPr>
      </w:pPr>
      <w:bookmarkStart w:id="4" w:name="_Toc61505641"/>
      <w:r>
        <w:rPr>
          <w:rFonts w:hint="eastAsia" w:ascii="仿宋" w:hAnsi="仿宋" w:eastAsia="仿宋" w:cs="仿宋"/>
          <w:b/>
          <w:bCs w:val="0"/>
        </w:rPr>
        <w:t>二、项目绩效情况</w:t>
      </w:r>
      <w:bookmarkEnd w:id="4"/>
    </w:p>
    <w:p>
      <w:pPr>
        <w:pStyle w:val="45"/>
        <w:ind w:left="140" w:leftChars="50" w:firstLine="560"/>
      </w:pPr>
      <w:r>
        <w:rPr>
          <w:rFonts w:hint="eastAsia"/>
        </w:rPr>
        <w:t>综合考虑预算执行情况、产出、效益、服务对象满意度各方面因素，通过数据采集及分析，最终评分结果：</w:t>
      </w:r>
      <w:r>
        <w:t>粮改饲项目</w:t>
      </w:r>
      <w:r>
        <w:rPr>
          <w:rFonts w:hint="eastAsia"/>
        </w:rPr>
        <w:t>项目绩效自评价结果为</w:t>
      </w:r>
      <w:r>
        <w:t>:</w:t>
      </w:r>
      <w:r>
        <w:rPr>
          <w:rFonts w:hint="eastAsia"/>
        </w:rPr>
        <w:t>总得分</w:t>
      </w:r>
      <w:r>
        <w:t>99.23</w:t>
      </w:r>
      <w:r>
        <w:rPr>
          <w:rFonts w:hint="eastAsia"/>
        </w:rPr>
        <w:t>分，属于</w:t>
      </w:r>
      <w:r>
        <w:t>"优秀"</w:t>
      </w:r>
      <w:r>
        <w:rPr>
          <w:rFonts w:hint="eastAsia"/>
        </w:rPr>
        <w:t>。</w:t>
      </w:r>
    </w:p>
    <w:p>
      <w:pPr>
        <w:pStyle w:val="47"/>
        <w:ind w:left="560"/>
      </w:pPr>
      <w:bookmarkStart w:id="5" w:name="_Toc61505642"/>
      <w:r>
        <w:rPr>
          <w:rFonts w:hint="eastAsia"/>
        </w:rPr>
        <w:t>（一）预算执行情况</w:t>
      </w:r>
      <w:bookmarkEnd w:id="5"/>
    </w:p>
    <w:tbl>
      <w:tblPr>
        <w:tblStyle w:val="25"/>
        <w:tblW w:w="0" w:type="auto"/>
        <w:jc w:val="center"/>
        <w:tblLayout w:type="fixed"/>
        <w:tblCellMar>
          <w:top w:w="0" w:type="dxa"/>
          <w:left w:w="108" w:type="dxa"/>
          <w:bottom w:w="0" w:type="dxa"/>
          <w:right w:w="108" w:type="dxa"/>
        </w:tblCellMar>
      </w:tblPr>
      <w:tblGrid>
        <w:gridCol w:w="1712"/>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96.9%</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9.69</w:t>
            </w:r>
          </w:p>
        </w:tc>
      </w:tr>
    </w:tbl>
    <w:p>
      <w:pPr>
        <w:ind w:firstLine="0" w:firstLineChars="0"/>
        <w:rPr>
          <w:szCs w:val="44"/>
        </w:rPr>
      </w:pPr>
    </w:p>
    <w:p>
      <w:pPr>
        <w:widowControl/>
        <w:ind w:firstLine="0" w:firstLineChars="0"/>
        <w:jc w:val="left"/>
        <w:rPr>
          <w:szCs w:val="44"/>
        </w:rPr>
      </w:pPr>
      <w:r>
        <w:rPr>
          <w:szCs w:val="44"/>
        </w:rPr>
        <w:br w:type="page"/>
      </w:r>
    </w:p>
    <w:p>
      <w:pPr>
        <w:pStyle w:val="47"/>
        <w:ind w:left="560"/>
      </w:pPr>
      <w:bookmarkStart w:id="6" w:name="_Toc61505643"/>
      <w:r>
        <w:rPr>
          <w:rFonts w:hint="eastAsia"/>
        </w:rPr>
        <w:t>（二）项目产出情况</w:t>
      </w:r>
      <w:bookmarkEnd w:id="6"/>
    </w:p>
    <w:tbl>
      <w:tblPr>
        <w:tblStyle w:val="25"/>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粮改饲完成亩数</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0.72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0.6977万亩</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14.54</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青贮饲料合格率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98</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98%</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饲料保存期</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1年</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每亩补助金额</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145元</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pStyle w:val="47"/>
        <w:ind w:left="560"/>
      </w:pPr>
      <w:bookmarkStart w:id="7" w:name="_Toc61505644"/>
      <w:r>
        <w:rPr>
          <w:rFonts w:hint="eastAsia"/>
        </w:rPr>
        <w:t>（三）项目效益情况</w:t>
      </w:r>
      <w:bookmarkEnd w:id="7"/>
    </w:p>
    <w:tbl>
      <w:tblPr>
        <w:tblStyle w:val="25"/>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保障养殖的饲料供应</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提高肉产品的供应</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保障养殖户的饲料供应时间</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1年</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pPr>
      <w:bookmarkStart w:id="8" w:name="_Toc61505645"/>
      <w:r>
        <w:rPr>
          <w:rFonts w:hint="eastAsia"/>
        </w:rPr>
        <w:t>（四）项目满意度情况</w:t>
      </w:r>
      <w:bookmarkEnd w:id="8"/>
    </w:p>
    <w:tbl>
      <w:tblPr>
        <w:tblStyle w:val="25"/>
        <w:tblW w:w="0" w:type="auto"/>
        <w:jc w:val="center"/>
        <w:tblLayout w:type="fixed"/>
        <w:tblCellMar>
          <w:top w:w="0" w:type="dxa"/>
          <w:left w:w="108" w:type="dxa"/>
          <w:bottom w:w="0" w:type="dxa"/>
          <w:right w:w="108" w:type="dxa"/>
        </w:tblCellMar>
      </w:tblPr>
      <w:tblGrid>
        <w:gridCol w:w="1404"/>
        <w:gridCol w:w="2916"/>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2916"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2916"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养殖户的满意度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rPr>
          <w:rFonts w:ascii="仿宋" w:hAnsi="仿宋" w:eastAsia="仿宋" w:cs="仿宋"/>
          <w:b/>
          <w:bCs w:val="0"/>
        </w:rPr>
      </w:pPr>
      <w:bookmarkStart w:id="9" w:name="_Toc61505646"/>
      <w:r>
        <w:rPr>
          <w:rFonts w:hint="eastAsia" w:ascii="仿宋" w:hAnsi="仿宋" w:eastAsia="仿宋" w:cs="仿宋"/>
          <w:b/>
          <w:bCs w:val="0"/>
        </w:rPr>
        <w:t>三、</w:t>
      </w:r>
      <w:bookmarkStart w:id="10" w:name="_Toc23655"/>
      <w:bookmarkStart w:id="11" w:name="_Toc17451"/>
      <w:r>
        <w:rPr>
          <w:rFonts w:hint="eastAsia" w:ascii="仿宋" w:hAnsi="仿宋" w:eastAsia="仿宋" w:cs="仿宋"/>
          <w:b/>
          <w:bCs w:val="0"/>
        </w:rPr>
        <w:t>项目绩效分析</w:t>
      </w:r>
      <w:bookmarkEnd w:id="9"/>
      <w:bookmarkEnd w:id="10"/>
      <w:bookmarkEnd w:id="11"/>
    </w:p>
    <w:p>
      <w:pPr>
        <w:pStyle w:val="45"/>
        <w:numPr>
          <w:ilvl w:val="0"/>
          <w:numId w:val="1"/>
        </w:numPr>
        <w:ind w:left="700" w:leftChars="250" w:firstLineChars="0"/>
        <w:rPr>
          <w:rFonts w:ascii="仿宋_GB2312"/>
          <w:b/>
        </w:rPr>
      </w:pPr>
      <w:r>
        <w:rPr>
          <w:rFonts w:hint="eastAsia" w:ascii="仿宋_GB2312"/>
          <w:b/>
        </w:rPr>
        <w:t>项目实施和预算执行情况及分析</w:t>
      </w:r>
    </w:p>
    <w:p>
      <w:pPr>
        <w:pStyle w:val="45"/>
        <w:rPr>
          <w:rFonts w:ascii="仿宋_GB2312"/>
          <w:bCs/>
        </w:rPr>
      </w:pPr>
      <w:r>
        <w:rPr>
          <w:rFonts w:hint="eastAsia" w:ascii="仿宋_GB2312"/>
          <w:bCs/>
          <w:lang w:val="en-US" w:eastAsia="zh-CN"/>
        </w:rPr>
        <w:t>(1)根据上级下发文件内容制定项目实施方案。2021年8月5日下达中央资金104.4万元，资金文号大财农二（2021）25号（2）成立项目实施领导组。（3）积极动员养殖场（户）按时收储优质饲草。（4）经验收组验收通过后，按照财政下拨资金额度和补贴标准发放到养殖户账户。</w:t>
      </w:r>
    </w:p>
    <w:p>
      <w:pPr>
        <w:pStyle w:val="45"/>
        <w:numPr>
          <w:ilvl w:val="0"/>
          <w:numId w:val="1"/>
        </w:numPr>
        <w:ind w:left="700" w:leftChars="250" w:firstLineChars="0"/>
        <w:rPr>
          <w:rFonts w:ascii="仿宋_GB2312"/>
          <w:b/>
        </w:rPr>
      </w:pPr>
      <w:r>
        <w:rPr>
          <w:rFonts w:hint="eastAsia" w:ascii="仿宋_GB2312"/>
          <w:b/>
        </w:rPr>
        <w:t>产出情况及分析</w:t>
      </w:r>
    </w:p>
    <w:p>
      <w:pPr>
        <w:pStyle w:val="45"/>
        <w:rPr>
          <w:rFonts w:ascii="仿宋_GB2312"/>
          <w:bCs/>
        </w:rPr>
      </w:pPr>
      <w:r>
        <w:rPr>
          <w:rFonts w:hint="eastAsia" w:ascii="仿宋_GB2312"/>
          <w:bCs/>
          <w:lang w:eastAsia="zh-CN"/>
        </w:rPr>
        <w:t>（</w:t>
      </w:r>
      <w:r>
        <w:rPr>
          <w:rFonts w:hint="eastAsia" w:ascii="仿宋_GB2312"/>
          <w:bCs/>
          <w:lang w:val="en-US" w:eastAsia="zh-CN"/>
        </w:rPr>
        <w:t>1）计划实施0.72万亩，实际实施0.6977万亩，完成实施目标的96.9%，符合初期既定目标。</w:t>
      </w:r>
    </w:p>
    <w:p>
      <w:pPr>
        <w:pStyle w:val="45"/>
        <w:numPr>
          <w:ilvl w:val="0"/>
          <w:numId w:val="1"/>
        </w:numPr>
        <w:ind w:left="700" w:leftChars="250" w:firstLineChars="0"/>
        <w:rPr>
          <w:rFonts w:ascii="仿宋_GB2312"/>
          <w:b/>
        </w:rPr>
      </w:pPr>
      <w:r>
        <w:rPr>
          <w:rFonts w:hint="eastAsia" w:ascii="仿宋_GB2312"/>
          <w:b/>
        </w:rPr>
        <w:t>效益情况及分析</w:t>
      </w:r>
    </w:p>
    <w:p>
      <w:pPr>
        <w:pStyle w:val="45"/>
        <w:rPr>
          <w:rFonts w:hint="default" w:ascii="仿宋_GB2312" w:eastAsia="仿宋_GB2312"/>
          <w:bCs/>
          <w:lang w:val="en-US" w:eastAsia="zh-CN"/>
        </w:rPr>
      </w:pPr>
      <w:bookmarkStart w:id="17" w:name="_GoBack"/>
      <w:r>
        <w:rPr>
          <w:rFonts w:hint="eastAsia" w:ascii="仿宋_GB2312"/>
          <w:bCs/>
          <w:lang w:eastAsia="zh-CN"/>
        </w:rPr>
        <w:t>（</w:t>
      </w:r>
      <w:r>
        <w:rPr>
          <w:rFonts w:hint="eastAsia" w:ascii="仿宋_GB2312"/>
          <w:bCs/>
          <w:lang w:val="en-US" w:eastAsia="zh-CN"/>
        </w:rPr>
        <w:t>1）通过对每亩145元的资金补贴，极大调动了养殖户的积极性，为我县草食家畜养殖打下良好基础。</w:t>
      </w:r>
    </w:p>
    <w:p>
      <w:pPr>
        <w:pStyle w:val="45"/>
        <w:ind w:left="1134" w:leftChars="405" w:firstLine="0" w:firstLineChars="0"/>
        <w:rPr>
          <w:rFonts w:ascii="仿宋_GB2312"/>
          <w:bCs/>
        </w:rPr>
      </w:pPr>
    </w:p>
    <w:p>
      <w:pPr>
        <w:pStyle w:val="45"/>
        <w:numPr>
          <w:ilvl w:val="0"/>
          <w:numId w:val="1"/>
        </w:numPr>
        <w:ind w:left="700" w:leftChars="250" w:firstLineChars="0"/>
        <w:rPr>
          <w:rFonts w:ascii="仿宋_GB2312"/>
          <w:b/>
        </w:rPr>
      </w:pPr>
      <w:r>
        <w:rPr>
          <w:rFonts w:hint="eastAsia" w:ascii="仿宋_GB2312"/>
          <w:b/>
        </w:rPr>
        <w:t>满意度情况及分析</w:t>
      </w:r>
    </w:p>
    <w:p>
      <w:pPr>
        <w:pStyle w:val="45"/>
        <w:rPr>
          <w:rFonts w:hint="default" w:ascii="仿宋_GB2312" w:eastAsia="仿宋_GB2312"/>
          <w:bCs/>
          <w:lang w:val="en-US" w:eastAsia="zh-CN"/>
        </w:rPr>
      </w:pPr>
      <w:r>
        <w:rPr>
          <w:rFonts w:hint="eastAsia" w:ascii="仿宋_GB2312"/>
          <w:bCs/>
          <w:lang w:eastAsia="zh-CN"/>
        </w:rPr>
        <w:t>该项目通过实施、验收、公示等程序，</w:t>
      </w:r>
      <w:r>
        <w:rPr>
          <w:rFonts w:hint="eastAsia" w:ascii="仿宋_GB2312"/>
          <w:bCs/>
          <w:lang w:val="en-US" w:eastAsia="zh-CN"/>
        </w:rPr>
        <w:t>95%以上的农户对该项目表示满意。</w:t>
      </w:r>
    </w:p>
    <w:p>
      <w:pPr>
        <w:pStyle w:val="53"/>
      </w:pPr>
      <w:bookmarkStart w:id="12" w:name="_Toc61505647"/>
      <w:r>
        <w:rPr>
          <w:rFonts w:hint="eastAsia" w:ascii="仿宋" w:hAnsi="仿宋" w:eastAsia="仿宋" w:cs="仿宋"/>
          <w:b/>
          <w:bCs w:val="0"/>
        </w:rPr>
        <w:t>四、项目主要经验做法</w:t>
      </w:r>
      <w:bookmarkEnd w:id="12"/>
      <w:r>
        <w:t xml:space="preserve"> </w:t>
      </w:r>
    </w:p>
    <w:p>
      <w:pPr>
        <w:numPr>
          <w:ilvl w:val="0"/>
          <w:numId w:val="2"/>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结合我县实际情况，制定实施方案，动员部署，广泛宣传，提高养殖户对粮改饲补贴政策的知晓率。</w:t>
      </w:r>
    </w:p>
    <w:p>
      <w:pPr>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成立项目验收领导组，按照公正、严谨、准确、及时的原则进行验收，确保项目资金发挥应有的效果。</w:t>
      </w:r>
    </w:p>
    <w:p>
      <w:pPr>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张榜公示，接受群众和社会监督，确保实施项目经得起考验。</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4、资料分类整理存档，随时接受相关部门查验，执行</w:t>
      </w:r>
      <w:r>
        <w:rPr>
          <w:rFonts w:hint="eastAsia" w:ascii="仿宋_GB2312" w:hAnsi="仿宋_GB2312" w:eastAsia="仿宋_GB2312" w:cs="仿宋_GB2312"/>
          <w:i w:val="0"/>
          <w:caps w:val="0"/>
          <w:color w:val="191919"/>
          <w:spacing w:val="0"/>
          <w:sz w:val="32"/>
          <w:szCs w:val="32"/>
          <w:shd w:val="clear" w:fill="FFFFFF"/>
        </w:rPr>
        <w:t>考核</w:t>
      </w:r>
      <w:r>
        <w:rPr>
          <w:rFonts w:hint="eastAsia" w:ascii="仿宋_GB2312" w:hAnsi="仿宋_GB2312" w:eastAsia="仿宋_GB2312" w:cs="仿宋_GB2312"/>
          <w:i w:val="0"/>
          <w:caps w:val="0"/>
          <w:color w:val="191919"/>
          <w:spacing w:val="0"/>
          <w:sz w:val="32"/>
          <w:szCs w:val="32"/>
          <w:shd w:val="clear" w:fill="FFFFFF"/>
          <w:lang w:eastAsia="zh-CN"/>
        </w:rPr>
        <w:t>与</w:t>
      </w:r>
      <w:r>
        <w:rPr>
          <w:rFonts w:hint="eastAsia" w:ascii="仿宋_GB2312" w:hAnsi="仿宋_GB2312" w:eastAsia="仿宋_GB2312" w:cs="仿宋_GB2312"/>
          <w:i w:val="0"/>
          <w:caps w:val="0"/>
          <w:color w:val="191919"/>
          <w:spacing w:val="0"/>
          <w:sz w:val="32"/>
          <w:szCs w:val="32"/>
          <w:shd w:val="clear" w:fill="FFFFFF"/>
        </w:rPr>
        <w:t>责任</w:t>
      </w:r>
      <w:r>
        <w:rPr>
          <w:rFonts w:hint="eastAsia" w:ascii="仿宋_GB2312" w:hAnsi="仿宋_GB2312" w:eastAsia="仿宋_GB2312" w:cs="仿宋_GB2312"/>
          <w:i w:val="0"/>
          <w:caps w:val="0"/>
          <w:color w:val="191919"/>
          <w:spacing w:val="0"/>
          <w:sz w:val="32"/>
          <w:szCs w:val="32"/>
          <w:shd w:val="clear" w:fill="FFFFFF"/>
          <w:lang w:eastAsia="zh-CN"/>
        </w:rPr>
        <w:t>双重</w:t>
      </w:r>
      <w:r>
        <w:rPr>
          <w:rFonts w:hint="eastAsia" w:ascii="仿宋_GB2312" w:hAnsi="仿宋_GB2312" w:eastAsia="仿宋_GB2312" w:cs="仿宋_GB2312"/>
          <w:i w:val="0"/>
          <w:caps w:val="0"/>
          <w:color w:val="191919"/>
          <w:spacing w:val="0"/>
          <w:sz w:val="32"/>
          <w:szCs w:val="32"/>
          <w:shd w:val="clear" w:fill="FFFFFF"/>
        </w:rPr>
        <w:t>机制</w:t>
      </w:r>
      <w:r>
        <w:rPr>
          <w:rFonts w:hint="eastAsia" w:ascii="仿宋_GB2312" w:hAnsi="仿宋_GB2312" w:eastAsia="仿宋_GB2312" w:cs="仿宋_GB2312"/>
          <w:i w:val="0"/>
          <w:caps w:val="0"/>
          <w:color w:val="191919"/>
          <w:spacing w:val="0"/>
          <w:sz w:val="32"/>
          <w:szCs w:val="32"/>
          <w:shd w:val="clear" w:fill="FFFFFF"/>
          <w:lang w:eastAsia="zh-CN"/>
        </w:rPr>
        <w:t>。</w:t>
      </w:r>
    </w:p>
    <w:p>
      <w:pPr>
        <w:pStyle w:val="45"/>
        <w:ind w:firstLine="840" w:firstLineChars="300"/>
      </w:pPr>
    </w:p>
    <w:bookmarkEnd w:id="17"/>
    <w:p>
      <w:pPr>
        <w:pStyle w:val="53"/>
        <w:numPr>
          <w:ilvl w:val="0"/>
          <w:numId w:val="3"/>
        </w:numPr>
        <w:rPr>
          <w:rFonts w:hint="eastAsia" w:ascii="仿宋" w:hAnsi="仿宋" w:eastAsia="仿宋" w:cs="仿宋"/>
          <w:b/>
          <w:bCs w:val="0"/>
        </w:rPr>
      </w:pPr>
      <w:bookmarkStart w:id="13" w:name="_Toc61505648"/>
      <w:r>
        <w:rPr>
          <w:rFonts w:hint="eastAsia" w:ascii="仿宋" w:hAnsi="仿宋" w:eastAsia="仿宋" w:cs="仿宋"/>
          <w:b/>
          <w:bCs w:val="0"/>
        </w:rPr>
        <w:t>项目管理中存在问题及原因分析</w:t>
      </w:r>
      <w:bookmarkEnd w:id="13"/>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上级部门下发资金批复文件较迟，对于县级部门不好动员养殖户种植饲草面积，从而错过最佳播种时间节点，建议在每年的3月15日前下发实施文件。</w:t>
      </w:r>
      <w:r>
        <w:rPr>
          <w:rFonts w:hint="eastAsia" w:asciiTheme="minorEastAsia" w:hAnsiTheme="minorEastAsia" w:cstheme="minorEastAsia"/>
          <w:i w:val="0"/>
          <w:caps w:val="0"/>
          <w:color w:val="323232"/>
          <w:spacing w:val="0"/>
          <w:sz w:val="28"/>
          <w:szCs w:val="28"/>
          <w:shd w:val="clear" w:fill="FFFFFF"/>
          <w:lang w:val="en-US" w:eastAsia="zh-CN"/>
        </w:rPr>
        <w:t xml:space="preserve"> </w:t>
      </w:r>
    </w:p>
    <w:p>
      <w:pPr>
        <w:pStyle w:val="53"/>
        <w:numPr>
          <w:ilvl w:val="0"/>
          <w:numId w:val="3"/>
        </w:numPr>
        <w:ind w:left="0" w:leftChars="0" w:firstLine="0" w:firstLineChars="0"/>
        <w:rPr>
          <w:rFonts w:hint="eastAsia" w:ascii="仿宋" w:hAnsi="仿宋" w:eastAsia="仿宋" w:cs="仿宋"/>
          <w:b/>
          <w:bCs w:val="0"/>
        </w:rPr>
      </w:pPr>
      <w:bookmarkStart w:id="14" w:name="_Toc61505649"/>
      <w:r>
        <w:rPr>
          <w:rFonts w:hint="eastAsia" w:ascii="仿宋" w:hAnsi="仿宋" w:eastAsia="仿宋" w:cs="仿宋"/>
          <w:b/>
          <w:bCs w:val="0"/>
        </w:rPr>
        <w:t>进一步加强项目管理措施及建议</w:t>
      </w:r>
      <w:bookmarkEnd w:id="14"/>
    </w:p>
    <w:p>
      <w:pPr>
        <w:numPr>
          <w:ilvl w:val="0"/>
          <w:numId w:val="4"/>
        </w:numPr>
        <w:ind w:firstLine="560" w:firstLineChars="200"/>
        <w:rPr>
          <w:rFonts w:hint="eastAsia" w:ascii="仿宋_GB2312" w:hAnsi="仿宋_GB2312" w:eastAsia="仿宋_GB2312" w:cs="仿宋_GB2312"/>
          <w:b w:val="0"/>
          <w:bCs w:val="0"/>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加大补贴力度，激发养殖场（户）种草积极性。</w:t>
      </w:r>
    </w:p>
    <w:p>
      <w:pPr>
        <w:numPr>
          <w:ilvl w:val="0"/>
          <w:numId w:val="4"/>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补贴政策的延续性，建议上级部门长期执行，确保牛、羊肉自给自足。</w:t>
      </w:r>
    </w:p>
    <w:p>
      <w:pPr>
        <w:pStyle w:val="45"/>
        <w:numPr>
          <w:ilvl w:val="0"/>
          <w:numId w:val="0"/>
        </w:numPr>
        <w:ind w:leftChars="0"/>
        <w:rPr>
          <w:rFonts w:hint="default" w:eastAsia="仿宋_GB2312"/>
          <w:lang w:val="en-US" w:eastAsia="zh-CN"/>
        </w:rPr>
      </w:pPr>
    </w:p>
    <w:p>
      <w:pPr>
        <w:pStyle w:val="45"/>
        <w:ind w:firstLine="560"/>
        <w:sectPr>
          <w:footerReference r:id="rId9" w:type="default"/>
          <w:pgSz w:w="16838" w:h="11906" w:orient="landscape"/>
          <w:pgMar w:top="1800" w:right="1440" w:bottom="1800" w:left="1440" w:header="851" w:footer="992" w:gutter="0"/>
          <w:pgNumType w:start="1"/>
          <w:cols w:space="425" w:num="1"/>
          <w:docGrid w:type="lines" w:linePitch="381" w:charSpace="0"/>
        </w:sectPr>
      </w:pPr>
    </w:p>
    <w:p>
      <w:pPr>
        <w:pStyle w:val="53"/>
        <w:rPr>
          <w:rFonts w:ascii="仿宋" w:hAnsi="仿宋" w:eastAsia="仿宋" w:cs="仿宋"/>
          <w:b/>
          <w:bCs w:val="0"/>
        </w:rPr>
      </w:pPr>
      <w:bookmarkStart w:id="15" w:name="_Toc61505650"/>
      <w:r>
        <w:rPr>
          <w:rFonts w:hint="eastAsia" w:ascii="仿宋" w:hAnsi="仿宋" w:eastAsia="仿宋" w:cs="仿宋"/>
          <w:b/>
          <w:bCs w:val="0"/>
        </w:rPr>
        <w:t>附件</w:t>
      </w:r>
      <w:r>
        <w:rPr>
          <w:rFonts w:ascii="仿宋" w:hAnsi="仿宋" w:eastAsia="仿宋" w:cs="仿宋"/>
          <w:b/>
          <w:bCs w:val="0"/>
        </w:rPr>
        <w:t>1.</w:t>
      </w:r>
      <w:r>
        <w:rPr>
          <w:rFonts w:hint="eastAsia" w:ascii="仿宋" w:hAnsi="仿宋" w:eastAsia="仿宋" w:cs="仿宋"/>
          <w:b/>
          <w:bCs w:val="0"/>
        </w:rPr>
        <w:t>项目支出绩效自评表</w:t>
      </w:r>
      <w:bookmarkEnd w:id="15"/>
    </w:p>
    <w:p>
      <w:pPr>
        <w:ind w:firstLine="560"/>
      </w:pPr>
    </w:p>
    <w:tbl>
      <w:tblPr>
        <w:tblStyle w:val="25"/>
        <w:tblW w:w="14063" w:type="dxa"/>
        <w:tblInd w:w="5" w:type="dxa"/>
        <w:tblLayout w:type="fixed"/>
        <w:tblCellMar>
          <w:top w:w="0" w:type="dxa"/>
          <w:left w:w="0" w:type="dxa"/>
          <w:bottom w:w="0" w:type="dxa"/>
          <w:right w:w="0" w:type="dxa"/>
        </w:tblCellMar>
      </w:tblPr>
      <w:tblGrid>
        <w:gridCol w:w="1754"/>
        <w:gridCol w:w="1843"/>
        <w:gridCol w:w="1819"/>
        <w:gridCol w:w="840"/>
        <w:gridCol w:w="1188"/>
        <w:gridCol w:w="1487"/>
        <w:gridCol w:w="1328"/>
        <w:gridCol w:w="1276"/>
        <w:gridCol w:w="2528"/>
      </w:tblGrid>
      <w:tr>
        <w:tblPrEx>
          <w:tblCellMar>
            <w:top w:w="0" w:type="dxa"/>
            <w:left w:w="0" w:type="dxa"/>
            <w:bottom w:w="0" w:type="dxa"/>
            <w:right w:w="0" w:type="dxa"/>
          </w:tblCellMar>
        </w:tblPrEx>
        <w:trPr>
          <w:trHeight w:val="375" w:hRule="atLeast"/>
        </w:trPr>
        <w:tc>
          <w:tcPr>
            <w:tcW w:w="14063" w:type="dxa"/>
            <w:gridSpan w:val="9"/>
            <w:tcBorders>
              <w:top w:val="single" w:color="000000" w:sz="4" w:space="0"/>
              <w:left w:val="single" w:color="000000" w:sz="4" w:space="0"/>
              <w:bottom w:val="single" w:color="000000" w:sz="4" w:space="0"/>
              <w:right w:val="single" w:color="000000" w:sz="4" w:space="0"/>
            </w:tcBorders>
            <w:shd w:val="clear" w:color="000000" w:fill="C0C0C0"/>
          </w:tcPr>
          <w:p>
            <w:pPr>
              <w:ind w:firstLine="562"/>
              <w:jc w:val="center"/>
              <w:rPr>
                <w:rFonts w:ascii="黑体" w:hAnsi="Arial" w:eastAsia="黑体" w:cs="Arial"/>
                <w:b/>
                <w:bCs/>
                <w:szCs w:val="28"/>
              </w:rPr>
            </w:pPr>
            <w:r>
              <w:rPr>
                <w:rFonts w:hint="eastAsia" w:ascii="仿宋" w:hAnsi="仿宋" w:eastAsia="仿宋" w:cs="仿宋"/>
                <w:b/>
              </w:rPr>
              <w:t>附件</w:t>
            </w:r>
            <w:r>
              <w:rPr>
                <w:rFonts w:ascii="仿宋" w:hAnsi="仿宋" w:eastAsia="仿宋" w:cs="仿宋"/>
                <w:b/>
              </w:rPr>
              <w:t>1.</w:t>
            </w:r>
            <w:r>
              <w:rPr>
                <w:rFonts w:hint="eastAsia" w:ascii="仿宋" w:hAnsi="仿宋" w:eastAsia="仿宋" w:cs="仿宋"/>
                <w:b/>
              </w:rPr>
              <w:t>项目支出绩效自评表</w:t>
            </w:r>
          </w:p>
        </w:tc>
      </w:tr>
      <w:tr>
        <w:tblPrEx>
          <w:tblCellMar>
            <w:top w:w="0" w:type="dxa"/>
            <w:left w:w="0" w:type="dxa"/>
            <w:bottom w:w="0" w:type="dxa"/>
            <w:right w:w="0" w:type="dxa"/>
          </w:tblCellMar>
        </w:tblPrEx>
        <w:trPr>
          <w:trHeight w:val="613" w:hRule="atLeast"/>
        </w:trPr>
        <w:tc>
          <w:tcPr>
            <w:tcW w:w="1754" w:type="dxa"/>
            <w:tcBorders>
              <w:top w:val="nil"/>
              <w:left w:val="single" w:color="000000" w:sz="4" w:space="0"/>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一级指标</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二级指标</w:t>
            </w:r>
          </w:p>
        </w:tc>
        <w:tc>
          <w:tcPr>
            <w:tcW w:w="1819"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目标指标</w:t>
            </w:r>
          </w:p>
        </w:tc>
        <w:tc>
          <w:tcPr>
            <w:tcW w:w="84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权重</w:t>
            </w:r>
          </w:p>
        </w:tc>
        <w:tc>
          <w:tcPr>
            <w:tcW w:w="118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目标值</w:t>
            </w:r>
          </w:p>
        </w:tc>
        <w:tc>
          <w:tcPr>
            <w:tcW w:w="1487" w:type="dxa"/>
            <w:tcBorders>
              <w:top w:val="nil"/>
              <w:left w:val="nil"/>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业绩值</w:t>
            </w:r>
          </w:p>
        </w:tc>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完成率</w:t>
            </w:r>
          </w:p>
        </w:tc>
        <w:tc>
          <w:tcPr>
            <w:tcW w:w="1276"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指标得分</w:t>
            </w:r>
          </w:p>
        </w:tc>
        <w:tc>
          <w:tcPr>
            <w:tcW w:w="25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偏差原因分析及改进措施</w:t>
            </w: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96.9%</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96.90%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9.69</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资金有剩余</w:t>
            </w: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产出指标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粮改饲完成亩数</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0.72</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0.6977万亩</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96.90%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14.54</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已应补尽补</w:t>
            </w: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青贮饲料合格率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98</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98%</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饲料保存期</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1年</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每亩补助金额</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145元</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效益指标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保障养殖的饲料供应</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提高肉产品的供应</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保障养殖户的饲料供应时间</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1年</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满意度指标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养殖户的满意度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289" w:hRule="atLeast"/>
        </w:trPr>
        <w:tc>
          <w:tcPr>
            <w:tcW w:w="1754" w:type="dxa"/>
            <w:tcBorders>
              <w:top w:val="single" w:color="000000" w:sz="4" w:space="0"/>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843" w:type="dxa"/>
            <w:tcBorders>
              <w:top w:val="single" w:color="auto" w:sz="4" w:space="0"/>
              <w:bottom w:val="single" w:color="000000" w:sz="4" w:space="0"/>
              <w:right w:val="nil"/>
            </w:tcBorders>
          </w:tcPr>
          <w:p>
            <w:pPr>
              <w:ind w:firstLine="440"/>
              <w:rPr>
                <w:rFonts w:ascii="仿宋_GB2312" w:hAnsi="Arial" w:cs="Arial"/>
                <w:sz w:val="22"/>
              </w:rPr>
            </w:pPr>
          </w:p>
        </w:tc>
        <w:tc>
          <w:tcPr>
            <w:tcW w:w="1819"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840"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18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487"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328" w:type="dxa"/>
            <w:tcBorders>
              <w:top w:val="single" w:color="auto" w:sz="4" w:space="0"/>
              <w:left w:val="nil"/>
              <w:bottom w:val="single" w:color="000000" w:sz="4" w:space="0"/>
              <w:right w:val="nil"/>
            </w:tcBorders>
          </w:tcPr>
          <w:p>
            <w:pPr>
              <w:ind w:firstLine="440"/>
              <w:rPr>
                <w:rFonts w:ascii="仿宋_GB2312" w:hAnsi="Arial" w:cs="Arial"/>
                <w:sz w:val="22"/>
              </w:rPr>
            </w:pPr>
          </w:p>
        </w:tc>
        <w:tc>
          <w:tcPr>
            <w:tcW w:w="1276"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252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r>
      <w:tr>
        <w:trPr>
          <w:hidden/>
        </w:trPr>
        <w:tc>
          <w:tcPr>
            <w:tcW w:w="1754"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843" w:type="dxa"/>
            <w:tcBorders>
              <w:top w:val="nil"/>
              <w:left w:val="nil"/>
              <w:bottom w:val="nil"/>
              <w:right w:val="nil"/>
            </w:tcBorders>
          </w:tcPr>
          <w:p>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328" w:type="dxa"/>
            <w:tcBorders>
              <w:top w:val="nil"/>
              <w:left w:val="nil"/>
              <w:bottom w:val="nil"/>
              <w:right w:val="nil"/>
            </w:tcBorders>
          </w:tcPr>
          <w:p>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r>
    </w:tbl>
    <w:p>
      <w:pPr>
        <w:pStyle w:val="45"/>
        <w:ind w:firstLine="560"/>
        <w:sectPr>
          <w:footerReference r:id="rId10" w:type="default"/>
          <w:pgSz w:w="16838" w:h="11906" w:orient="landscape"/>
          <w:pgMar w:top="1800" w:right="1440" w:bottom="1800" w:left="1440" w:header="851" w:footer="992" w:gutter="0"/>
          <w:pgNumType w:start="1"/>
          <w:cols w:space="425" w:num="1"/>
          <w:docGrid w:type="lines" w:linePitch="381" w:charSpace="0"/>
        </w:sectPr>
      </w:pPr>
    </w:p>
    <w:p>
      <w:pPr>
        <w:pStyle w:val="53"/>
        <w:rPr>
          <w:rFonts w:ascii="仿宋" w:hAnsi="仿宋" w:eastAsia="仿宋" w:cs="仿宋"/>
          <w:b/>
          <w:bCs w:val="0"/>
        </w:rPr>
      </w:pPr>
      <w:bookmarkStart w:id="16" w:name="_Toc61505651"/>
      <w:r>
        <w:rPr>
          <w:rFonts w:hint="eastAsia" w:ascii="仿宋" w:hAnsi="仿宋" w:eastAsia="仿宋" w:cs="仿宋"/>
          <w:b/>
          <w:bCs w:val="0"/>
        </w:rPr>
        <w:t>附件</w:t>
      </w:r>
      <w:r>
        <w:rPr>
          <w:rFonts w:ascii="仿宋" w:hAnsi="仿宋" w:eastAsia="仿宋" w:cs="仿宋"/>
          <w:b/>
          <w:bCs w:val="0"/>
        </w:rPr>
        <w:t>2.</w:t>
      </w:r>
      <w:r>
        <w:rPr>
          <w:rFonts w:hint="eastAsia" w:ascii="仿宋" w:hAnsi="仿宋" w:eastAsia="仿宋" w:cs="仿宋"/>
          <w:b/>
          <w:bCs w:val="0"/>
        </w:rPr>
        <w:t>绩效自评相关资料</w:t>
      </w:r>
      <w:bookmarkEnd w:id="16"/>
    </w:p>
    <w:tbl>
      <w:tblPr>
        <w:tblStyle w:val="25"/>
        <w:tblW w:w="12100" w:type="dxa"/>
        <w:jc w:val="center"/>
        <w:tblLayout w:type="autofit"/>
        <w:tblCellMar>
          <w:top w:w="0" w:type="dxa"/>
          <w:left w:w="0" w:type="dxa"/>
          <w:bottom w:w="0" w:type="dxa"/>
          <w:right w:w="0" w:type="dxa"/>
        </w:tblCellMar>
      </w:tblPr>
      <w:tblGrid>
        <w:gridCol w:w="12100"/>
      </w:tblGrid>
      <w:tr>
        <w:tblPrEx>
          <w:tblCellMar>
            <w:top w:w="0" w:type="dxa"/>
            <w:left w:w="0" w:type="dxa"/>
            <w:bottom w:w="0" w:type="dxa"/>
            <w:right w:w="0" w:type="dxa"/>
          </w:tblCellMar>
        </w:tblPrEx>
        <w:trPr>
          <w:trHeight w:val="375" w:hRule="atLeast"/>
          <w:jc w:val="center"/>
        </w:trPr>
        <w:tc>
          <w:tcPr>
            <w:tcW w:w="12100" w:type="dxa"/>
            <w:tcBorders>
              <w:top w:val="single" w:color="000000" w:sz="4" w:space="0"/>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pPr>
              <w:ind w:firstLine="562"/>
              <w:jc w:val="center"/>
              <w:rPr>
                <w:rFonts w:ascii="黑体" w:hAnsi="Arial" w:eastAsia="黑体" w:cs="Arial"/>
                <w:b/>
                <w:bCs/>
                <w:szCs w:val="28"/>
              </w:rPr>
            </w:pPr>
            <w:r>
              <w:rPr>
                <w:rFonts w:hint="eastAsia" w:ascii="仿宋" w:hAnsi="仿宋" w:eastAsia="仿宋" w:cs="仿宋"/>
                <w:b/>
                <w:bCs/>
                <w:szCs w:val="28"/>
              </w:rPr>
              <w:t>附件</w:t>
            </w:r>
            <w:r>
              <w:rPr>
                <w:rFonts w:ascii="仿宋" w:hAnsi="仿宋" w:eastAsia="仿宋" w:cs="仿宋"/>
                <w:b/>
                <w:bCs/>
                <w:szCs w:val="28"/>
              </w:rPr>
              <w:t>2.</w:t>
            </w:r>
            <w:r>
              <w:rPr>
                <w:rFonts w:hint="eastAsia" w:ascii="仿宋" w:hAnsi="仿宋" w:eastAsia="仿宋" w:cs="仿宋"/>
                <w:b/>
                <w:bCs/>
                <w:szCs w:val="28"/>
              </w:rPr>
              <w:t>绩效自评相关资料</w:t>
            </w:r>
          </w:p>
        </w:tc>
      </w:tr>
      <w:tr>
        <w:tblPrEx>
          <w:tblCellMar>
            <w:top w:w="0" w:type="dxa"/>
            <w:left w:w="0" w:type="dxa"/>
            <w:bottom w:w="0" w:type="dxa"/>
            <w:right w:w="0" w:type="dxa"/>
          </w:tblCellMar>
        </w:tblPrEx>
        <w:trPr>
          <w:trHeight w:val="5267" w:hRule="atLeast"/>
          <w:jc w:val="center"/>
        </w:trPr>
        <w:tc>
          <w:tcPr>
            <w:tcW w:w="1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562"/>
              <w:jc w:val="center"/>
              <w:rPr>
                <w:rFonts w:ascii="仿宋" w:hAnsi="仿宋" w:eastAsia="仿宋" w:cs="仿宋"/>
                <w:b/>
                <w:bCs/>
                <w:szCs w:val="28"/>
              </w:rPr>
            </w:pPr>
          </w:p>
        </w:tc>
      </w:tr>
    </w:tbl>
    <w:p>
      <w:pPr>
        <w:ind w:firstLine="0" w:firstLineChars="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7</w:t>
    </w:r>
    <w:r>
      <w:rPr>
        <w:lang w:val="zh-CN"/>
      </w:rPr>
      <w:fldChar w:fldCharType="end"/>
    </w:r>
  </w:p>
  <w:p>
    <w:pPr>
      <w:pStyle w:val="16"/>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6B7F8"/>
    <w:multiLevelType w:val="singleLevel"/>
    <w:tmpl w:val="A1B6B7F8"/>
    <w:lvl w:ilvl="0" w:tentative="0">
      <w:start w:val="1"/>
      <w:numFmt w:val="decimal"/>
      <w:suff w:val="nothing"/>
      <w:lvlText w:val="%1、"/>
      <w:lvlJc w:val="left"/>
    </w:lvl>
  </w:abstractNum>
  <w:abstractNum w:abstractNumId="1">
    <w:nsid w:val="E3B53022"/>
    <w:multiLevelType w:val="singleLevel"/>
    <w:tmpl w:val="E3B53022"/>
    <w:lvl w:ilvl="0" w:tentative="0">
      <w:start w:val="1"/>
      <w:numFmt w:val="decimal"/>
      <w:lvlText w:val="%1."/>
      <w:lvlJc w:val="left"/>
      <w:pPr>
        <w:ind w:left="425" w:hanging="425"/>
      </w:pPr>
      <w:rPr>
        <w:rFonts w:hint="default" w:cs="Times New Roman"/>
      </w:rPr>
    </w:lvl>
  </w:abstractNum>
  <w:abstractNum w:abstractNumId="2">
    <w:nsid w:val="E4FCD46A"/>
    <w:multiLevelType w:val="singleLevel"/>
    <w:tmpl w:val="E4FCD46A"/>
    <w:lvl w:ilvl="0" w:tentative="0">
      <w:start w:val="1"/>
      <w:numFmt w:val="decimal"/>
      <w:suff w:val="nothing"/>
      <w:lvlText w:val="%1、"/>
      <w:lvlJc w:val="left"/>
    </w:lvl>
  </w:abstractNum>
  <w:abstractNum w:abstractNumId="3">
    <w:nsid w:val="60351193"/>
    <w:multiLevelType w:val="singleLevel"/>
    <w:tmpl w:val="60351193"/>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7B7"/>
    <w:rsid w:val="000122EB"/>
    <w:rsid w:val="000142C9"/>
    <w:rsid w:val="00027C90"/>
    <w:rsid w:val="000805D6"/>
    <w:rsid w:val="00080DE2"/>
    <w:rsid w:val="0009606F"/>
    <w:rsid w:val="000A2B0D"/>
    <w:rsid w:val="000C6D57"/>
    <w:rsid w:val="000E044C"/>
    <w:rsid w:val="001028E5"/>
    <w:rsid w:val="001507B7"/>
    <w:rsid w:val="00156586"/>
    <w:rsid w:val="00170CA4"/>
    <w:rsid w:val="0017285F"/>
    <w:rsid w:val="001A3CD2"/>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E0FDB"/>
    <w:rsid w:val="00542BD3"/>
    <w:rsid w:val="00543E44"/>
    <w:rsid w:val="00576C00"/>
    <w:rsid w:val="00593D5E"/>
    <w:rsid w:val="005A080E"/>
    <w:rsid w:val="005A3D0F"/>
    <w:rsid w:val="005B1DE6"/>
    <w:rsid w:val="005B7922"/>
    <w:rsid w:val="005E4265"/>
    <w:rsid w:val="005E7218"/>
    <w:rsid w:val="00614D76"/>
    <w:rsid w:val="006314F7"/>
    <w:rsid w:val="006475F4"/>
    <w:rsid w:val="00651C0F"/>
    <w:rsid w:val="00656B37"/>
    <w:rsid w:val="006570A5"/>
    <w:rsid w:val="00690F0F"/>
    <w:rsid w:val="006A3C55"/>
    <w:rsid w:val="006E330B"/>
    <w:rsid w:val="006F17DD"/>
    <w:rsid w:val="00700951"/>
    <w:rsid w:val="00734FBB"/>
    <w:rsid w:val="00795EE4"/>
    <w:rsid w:val="007A0274"/>
    <w:rsid w:val="007B18A7"/>
    <w:rsid w:val="007B29FC"/>
    <w:rsid w:val="007F5D03"/>
    <w:rsid w:val="00805ED9"/>
    <w:rsid w:val="00843FC2"/>
    <w:rsid w:val="00844C16"/>
    <w:rsid w:val="00850D03"/>
    <w:rsid w:val="00872799"/>
    <w:rsid w:val="0089335B"/>
    <w:rsid w:val="00893ADD"/>
    <w:rsid w:val="008B49C9"/>
    <w:rsid w:val="008B6A5F"/>
    <w:rsid w:val="008C2871"/>
    <w:rsid w:val="008C72AA"/>
    <w:rsid w:val="008F371F"/>
    <w:rsid w:val="00910324"/>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92A0A"/>
    <w:rsid w:val="00AA568B"/>
    <w:rsid w:val="00AB0F1D"/>
    <w:rsid w:val="00AC2951"/>
    <w:rsid w:val="00AD64A8"/>
    <w:rsid w:val="00B0412B"/>
    <w:rsid w:val="00B21080"/>
    <w:rsid w:val="00B31ECA"/>
    <w:rsid w:val="00B43815"/>
    <w:rsid w:val="00B52EBA"/>
    <w:rsid w:val="00B535AB"/>
    <w:rsid w:val="00B64666"/>
    <w:rsid w:val="00B8092D"/>
    <w:rsid w:val="00B81BE0"/>
    <w:rsid w:val="00B85A2B"/>
    <w:rsid w:val="00B9323C"/>
    <w:rsid w:val="00BC2B39"/>
    <w:rsid w:val="00BC42DD"/>
    <w:rsid w:val="00BD346F"/>
    <w:rsid w:val="00C24C26"/>
    <w:rsid w:val="00C25722"/>
    <w:rsid w:val="00C372D2"/>
    <w:rsid w:val="00C44067"/>
    <w:rsid w:val="00CA22A5"/>
    <w:rsid w:val="00CA34FC"/>
    <w:rsid w:val="00CA50DE"/>
    <w:rsid w:val="00CD128E"/>
    <w:rsid w:val="00CE5BDA"/>
    <w:rsid w:val="00CF39E1"/>
    <w:rsid w:val="00CF51F1"/>
    <w:rsid w:val="00D01733"/>
    <w:rsid w:val="00D71919"/>
    <w:rsid w:val="00D90DEA"/>
    <w:rsid w:val="00D97E83"/>
    <w:rsid w:val="00DC184E"/>
    <w:rsid w:val="00E11E0B"/>
    <w:rsid w:val="00E56E53"/>
    <w:rsid w:val="00E609AE"/>
    <w:rsid w:val="00E750BD"/>
    <w:rsid w:val="00E91A08"/>
    <w:rsid w:val="00E965D1"/>
    <w:rsid w:val="00EB4620"/>
    <w:rsid w:val="00EC43B2"/>
    <w:rsid w:val="00F03519"/>
    <w:rsid w:val="00F03929"/>
    <w:rsid w:val="00F060C7"/>
    <w:rsid w:val="00F068F7"/>
    <w:rsid w:val="00F14561"/>
    <w:rsid w:val="00F25650"/>
    <w:rsid w:val="00F45162"/>
    <w:rsid w:val="00F5304C"/>
    <w:rsid w:val="00F870C6"/>
    <w:rsid w:val="00F92B58"/>
    <w:rsid w:val="00F96480"/>
    <w:rsid w:val="00FD0AF5"/>
    <w:rsid w:val="00FD3022"/>
    <w:rsid w:val="00FD64C8"/>
    <w:rsid w:val="00FE4A15"/>
    <w:rsid w:val="00FF6DAB"/>
    <w:rsid w:val="03E3499E"/>
    <w:rsid w:val="06CF2596"/>
    <w:rsid w:val="0B0117DF"/>
    <w:rsid w:val="0C37012A"/>
    <w:rsid w:val="0F100185"/>
    <w:rsid w:val="17C73BB3"/>
    <w:rsid w:val="17E87B41"/>
    <w:rsid w:val="195C5663"/>
    <w:rsid w:val="1B4F5D7F"/>
    <w:rsid w:val="20EC6625"/>
    <w:rsid w:val="262D1E21"/>
    <w:rsid w:val="29600502"/>
    <w:rsid w:val="296A19AB"/>
    <w:rsid w:val="2C77705F"/>
    <w:rsid w:val="2EA844C2"/>
    <w:rsid w:val="34FB1EBC"/>
    <w:rsid w:val="37C91D4D"/>
    <w:rsid w:val="384E148A"/>
    <w:rsid w:val="3B4C04BD"/>
    <w:rsid w:val="3C652023"/>
    <w:rsid w:val="408E2DC0"/>
    <w:rsid w:val="42AA2E91"/>
    <w:rsid w:val="478C6FA2"/>
    <w:rsid w:val="48B227B6"/>
    <w:rsid w:val="4DA40259"/>
    <w:rsid w:val="4DBB261C"/>
    <w:rsid w:val="54C834E9"/>
    <w:rsid w:val="56982A03"/>
    <w:rsid w:val="596040AB"/>
    <w:rsid w:val="5E2E73A5"/>
    <w:rsid w:val="5EAC3F67"/>
    <w:rsid w:val="654C2A37"/>
    <w:rsid w:val="67AB6E40"/>
    <w:rsid w:val="680769C1"/>
    <w:rsid w:val="69DE3307"/>
    <w:rsid w:val="6C5C6FFA"/>
    <w:rsid w:val="731A6202"/>
    <w:rsid w:val="7503540F"/>
    <w:rsid w:val="76916DC8"/>
    <w:rsid w:val="77FE6DDD"/>
    <w:rsid w:val="78ED0962"/>
    <w:rsid w:val="7A1A0C4A"/>
    <w:rsid w:val="7DF075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qFormat="1" w:unhideWhenUsed="0" w:uiPriority="99" w:semiHidden="0" w:name="toc 3"/>
    <w:lsdException w:unhideWhenUsed="0" w:uiPriority="99" w:semiHidden="0" w:name="toc 4"/>
    <w:lsdException w:qFormat="1"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3"/>
    <w:link w:val="30"/>
    <w:qFormat/>
    <w:uiPriority w:val="9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5">
    <w:name w:val="heading 2"/>
    <w:basedOn w:val="1"/>
    <w:next w:val="6"/>
    <w:link w:val="31"/>
    <w:qFormat/>
    <w:uiPriority w:val="9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7">
    <w:name w:val="heading 3"/>
    <w:basedOn w:val="1"/>
    <w:next w:val="1"/>
    <w:link w:val="32"/>
    <w:qFormat/>
    <w:uiPriority w:val="99"/>
    <w:pPr>
      <w:keepNext/>
      <w:keepLines/>
      <w:spacing w:before="260" w:after="260" w:line="416" w:lineRule="auto"/>
      <w:jc w:val="left"/>
      <w:outlineLvl w:val="2"/>
    </w:pPr>
    <w:rPr>
      <w:rFonts w:cs="Times New Roman"/>
      <w:bCs/>
      <w:kern w:val="0"/>
      <w:szCs w:val="32"/>
    </w:rPr>
  </w:style>
  <w:style w:type="paragraph" w:styleId="8">
    <w:name w:val="heading 4"/>
    <w:basedOn w:val="1"/>
    <w:next w:val="1"/>
    <w:link w:val="33"/>
    <w:qFormat/>
    <w:uiPriority w:val="99"/>
    <w:pPr>
      <w:keepNext/>
      <w:keepLines/>
      <w:spacing w:before="280" w:after="290" w:line="376" w:lineRule="auto"/>
      <w:outlineLvl w:val="3"/>
    </w:pPr>
    <w:rPr>
      <w:rFonts w:ascii="Cambria" w:hAnsi="Cambria" w:eastAsia="宋体" w:cs="Times New Roman"/>
      <w:b/>
      <w:bCs/>
      <w:kern w:val="0"/>
      <w:szCs w:val="28"/>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37"/>
    <w:qFormat/>
    <w:uiPriority w:val="99"/>
    <w:pPr>
      <w:ind w:firstLine="420"/>
    </w:pPr>
  </w:style>
  <w:style w:type="paragraph" w:styleId="4">
    <w:name w:val="Body Text Indent"/>
    <w:basedOn w:val="1"/>
    <w:link w:val="36"/>
    <w:semiHidden/>
    <w:qFormat/>
    <w:uiPriority w:val="99"/>
    <w:pPr>
      <w:spacing w:after="120"/>
      <w:ind w:left="420" w:leftChars="200"/>
    </w:pPr>
    <w:rPr>
      <w:rFonts w:cs="Times New Roman"/>
      <w:kern w:val="0"/>
      <w:szCs w:val="20"/>
    </w:rPr>
  </w:style>
  <w:style w:type="paragraph" w:styleId="6">
    <w:name w:val="No Spacing"/>
    <w:link w:val="44"/>
    <w:qFormat/>
    <w:uiPriority w:val="99"/>
    <w:pPr>
      <w:widowControl w:val="0"/>
      <w:ind w:firstLine="600" w:firstLineChars="200"/>
      <w:jc w:val="both"/>
    </w:pPr>
    <w:rPr>
      <w:rFonts w:ascii="Calibri" w:hAnsi="Calibri" w:eastAsia="仿宋_GB2312" w:cs="Times New Roman"/>
      <w:kern w:val="0"/>
      <w:sz w:val="28"/>
      <w:szCs w:val="22"/>
      <w:lang w:val="en-US" w:eastAsia="zh-CN" w:bidi="ar-SA"/>
    </w:rPr>
  </w:style>
  <w:style w:type="paragraph" w:styleId="9">
    <w:name w:val="toc 7"/>
    <w:basedOn w:val="1"/>
    <w:next w:val="1"/>
    <w:qFormat/>
    <w:uiPriority w:val="99"/>
    <w:pPr>
      <w:ind w:left="1680"/>
      <w:jc w:val="left"/>
    </w:pPr>
    <w:rPr>
      <w:rFonts w:cs="Calibri"/>
      <w:sz w:val="18"/>
      <w:szCs w:val="18"/>
    </w:rPr>
  </w:style>
  <w:style w:type="paragraph" w:styleId="10">
    <w:name w:val="Document Map"/>
    <w:basedOn w:val="1"/>
    <w:link w:val="43"/>
    <w:semiHidden/>
    <w:qFormat/>
    <w:uiPriority w:val="99"/>
    <w:rPr>
      <w:rFonts w:ascii="宋体" w:eastAsia="宋体" w:cs="Times New Roman"/>
      <w:kern w:val="0"/>
      <w:sz w:val="18"/>
      <w:szCs w:val="18"/>
    </w:rPr>
  </w:style>
  <w:style w:type="paragraph" w:styleId="11">
    <w:name w:val="annotation text"/>
    <w:basedOn w:val="1"/>
    <w:link w:val="41"/>
    <w:semiHidden/>
    <w:qFormat/>
    <w:uiPriority w:val="99"/>
    <w:rPr>
      <w:rFonts w:cs="Times New Roman"/>
      <w:kern w:val="0"/>
      <w:sz w:val="20"/>
      <w:szCs w:val="20"/>
    </w:rPr>
  </w:style>
  <w:style w:type="paragraph" w:styleId="12">
    <w:name w:val="toc 5"/>
    <w:basedOn w:val="1"/>
    <w:next w:val="1"/>
    <w:qFormat/>
    <w:uiPriority w:val="99"/>
    <w:pPr>
      <w:ind w:left="1120"/>
      <w:jc w:val="left"/>
    </w:pPr>
    <w:rPr>
      <w:rFonts w:cs="Calibri"/>
      <w:sz w:val="18"/>
      <w:szCs w:val="18"/>
    </w:rPr>
  </w:style>
  <w:style w:type="paragraph" w:styleId="13">
    <w:name w:val="toc 3"/>
    <w:basedOn w:val="1"/>
    <w:next w:val="1"/>
    <w:qFormat/>
    <w:uiPriority w:val="99"/>
    <w:pPr>
      <w:ind w:left="560"/>
      <w:jc w:val="left"/>
    </w:pPr>
    <w:rPr>
      <w:rFonts w:cs="Calibri"/>
      <w:i/>
      <w:iCs/>
      <w:sz w:val="20"/>
      <w:szCs w:val="20"/>
    </w:rPr>
  </w:style>
  <w:style w:type="paragraph" w:styleId="14">
    <w:name w:val="toc 8"/>
    <w:basedOn w:val="1"/>
    <w:next w:val="1"/>
    <w:qFormat/>
    <w:uiPriority w:val="99"/>
    <w:pPr>
      <w:ind w:left="1960"/>
      <w:jc w:val="left"/>
    </w:pPr>
    <w:rPr>
      <w:rFonts w:cs="Calibri"/>
      <w:sz w:val="18"/>
      <w:szCs w:val="18"/>
    </w:rPr>
  </w:style>
  <w:style w:type="paragraph" w:styleId="15">
    <w:name w:val="Balloon Text"/>
    <w:basedOn w:val="1"/>
    <w:link w:val="39"/>
    <w:semiHidden/>
    <w:qFormat/>
    <w:uiPriority w:val="99"/>
    <w:rPr>
      <w:rFonts w:cs="Times New Roman"/>
      <w:kern w:val="0"/>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spacing w:before="120" w:after="120"/>
      <w:jc w:val="left"/>
    </w:pPr>
    <w:rPr>
      <w:rFonts w:cs="Calibri"/>
      <w:b/>
      <w:bCs/>
      <w:caps/>
      <w:sz w:val="20"/>
      <w:szCs w:val="20"/>
    </w:rPr>
  </w:style>
  <w:style w:type="paragraph" w:styleId="19">
    <w:name w:val="toc 4"/>
    <w:basedOn w:val="1"/>
    <w:next w:val="1"/>
    <w:uiPriority w:val="99"/>
    <w:pPr>
      <w:ind w:left="840"/>
      <w:jc w:val="left"/>
    </w:pPr>
    <w:rPr>
      <w:rFonts w:cs="Calibri"/>
      <w:sz w:val="18"/>
      <w:szCs w:val="18"/>
    </w:rPr>
  </w:style>
  <w:style w:type="paragraph" w:styleId="20">
    <w:name w:val="toc 6"/>
    <w:basedOn w:val="1"/>
    <w:next w:val="1"/>
    <w:uiPriority w:val="99"/>
    <w:pPr>
      <w:ind w:left="1400"/>
      <w:jc w:val="left"/>
    </w:pPr>
    <w:rPr>
      <w:rFonts w:cs="Calibri"/>
      <w:sz w:val="18"/>
      <w:szCs w:val="18"/>
    </w:rPr>
  </w:style>
  <w:style w:type="paragraph" w:styleId="21">
    <w:name w:val="toc 2"/>
    <w:basedOn w:val="1"/>
    <w:next w:val="1"/>
    <w:uiPriority w:val="99"/>
    <w:pPr>
      <w:ind w:left="280"/>
      <w:jc w:val="left"/>
    </w:pPr>
    <w:rPr>
      <w:rFonts w:cs="Calibri"/>
      <w:smallCaps/>
      <w:sz w:val="20"/>
      <w:szCs w:val="20"/>
    </w:rPr>
  </w:style>
  <w:style w:type="paragraph" w:styleId="22">
    <w:name w:val="toc 9"/>
    <w:basedOn w:val="1"/>
    <w:next w:val="1"/>
    <w:uiPriority w:val="99"/>
    <w:pPr>
      <w:ind w:left="2240"/>
      <w:jc w:val="left"/>
    </w:pPr>
    <w:rPr>
      <w:rFonts w:cs="Calibri"/>
      <w:sz w:val="18"/>
      <w:szCs w:val="18"/>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annotation subject"/>
    <w:basedOn w:val="11"/>
    <w:next w:val="11"/>
    <w:link w:val="42"/>
    <w:semiHidden/>
    <w:uiPriority w:val="99"/>
    <w:rPr>
      <w:b/>
      <w:bCs/>
    </w:rPr>
  </w:style>
  <w:style w:type="table" w:styleId="26">
    <w:name w:val="Table Grid"/>
    <w:basedOn w:val="25"/>
    <w:uiPriority w:val="99"/>
    <w:rPr>
      <w:rFonts w:ascii="Calibri" w:hAnsi="Calibri"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Hyperlink"/>
    <w:basedOn w:val="27"/>
    <w:uiPriority w:val="99"/>
    <w:rPr>
      <w:rFonts w:cs="Times New Roman"/>
      <w:color w:val="0000FF"/>
      <w:u w:val="single"/>
    </w:rPr>
  </w:style>
  <w:style w:type="character" w:styleId="29">
    <w:name w:val="annotation reference"/>
    <w:basedOn w:val="27"/>
    <w:semiHidden/>
    <w:uiPriority w:val="99"/>
    <w:rPr>
      <w:rFonts w:cs="Times New Roman"/>
      <w:sz w:val="16"/>
    </w:rPr>
  </w:style>
  <w:style w:type="character" w:customStyle="1" w:styleId="30">
    <w:name w:val="Heading 1 Char"/>
    <w:basedOn w:val="27"/>
    <w:link w:val="2"/>
    <w:locked/>
    <w:uiPriority w:val="99"/>
    <w:rPr>
      <w:rFonts w:ascii="Times New Roman" w:hAnsi="Times New Roman" w:eastAsia="仿宋_GB2312" w:cs="Times New Roman"/>
      <w:b/>
      <w:bCs/>
      <w:kern w:val="44"/>
      <w:sz w:val="44"/>
      <w:szCs w:val="44"/>
    </w:rPr>
  </w:style>
  <w:style w:type="character" w:customStyle="1" w:styleId="31">
    <w:name w:val="Heading 2 Char"/>
    <w:basedOn w:val="27"/>
    <w:link w:val="5"/>
    <w:qFormat/>
    <w:locked/>
    <w:uiPriority w:val="99"/>
    <w:rPr>
      <w:rFonts w:ascii="Cambria" w:hAnsi="Cambria" w:eastAsia="仿宋_GB2312" w:cs="Times New Roman"/>
      <w:b/>
      <w:bCs/>
      <w:kern w:val="0"/>
      <w:sz w:val="32"/>
      <w:szCs w:val="32"/>
    </w:rPr>
  </w:style>
  <w:style w:type="character" w:customStyle="1" w:styleId="32">
    <w:name w:val="Heading 3 Char"/>
    <w:basedOn w:val="27"/>
    <w:link w:val="7"/>
    <w:locked/>
    <w:uiPriority w:val="99"/>
    <w:rPr>
      <w:rFonts w:ascii="Calibri" w:hAnsi="Calibri" w:eastAsia="仿宋_GB2312" w:cs="Times New Roman"/>
      <w:bCs/>
      <w:kern w:val="0"/>
      <w:sz w:val="32"/>
      <w:szCs w:val="32"/>
    </w:rPr>
  </w:style>
  <w:style w:type="character" w:customStyle="1" w:styleId="33">
    <w:name w:val="Heading 4 Char"/>
    <w:basedOn w:val="27"/>
    <w:link w:val="8"/>
    <w:semiHidden/>
    <w:locked/>
    <w:uiPriority w:val="99"/>
    <w:rPr>
      <w:rFonts w:ascii="Cambria" w:hAnsi="Cambria" w:eastAsia="宋体" w:cs="Times New Roman"/>
      <w:b/>
      <w:bCs/>
      <w:kern w:val="0"/>
      <w:sz w:val="28"/>
      <w:szCs w:val="28"/>
    </w:rPr>
  </w:style>
  <w:style w:type="character" w:customStyle="1" w:styleId="34">
    <w:name w:val="Header Char"/>
    <w:basedOn w:val="27"/>
    <w:link w:val="17"/>
    <w:locked/>
    <w:uiPriority w:val="99"/>
    <w:rPr>
      <w:rFonts w:cs="Times New Roman"/>
      <w:sz w:val="18"/>
      <w:szCs w:val="18"/>
    </w:rPr>
  </w:style>
  <w:style w:type="character" w:customStyle="1" w:styleId="35">
    <w:name w:val="Footer Char"/>
    <w:basedOn w:val="27"/>
    <w:link w:val="16"/>
    <w:qFormat/>
    <w:locked/>
    <w:uiPriority w:val="99"/>
    <w:rPr>
      <w:rFonts w:cs="Times New Roman"/>
      <w:sz w:val="18"/>
      <w:szCs w:val="18"/>
    </w:rPr>
  </w:style>
  <w:style w:type="character" w:customStyle="1" w:styleId="36">
    <w:name w:val="Body Text Indent Char"/>
    <w:basedOn w:val="27"/>
    <w:link w:val="4"/>
    <w:semiHidden/>
    <w:locked/>
    <w:uiPriority w:val="99"/>
    <w:rPr>
      <w:rFonts w:ascii="Calibri" w:hAnsi="Calibri" w:eastAsia="仿宋_GB2312" w:cs="Times New Roman"/>
      <w:kern w:val="0"/>
      <w:sz w:val="20"/>
      <w:szCs w:val="20"/>
    </w:rPr>
  </w:style>
  <w:style w:type="character" w:customStyle="1" w:styleId="37">
    <w:name w:val="Body Text First Indent 2 Char"/>
    <w:basedOn w:val="36"/>
    <w:link w:val="3"/>
    <w:locked/>
    <w:uiPriority w:val="99"/>
  </w:style>
  <w:style w:type="character" w:customStyle="1" w:styleId="38">
    <w:name w:val="Intense Reference"/>
    <w:basedOn w:val="27"/>
    <w:qFormat/>
    <w:uiPriority w:val="99"/>
    <w:rPr>
      <w:b/>
      <w:smallCaps/>
      <w:color w:val="C0504D"/>
      <w:spacing w:val="5"/>
      <w:u w:val="single"/>
    </w:rPr>
  </w:style>
  <w:style w:type="character" w:customStyle="1" w:styleId="39">
    <w:name w:val="Balloon Text Char"/>
    <w:basedOn w:val="27"/>
    <w:link w:val="15"/>
    <w:semiHidden/>
    <w:locked/>
    <w:uiPriority w:val="99"/>
    <w:rPr>
      <w:rFonts w:ascii="Calibri" w:hAnsi="Calibri" w:eastAsia="仿宋_GB2312" w:cs="Times New Roman"/>
      <w:kern w:val="0"/>
      <w:sz w:val="18"/>
      <w:szCs w:val="18"/>
    </w:rPr>
  </w:style>
  <w:style w:type="paragraph" w:styleId="40">
    <w:name w:val="List Paragraph"/>
    <w:basedOn w:val="1"/>
    <w:qFormat/>
    <w:uiPriority w:val="99"/>
    <w:pPr>
      <w:ind w:firstLine="420"/>
    </w:pPr>
  </w:style>
  <w:style w:type="character" w:customStyle="1" w:styleId="41">
    <w:name w:val="Comment Text Char"/>
    <w:basedOn w:val="27"/>
    <w:link w:val="11"/>
    <w:semiHidden/>
    <w:locked/>
    <w:uiPriority w:val="99"/>
    <w:rPr>
      <w:rFonts w:ascii="Calibri" w:hAnsi="Calibri" w:eastAsia="仿宋_GB2312" w:cs="Times New Roman"/>
      <w:kern w:val="0"/>
      <w:sz w:val="20"/>
      <w:szCs w:val="20"/>
    </w:rPr>
  </w:style>
  <w:style w:type="character" w:customStyle="1" w:styleId="42">
    <w:name w:val="Comment Subject Char"/>
    <w:basedOn w:val="41"/>
    <w:link w:val="24"/>
    <w:semiHidden/>
    <w:qFormat/>
    <w:locked/>
    <w:uiPriority w:val="99"/>
    <w:rPr>
      <w:b/>
      <w:bCs/>
    </w:rPr>
  </w:style>
  <w:style w:type="character" w:customStyle="1" w:styleId="43">
    <w:name w:val="Document Map Char"/>
    <w:basedOn w:val="27"/>
    <w:link w:val="10"/>
    <w:semiHidden/>
    <w:locked/>
    <w:uiPriority w:val="99"/>
    <w:rPr>
      <w:rFonts w:ascii="宋体" w:hAnsi="Calibri" w:eastAsia="宋体" w:cs="Times New Roman"/>
      <w:kern w:val="0"/>
      <w:sz w:val="18"/>
      <w:szCs w:val="18"/>
    </w:rPr>
  </w:style>
  <w:style w:type="character" w:customStyle="1" w:styleId="44">
    <w:name w:val="No Spacing Char"/>
    <w:link w:val="6"/>
    <w:qFormat/>
    <w:locked/>
    <w:uiPriority w:val="99"/>
    <w:rPr>
      <w:rFonts w:ascii="Calibri" w:hAnsi="Calibri" w:eastAsia="仿宋_GB2312"/>
      <w:sz w:val="22"/>
    </w:rPr>
  </w:style>
  <w:style w:type="paragraph" w:customStyle="1" w:styleId="45">
    <w:name w:val="闻政-正文段落文字"/>
    <w:basedOn w:val="1"/>
    <w:link w:val="46"/>
    <w:uiPriority w:val="99"/>
    <w:pPr>
      <w:spacing w:line="500" w:lineRule="exact"/>
      <w:ind w:firstLine="200"/>
    </w:pPr>
    <w:rPr>
      <w:rFonts w:ascii="Times New Roman" w:hAnsi="Times New Roman" w:cs="Times New Roman"/>
      <w:kern w:val="0"/>
      <w:szCs w:val="28"/>
    </w:rPr>
  </w:style>
  <w:style w:type="character" w:customStyle="1" w:styleId="46">
    <w:name w:val="闻政-正文段落文字 Char"/>
    <w:link w:val="45"/>
    <w:locked/>
    <w:uiPriority w:val="99"/>
    <w:rPr>
      <w:rFonts w:ascii="Times New Roman" w:hAnsi="Times New Roman" w:eastAsia="仿宋_GB2312"/>
      <w:kern w:val="0"/>
      <w:sz w:val="28"/>
    </w:rPr>
  </w:style>
  <w:style w:type="paragraph" w:customStyle="1" w:styleId="47">
    <w:name w:val="闻政-正文二级标题"/>
    <w:basedOn w:val="5"/>
    <w:next w:val="45"/>
    <w:link w:val="48"/>
    <w:uiPriority w:val="99"/>
    <w:pPr>
      <w:spacing w:before="120" w:after="60" w:line="500" w:lineRule="exact"/>
      <w:ind w:left="200" w:leftChars="200" w:firstLine="0" w:firstLineChars="0"/>
    </w:pPr>
    <w:rPr>
      <w:rFonts w:ascii="Times New Roman" w:hAnsi="Times New Roman"/>
      <w:sz w:val="28"/>
    </w:rPr>
  </w:style>
  <w:style w:type="character" w:customStyle="1" w:styleId="48">
    <w:name w:val="闻政-正文二级标题 Char"/>
    <w:link w:val="47"/>
    <w:locked/>
    <w:uiPriority w:val="99"/>
    <w:rPr>
      <w:rFonts w:ascii="Times New Roman" w:hAnsi="Times New Roman" w:eastAsia="仿宋_GB2312"/>
      <w:b/>
      <w:kern w:val="0"/>
      <w:sz w:val="32"/>
    </w:rPr>
  </w:style>
  <w:style w:type="paragraph" w:customStyle="1" w:styleId="49">
    <w:name w:val="闻政-正文三级标题"/>
    <w:basedOn w:val="1"/>
    <w:next w:val="45"/>
    <w:link w:val="50"/>
    <w:qFormat/>
    <w:uiPriority w:val="99"/>
    <w:pPr>
      <w:widowControl/>
      <w:spacing w:before="120" w:after="60" w:line="500" w:lineRule="exact"/>
      <w:ind w:left="200" w:leftChars="200" w:firstLine="0" w:firstLineChars="0"/>
    </w:pPr>
    <w:rPr>
      <w:rFonts w:ascii="Times New Roman" w:hAnsi="Times New Roman" w:cs="Times New Roman"/>
      <w:b/>
      <w:kern w:val="0"/>
      <w:szCs w:val="28"/>
    </w:rPr>
  </w:style>
  <w:style w:type="character" w:customStyle="1" w:styleId="50">
    <w:name w:val="闻政-正文三级标题 Char"/>
    <w:link w:val="49"/>
    <w:qFormat/>
    <w:locked/>
    <w:uiPriority w:val="99"/>
    <w:rPr>
      <w:rFonts w:ascii="Times New Roman" w:hAnsi="Times New Roman" w:eastAsia="仿宋_GB2312"/>
      <w:b/>
      <w:snapToGrid w:val="0"/>
      <w:kern w:val="0"/>
      <w:sz w:val="28"/>
    </w:rPr>
  </w:style>
  <w:style w:type="paragraph" w:customStyle="1" w:styleId="51">
    <w:name w:val="闻政-正文四级标题"/>
    <w:basedOn w:val="49"/>
    <w:next w:val="45"/>
    <w:link w:val="52"/>
    <w:uiPriority w:val="99"/>
    <w:rPr>
      <w:b w:val="0"/>
    </w:rPr>
  </w:style>
  <w:style w:type="character" w:customStyle="1" w:styleId="52">
    <w:name w:val="闻政-正文四级标题 Char"/>
    <w:link w:val="51"/>
    <w:locked/>
    <w:uiPriority w:val="99"/>
    <w:rPr>
      <w:rFonts w:ascii="Times New Roman" w:hAnsi="Times New Roman" w:eastAsia="仿宋_GB2312"/>
      <w:snapToGrid w:val="0"/>
      <w:kern w:val="0"/>
      <w:sz w:val="28"/>
    </w:rPr>
  </w:style>
  <w:style w:type="paragraph" w:customStyle="1" w:styleId="53">
    <w:name w:val="闻政-正文一级标题"/>
    <w:basedOn w:val="7"/>
    <w:next w:val="45"/>
    <w:link w:val="54"/>
    <w:uiPriority w:val="99"/>
    <w:pPr>
      <w:spacing w:before="120" w:after="60" w:line="500" w:lineRule="exact"/>
      <w:ind w:firstLine="0" w:firstLineChars="0"/>
      <w:outlineLvl w:val="0"/>
    </w:pPr>
    <w:rPr>
      <w:rFonts w:ascii="黑体" w:hAnsi="黑体" w:eastAsia="黑体"/>
      <w:sz w:val="32"/>
    </w:rPr>
  </w:style>
  <w:style w:type="character" w:customStyle="1" w:styleId="54">
    <w:name w:val="闻政-正文一级标题 Char"/>
    <w:link w:val="53"/>
    <w:locked/>
    <w:uiPriority w:val="99"/>
    <w:rPr>
      <w:rFonts w:ascii="黑体" w:hAnsi="黑体" w:eastAsia="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455</Words>
  <Characters>2599</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2020-07-13T07:59:00Z</dcterms:created>
  <dc:creator>qq</dc:creator>
  <cp:lastModifiedBy>橘子</cp:lastModifiedBy>
  <cp:lastPrinted>2022-03-10T09:38:41Z</cp:lastPrinted>
  <dcterms:modified xsi:type="dcterms:W3CDTF">2022-03-10T09:40:29Z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606FB8813DCB4504AA6CD3E833FB86DC</vt:lpwstr>
  </property>
</Properties>
</file>