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63" w:rsidRDefault="003A7D9F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  <w:r w:rsidRPr="003A7D9F">
        <w:rPr>
          <w:rFonts w:ascii="Times New Roman" w:eastAsia="黑体" w:hAnsi="Times New Roman" w:cs="Times New Roman"/>
          <w:b/>
          <w:kern w:val="0"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70.75pt">
            <v:imagedata r:id="rId8" o:title="图像 (24)"/>
          </v:shape>
        </w:pict>
      </w:r>
    </w:p>
    <w:p w:rsidR="00707E63" w:rsidRDefault="00707E6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707E63" w:rsidRDefault="00707E6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707E63" w:rsidRDefault="00977DE5">
      <w:pPr>
        <w:pStyle w:val="10"/>
        <w:tabs>
          <w:tab w:val="right" w:leader="dot" w:pos="8296"/>
        </w:tabs>
        <w:ind w:firstLineChars="137" w:firstLine="440"/>
        <w:rPr>
          <w:sz w:val="30"/>
          <w:szCs w:val="30"/>
        </w:rPr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 w:rsidR="003A7D9F" w:rsidRPr="003A7D9F">
        <w:rPr>
          <w:sz w:val="30"/>
          <w:szCs w:val="30"/>
        </w:rPr>
        <w:lastRenderedPageBreak/>
        <w:fldChar w:fldCharType="begin"/>
      </w:r>
      <w:r>
        <w:rPr>
          <w:sz w:val="30"/>
          <w:szCs w:val="30"/>
        </w:rPr>
        <w:instrText xml:space="preserve"> TOC \o "1-4" \f </w:instrText>
      </w:r>
      <w:r w:rsidR="003A7D9F" w:rsidRPr="003A7D9F">
        <w:rPr>
          <w:sz w:val="30"/>
          <w:szCs w:val="30"/>
        </w:rPr>
        <w:fldChar w:fldCharType="separate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一、项目的基本情况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_Toc61505636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（一）项目概况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_Toc61505637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（二）预算执行情况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_Toc61505638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（三）项目绩效目标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_Toc61505639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二、项目绩效情况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_Toc61505641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（一）预算执行情况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_Toc61505642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5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（二）项目产出情况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_Toc61505643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（三）项目效益情况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_Toc61505644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（四）项目满意度情况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_Toc61505645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7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三、项目绩效分析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_Toc61505646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7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四、项目主要经验做法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_Toc61505647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8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五、项目管理中存在问题及原因分析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_Toc61505648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8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六、进一步加强项目管理措施及建议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_Toc61505649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8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附件</w:t>
      </w:r>
      <w:r>
        <w:rPr>
          <w:rFonts w:ascii="仿宋" w:eastAsia="仿宋" w:hAnsi="仿宋" w:cs="仿宋"/>
          <w:bCs w:val="0"/>
          <w:sz w:val="30"/>
          <w:szCs w:val="30"/>
        </w:rPr>
        <w:t>1.</w:t>
      </w:r>
      <w:r>
        <w:rPr>
          <w:rFonts w:ascii="仿宋" w:eastAsia="仿宋" w:hAnsi="仿宋" w:cs="仿宋" w:hint="eastAsia"/>
          <w:bCs w:val="0"/>
          <w:sz w:val="30"/>
          <w:szCs w:val="30"/>
        </w:rPr>
        <w:t>项目支出绩效自评表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_Toc61505650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10</w:t>
      </w:r>
      <w:r w:rsidR="003A7D9F">
        <w:rPr>
          <w:sz w:val="30"/>
          <w:szCs w:val="30"/>
        </w:rPr>
        <w:fldChar w:fldCharType="end"/>
      </w:r>
    </w:p>
    <w:p w:rsidR="00707E63" w:rsidRDefault="00977DE5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附件</w:t>
      </w:r>
      <w:r>
        <w:rPr>
          <w:rFonts w:ascii="仿宋" w:eastAsia="仿宋" w:hAnsi="仿宋" w:cs="仿宋"/>
          <w:bCs w:val="0"/>
          <w:sz w:val="30"/>
          <w:szCs w:val="30"/>
        </w:rPr>
        <w:t>2.</w:t>
      </w:r>
      <w:r>
        <w:rPr>
          <w:rFonts w:ascii="仿宋" w:eastAsia="仿宋" w:hAnsi="仿宋" w:cs="仿宋" w:hint="eastAsia"/>
          <w:bCs w:val="0"/>
          <w:sz w:val="30"/>
          <w:szCs w:val="30"/>
        </w:rPr>
        <w:t>绩效自评相关资料</w:t>
      </w:r>
      <w:r>
        <w:rPr>
          <w:sz w:val="30"/>
          <w:szCs w:val="30"/>
        </w:rPr>
        <w:tab/>
      </w:r>
      <w:r w:rsidR="003A7D9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_Toc61505651 \h </w:instrText>
      </w:r>
      <w:r w:rsidR="003A7D9F">
        <w:rPr>
          <w:sz w:val="30"/>
          <w:szCs w:val="30"/>
        </w:rPr>
      </w:r>
      <w:r w:rsidR="003A7D9F">
        <w:rPr>
          <w:sz w:val="30"/>
          <w:szCs w:val="30"/>
        </w:rPr>
        <w:fldChar w:fldCharType="separate"/>
      </w:r>
      <w:r>
        <w:rPr>
          <w:sz w:val="30"/>
          <w:szCs w:val="30"/>
        </w:rPr>
        <w:t>11</w:t>
      </w:r>
      <w:r w:rsidR="003A7D9F">
        <w:rPr>
          <w:sz w:val="30"/>
          <w:szCs w:val="30"/>
        </w:rPr>
        <w:fldChar w:fldCharType="end"/>
      </w:r>
    </w:p>
    <w:p w:rsidR="00707E63" w:rsidRDefault="003A7D9F">
      <w:pPr>
        <w:tabs>
          <w:tab w:val="left" w:pos="620"/>
        </w:tabs>
        <w:ind w:firstLineChars="0" w:firstLine="0"/>
        <w:rPr>
          <w:sz w:val="30"/>
          <w:szCs w:val="30"/>
        </w:rPr>
      </w:pPr>
      <w:r>
        <w:rPr>
          <w:sz w:val="30"/>
          <w:szCs w:val="30"/>
        </w:rPr>
        <w:fldChar w:fldCharType="end"/>
      </w:r>
      <w:r w:rsidR="00977DE5">
        <w:rPr>
          <w:sz w:val="30"/>
          <w:szCs w:val="30"/>
        </w:rPr>
        <w:tab/>
      </w:r>
    </w:p>
    <w:p w:rsidR="00707E63" w:rsidRDefault="00707E63">
      <w:pPr>
        <w:rPr>
          <w:sz w:val="30"/>
          <w:szCs w:val="30"/>
        </w:rPr>
      </w:pPr>
    </w:p>
    <w:p w:rsidR="00707E63" w:rsidRDefault="00707E63">
      <w:pPr>
        <w:ind w:firstLine="560"/>
        <w:rPr>
          <w:szCs w:val="44"/>
        </w:rPr>
      </w:pPr>
    </w:p>
    <w:p w:rsidR="00707E63" w:rsidRDefault="00707E63">
      <w:pPr>
        <w:ind w:firstLine="560"/>
        <w:rPr>
          <w:szCs w:val="44"/>
        </w:rPr>
        <w:sectPr w:rsidR="00707E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7E63" w:rsidRDefault="00977DE5">
      <w:pPr>
        <w:pStyle w:val="-3"/>
        <w:rPr>
          <w:rFonts w:ascii="仿宋" w:eastAsia="仿宋" w:hAnsi="仿宋" w:cs="仿宋"/>
          <w:b/>
          <w:bCs/>
        </w:rPr>
      </w:pPr>
      <w:bookmarkStart w:id="0" w:name="_Toc61505636"/>
      <w:r>
        <w:rPr>
          <w:rFonts w:ascii="仿宋" w:eastAsia="仿宋" w:hAnsi="仿宋" w:cs="仿宋" w:hint="eastAsia"/>
          <w:b/>
        </w:rPr>
        <w:lastRenderedPageBreak/>
        <w:t>一、项目的基本情况</w:t>
      </w:r>
      <w:bookmarkEnd w:id="0"/>
    </w:p>
    <w:p w:rsidR="00707E63" w:rsidRDefault="00977DE5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707E63" w:rsidRDefault="00977DE5" w:rsidP="009C552D">
      <w:pPr>
        <w:pStyle w:val="-"/>
        <w:ind w:left="280" w:firstLine="562"/>
      </w:pPr>
      <w:r>
        <w:rPr>
          <w:rFonts w:hint="eastAsia"/>
          <w:b/>
          <w:bCs/>
        </w:rPr>
        <w:t>项目概况：</w:t>
      </w:r>
      <w:r>
        <w:t>全面推行河长制是解决我县复杂水问题、维护河流健康生命的重要手段，是推行绿色发展、建设美丽大宁的基础保证，是完善我县水治理体系、保障水安全的重大举措。大宁县水利局</w:t>
      </w:r>
      <w:r>
        <w:t>“</w:t>
      </w:r>
      <w:r>
        <w:t>河长办</w:t>
      </w:r>
      <w:r>
        <w:t>”</w:t>
      </w:r>
      <w:r>
        <w:t>负责实施。</w:t>
      </w:r>
    </w:p>
    <w:p w:rsidR="00707E63" w:rsidRDefault="00977DE5" w:rsidP="009C552D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大委办发（</w:t>
      </w:r>
      <w:r>
        <w:t>2017</w:t>
      </w:r>
      <w:r>
        <w:t>）</w:t>
      </w:r>
      <w:r>
        <w:t>32</w:t>
      </w:r>
      <w:r>
        <w:t>号文件，中共大宁县委办公室、大宁县人民政府办公室《关于印发大宁县全面推行河长制实施方案》的通知</w:t>
      </w:r>
    </w:p>
    <w:p w:rsidR="00707E63" w:rsidRDefault="00977DE5" w:rsidP="009C552D">
      <w:pPr>
        <w:pStyle w:val="-"/>
        <w:ind w:left="280" w:firstLine="562"/>
      </w:pPr>
      <w:r>
        <w:rPr>
          <w:rFonts w:hint="eastAsia"/>
          <w:b/>
          <w:bCs/>
        </w:rPr>
        <w:t>设立的必要性：</w:t>
      </w:r>
      <w:r w:rsidR="00795B58" w:rsidRPr="00795B58">
        <w:rPr>
          <w:rFonts w:hint="eastAsia"/>
        </w:rPr>
        <w:t>坚持生态优先、绿色发展。牢固树立尊重自然、顺应自然、保护自然的理念，突出流域生态保护，处理好河流管理保护与开发利用的理念、强化规划约束、促进河流休养生息、维护河流生态功能。</w:t>
      </w:r>
      <w:r w:rsidR="00795B58" w:rsidRPr="00795B58">
        <w:rPr>
          <w:rFonts w:hint="eastAsia"/>
        </w:rPr>
        <w:tab/>
      </w:r>
    </w:p>
    <w:p w:rsidR="00707E63" w:rsidRDefault="00977DE5" w:rsidP="009C552D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建立工作督查制度，对河长制实施情况和河长履职情况进行表彰奖励。建立考核问责与激励机制。</w:t>
      </w:r>
    </w:p>
    <w:p w:rsidR="00707E63" w:rsidRDefault="00977DE5" w:rsidP="009C552D">
      <w:pPr>
        <w:pStyle w:val="-"/>
        <w:ind w:left="280" w:firstLine="562"/>
      </w:pPr>
      <w:r>
        <w:rPr>
          <w:rFonts w:hint="eastAsia"/>
          <w:b/>
          <w:bCs/>
        </w:rPr>
        <w:t>项目实施计划：</w:t>
      </w:r>
      <w:r>
        <w:t>2021</w:t>
      </w:r>
      <w:r>
        <w:t>年</w:t>
      </w:r>
      <w:r>
        <w:t>3</w:t>
      </w:r>
      <w:r>
        <w:t>月至</w:t>
      </w:r>
      <w:r>
        <w:t>2021</w:t>
      </w:r>
      <w:r>
        <w:t>年</w:t>
      </w:r>
      <w:r>
        <w:t>12</w:t>
      </w:r>
      <w:r>
        <w:t>月开展河道巡查工作</w:t>
      </w:r>
    </w:p>
    <w:p w:rsidR="00707E63" w:rsidRDefault="00977DE5">
      <w:pPr>
        <w:widowControl/>
        <w:ind w:firstLineChars="0" w:firstLine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 w:rsidR="00707E63" w:rsidRDefault="00977DE5">
      <w:pPr>
        <w:pStyle w:val="-0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 w:rsidR="00707E63" w:rsidRDefault="00707E63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707E63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707E63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07E63" w:rsidRDefault="00707E63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707E63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707E63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977DE5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707E63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707E63" w:rsidRDefault="00707E63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9.73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9.73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9.73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707E63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707E63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97.3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97.3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97.3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E63" w:rsidRDefault="00977DE5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 w:rsidR="00707E63" w:rsidRDefault="00977DE5">
      <w:pPr>
        <w:pStyle w:val="-0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 w:rsidR="00707E63" w:rsidRDefault="00977DE5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707E63" w:rsidRDefault="00977DE5">
      <w:pPr>
        <w:pStyle w:val="-"/>
        <w:ind w:left="280" w:firstLine="560"/>
      </w:pPr>
      <w:r>
        <w:t>加强河道管理，及时发现、制止涉河违法行为，实现河流功能永续利用，提升和改善水环境质量</w:t>
      </w:r>
    </w:p>
    <w:p w:rsidR="00707E63" w:rsidRDefault="00977DE5">
      <w:pPr>
        <w:pStyle w:val="-"/>
        <w:ind w:left="280" w:firstLine="560"/>
      </w:pPr>
      <w:r>
        <w:tab/>
      </w:r>
    </w:p>
    <w:p w:rsidR="00707E63" w:rsidRDefault="00977DE5">
      <w:pPr>
        <w:pStyle w:val="-1"/>
        <w:ind w:left="560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707E63" w:rsidRDefault="00977DE5">
      <w:pPr>
        <w:pStyle w:val="-"/>
        <w:ind w:left="280" w:firstLine="560"/>
      </w:pPr>
      <w:r>
        <w:t>加强河道管理，及时发现、制止涉河违法行为，实现河流功能永续利用，提升和改善水环境质量</w:t>
      </w:r>
    </w:p>
    <w:p w:rsidR="00707E63" w:rsidRDefault="00977DE5">
      <w:pPr>
        <w:pStyle w:val="-3"/>
        <w:rPr>
          <w:rFonts w:ascii="仿宋" w:eastAsia="仿宋" w:hAnsi="仿宋" w:cs="仿宋"/>
          <w:b/>
          <w:bCs/>
        </w:rPr>
      </w:pPr>
      <w:bookmarkStart w:id="4" w:name="_Toc61505641"/>
      <w:r>
        <w:rPr>
          <w:rFonts w:ascii="仿宋" w:eastAsia="仿宋" w:hAnsi="仿宋" w:cs="仿宋" w:hint="eastAsia"/>
          <w:b/>
        </w:rPr>
        <w:t>二、项目绩效情况</w:t>
      </w:r>
      <w:bookmarkEnd w:id="4"/>
    </w:p>
    <w:p w:rsidR="00707E63" w:rsidRDefault="00977DE5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河长制工作经费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98.23</w:t>
      </w:r>
      <w:r>
        <w:rPr>
          <w:rFonts w:hint="eastAsia"/>
        </w:rPr>
        <w:t>分，属于</w:t>
      </w:r>
      <w:r>
        <w:t>"</w:t>
      </w:r>
      <w:r>
        <w:t>优秀</w:t>
      </w:r>
      <w:r>
        <w:t>"</w:t>
      </w:r>
      <w:r>
        <w:rPr>
          <w:rFonts w:hint="eastAsia"/>
        </w:rPr>
        <w:t>。</w:t>
      </w:r>
    </w:p>
    <w:p w:rsidR="00707E63" w:rsidRDefault="00977DE5">
      <w:pPr>
        <w:pStyle w:val="-0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W w:w="0" w:type="auto"/>
        <w:jc w:val="center"/>
        <w:tblLayout w:type="fixed"/>
        <w:tblLook w:val="04A0"/>
      </w:tblPr>
      <w:tblGrid>
        <w:gridCol w:w="1712"/>
        <w:gridCol w:w="1594"/>
        <w:gridCol w:w="1381"/>
        <w:gridCol w:w="1381"/>
        <w:gridCol w:w="1381"/>
        <w:gridCol w:w="1381"/>
      </w:tblGrid>
      <w:tr w:rsidR="00707E63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707E63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97.3%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9.73</w:t>
            </w:r>
          </w:p>
        </w:tc>
      </w:tr>
    </w:tbl>
    <w:p w:rsidR="00707E63" w:rsidRDefault="00977DE5">
      <w:pPr>
        <w:pStyle w:val="-0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河道检查人数每次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验收合格率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巡查河道巡查及时性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河道检查每次成本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400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400元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707E63" w:rsidRDefault="00977DE5">
      <w:pPr>
        <w:pStyle w:val="-0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河道周边居民环境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长效管理制度建设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健全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13.5</w:t>
            </w:r>
          </w:p>
        </w:tc>
      </w:tr>
    </w:tbl>
    <w:p w:rsidR="00707E63" w:rsidRDefault="00707E63">
      <w:pPr>
        <w:widowControl/>
        <w:ind w:firstLineChars="0" w:firstLine="0"/>
        <w:jc w:val="left"/>
        <w:rPr>
          <w:szCs w:val="44"/>
        </w:rPr>
      </w:pPr>
    </w:p>
    <w:p w:rsidR="00707E63" w:rsidRDefault="00977DE5">
      <w:pPr>
        <w:pStyle w:val="-0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W w:w="0" w:type="auto"/>
        <w:jc w:val="center"/>
        <w:tblLayout w:type="fixed"/>
        <w:tblLook w:val="04A0"/>
      </w:tblPr>
      <w:tblGrid>
        <w:gridCol w:w="1404"/>
        <w:gridCol w:w="2916"/>
        <w:gridCol w:w="1381"/>
        <w:gridCol w:w="1381"/>
        <w:gridCol w:w="1381"/>
        <w:gridCol w:w="1381"/>
      </w:tblGrid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707E63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707E63" w:rsidRDefault="00707E63">
      <w:pPr>
        <w:widowControl/>
        <w:ind w:firstLineChars="0" w:firstLine="0"/>
        <w:jc w:val="left"/>
        <w:rPr>
          <w:szCs w:val="44"/>
        </w:rPr>
      </w:pPr>
    </w:p>
    <w:p w:rsidR="00707E63" w:rsidRDefault="00977DE5">
      <w:pPr>
        <w:pStyle w:val="-3"/>
        <w:rPr>
          <w:rFonts w:ascii="仿宋" w:eastAsia="仿宋" w:hAnsi="仿宋" w:cs="仿宋"/>
          <w:b/>
          <w:bCs/>
        </w:rPr>
      </w:pPr>
      <w:bookmarkStart w:id="9" w:name="_Toc61505646"/>
      <w:r>
        <w:rPr>
          <w:rFonts w:ascii="仿宋" w:eastAsia="仿宋" w:hAnsi="仿宋" w:cs="仿宋" w:hint="eastAsia"/>
          <w:b/>
        </w:rPr>
        <w:lastRenderedPageBreak/>
        <w:t>三、</w:t>
      </w:r>
      <w:bookmarkStart w:id="10" w:name="_Toc23655"/>
      <w:bookmarkStart w:id="11" w:name="_Toc17451"/>
      <w:r>
        <w:rPr>
          <w:rFonts w:ascii="仿宋" w:eastAsia="仿宋" w:hAnsi="仿宋" w:cs="仿宋" w:hint="eastAsia"/>
          <w:b/>
        </w:rPr>
        <w:t>项目绩效分析</w:t>
      </w:r>
      <w:bookmarkEnd w:id="9"/>
      <w:bookmarkEnd w:id="10"/>
      <w:bookmarkEnd w:id="11"/>
    </w:p>
    <w:p w:rsidR="00707E63" w:rsidRDefault="00977DE5" w:rsidP="009C552D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707E63" w:rsidRDefault="00977DE5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圆满完成了年初工作计划任务，预算安排资金10万元，实际支付9.73万元，工作任务完成，节约资金0.27万元，年底财政收回，预算执行率97.3%。</w:t>
      </w:r>
    </w:p>
    <w:p w:rsidR="00707E63" w:rsidRDefault="00977DE5" w:rsidP="009C552D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707E63" w:rsidRDefault="00977DE5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圆满完成了年初计划的河道巡查工作任务，改善了</w:t>
      </w:r>
      <w:r>
        <w:rPr>
          <w:rFonts w:ascii="仿宋_GB2312"/>
          <w:bCs/>
        </w:rPr>
        <w:t>河道周边居民环境</w:t>
      </w:r>
      <w:r>
        <w:rPr>
          <w:rFonts w:ascii="仿宋_GB2312" w:hint="eastAsia"/>
          <w:bCs/>
        </w:rPr>
        <w:t>，达到了预期效果。</w:t>
      </w:r>
    </w:p>
    <w:p w:rsidR="00707E63" w:rsidRDefault="00977DE5" w:rsidP="009C552D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效益情况及分析</w:t>
      </w:r>
    </w:p>
    <w:p w:rsidR="00707E63" w:rsidRDefault="00977DE5">
      <w:pPr>
        <w:pStyle w:val="-"/>
        <w:ind w:leftChars="405" w:left="1134" w:firstLineChars="0" w:firstLine="426"/>
        <w:rPr>
          <w:rFonts w:ascii="仿宋_GB2312"/>
          <w:bCs/>
        </w:rPr>
      </w:pPr>
      <w:r>
        <w:rPr>
          <w:rFonts w:ascii="仿宋_GB2312" w:hint="eastAsia"/>
          <w:bCs/>
        </w:rPr>
        <w:t>强化规划约束、促进河流休养生息、维护河流生态功能。</w:t>
      </w:r>
    </w:p>
    <w:p w:rsidR="00707E63" w:rsidRDefault="00977DE5" w:rsidP="009C552D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707E63" w:rsidRDefault="00977DE5">
      <w:pPr>
        <w:pStyle w:val="-"/>
        <w:ind w:left="425" w:firstLine="560"/>
      </w:pPr>
      <w:r>
        <w:rPr>
          <w:rFonts w:ascii="仿宋_GB2312" w:hint="eastAsia"/>
          <w:bCs/>
        </w:rPr>
        <w:t>受益群众满意度95%，</w:t>
      </w:r>
      <w:r>
        <w:rPr>
          <w:rFonts w:hint="eastAsia"/>
        </w:rPr>
        <w:t>项目社会效益明显，达到了预期效果。</w:t>
      </w:r>
    </w:p>
    <w:p w:rsidR="00707E63" w:rsidRDefault="00977DE5">
      <w:pPr>
        <w:pStyle w:val="-3"/>
      </w:pPr>
      <w:bookmarkStart w:id="12" w:name="_Toc61505647"/>
      <w:r>
        <w:rPr>
          <w:rFonts w:ascii="仿宋" w:eastAsia="仿宋" w:hAnsi="仿宋" w:cs="仿宋" w:hint="eastAsia"/>
          <w:b/>
        </w:rPr>
        <w:t>四、项目主要经验做法</w:t>
      </w:r>
      <w:bookmarkEnd w:id="12"/>
      <w:r>
        <w:t xml:space="preserve"> </w:t>
      </w:r>
    </w:p>
    <w:p w:rsidR="00707E63" w:rsidRDefault="00977DE5">
      <w:pPr>
        <w:pStyle w:val="-"/>
        <w:ind w:firstLineChars="300" w:firstLine="840"/>
      </w:pPr>
      <w:r>
        <w:rPr>
          <w:rFonts w:hint="eastAsia"/>
          <w:lang w:eastAsia="zh-CN"/>
        </w:rPr>
        <w:t>全面推行河长制，以保护水资源、防治水污染，改善水环境，修复水生态为主要任务，构建责任明确，协调有序，监管严格、保护有力的河渠管理保护机制，</w:t>
      </w:r>
    </w:p>
    <w:p w:rsidR="00707E63" w:rsidRDefault="00977DE5">
      <w:pPr>
        <w:pStyle w:val="-3"/>
        <w:rPr>
          <w:rFonts w:ascii="仿宋" w:eastAsia="仿宋" w:hAnsi="仿宋" w:cs="仿宋"/>
          <w:b/>
          <w:bCs/>
        </w:rPr>
      </w:pPr>
      <w:bookmarkStart w:id="13" w:name="_Toc61505648"/>
      <w:r>
        <w:rPr>
          <w:rFonts w:ascii="仿宋" w:eastAsia="仿宋" w:hAnsi="仿宋" w:cs="仿宋" w:hint="eastAsia"/>
          <w:b/>
        </w:rPr>
        <w:t>五、项目管理中存在问题及原因分析</w:t>
      </w:r>
      <w:bookmarkEnd w:id="13"/>
    </w:p>
    <w:p w:rsidR="00707E63" w:rsidRDefault="00977DE5">
      <w:pPr>
        <w:pStyle w:val="-"/>
        <w:ind w:firstLineChars="300" w:firstLine="840"/>
      </w:pPr>
      <w:r>
        <w:rPr>
          <w:rFonts w:hint="eastAsia"/>
          <w:lang w:eastAsia="zh-CN"/>
        </w:rPr>
        <w:t>项目管理制度需要进一步完善，制定和完善项目操作层面的管理制度和办法，建立长效监管机制，开展信息</w:t>
      </w:r>
      <w:r>
        <w:rPr>
          <w:rFonts w:hint="eastAsia"/>
          <w:lang w:eastAsia="zh-CN"/>
        </w:rPr>
        <w:lastRenderedPageBreak/>
        <w:t>平台建设，为河、湖保护管理提供支撑。</w:t>
      </w:r>
    </w:p>
    <w:p w:rsidR="00707E63" w:rsidRDefault="00977DE5">
      <w:pPr>
        <w:pStyle w:val="-3"/>
        <w:rPr>
          <w:rFonts w:ascii="仿宋" w:eastAsia="仿宋" w:hAnsi="仿宋" w:cs="仿宋"/>
          <w:b/>
        </w:rPr>
      </w:pPr>
      <w:bookmarkStart w:id="14" w:name="_Toc61505649"/>
      <w:r>
        <w:rPr>
          <w:rFonts w:ascii="仿宋" w:eastAsia="仿宋" w:hAnsi="仿宋" w:cs="仿宋" w:hint="eastAsia"/>
          <w:b/>
        </w:rPr>
        <w:t>六、进一步加强项目管理措施及建议</w:t>
      </w:r>
      <w:bookmarkEnd w:id="14"/>
    </w:p>
    <w:p w:rsidR="00707E63" w:rsidRDefault="00977DE5">
      <w:pPr>
        <w:pStyle w:val="-"/>
        <w:ind w:firstLineChars="300" w:firstLine="840"/>
      </w:pPr>
      <w:r>
        <w:rPr>
          <w:rFonts w:hint="eastAsia"/>
          <w:lang w:eastAsia="zh-CN"/>
        </w:rPr>
        <w:t>项目管理制度需进一步完善，落实主体责任，要进一步常态化管理，做到有序长效开展，强化河道日常监管巡查。</w:t>
      </w:r>
    </w:p>
    <w:p w:rsidR="00707E63" w:rsidRDefault="00707E63">
      <w:pPr>
        <w:pStyle w:val="-"/>
        <w:ind w:firstLine="560"/>
        <w:sectPr w:rsidR="00707E63">
          <w:footerReference w:type="default" r:id="rId15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707E63" w:rsidRDefault="00977DE5">
      <w:pPr>
        <w:pStyle w:val="-3"/>
        <w:rPr>
          <w:rFonts w:ascii="仿宋" w:eastAsia="仿宋" w:hAnsi="仿宋" w:cs="仿宋"/>
          <w:b/>
          <w:bCs/>
        </w:rPr>
      </w:pPr>
      <w:bookmarkStart w:id="15" w:name="_Toc61505650"/>
      <w:r>
        <w:rPr>
          <w:rFonts w:ascii="仿宋" w:eastAsia="仿宋" w:hAnsi="仿宋" w:cs="仿宋" w:hint="eastAsia"/>
          <w:b/>
        </w:rPr>
        <w:lastRenderedPageBreak/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15"/>
    </w:p>
    <w:tbl>
      <w:tblPr>
        <w:tblpPr w:leftFromText="180" w:rightFromText="180" w:vertAnchor="text" w:horzAnchor="page" w:tblpX="1448" w:tblpY="253"/>
        <w:tblOverlap w:val="never"/>
        <w:tblW w:w="140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707E63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707E63" w:rsidRDefault="00977DE5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707E63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707E63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97.3%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97.30%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9.73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工作任务完成，节约资金，年底财政收回</w:t>
            </w:r>
          </w:p>
        </w:tc>
      </w:tr>
      <w:tr w:rsidR="00707E63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河道检查人数每次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验收合格率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巡查河道巡查及时性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河道检查每次成本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400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400元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河道周边居民环境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长效管理制度建设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健全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13.5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进一步完成河长制管理制度</w:t>
            </w:r>
          </w:p>
        </w:tc>
      </w:tr>
      <w:tr w:rsidR="00707E63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707E63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</w:tbl>
    <w:p w:rsidR="00707E63" w:rsidRDefault="00707E63">
      <w:pPr>
        <w:pStyle w:val="-"/>
        <w:ind w:firstLine="560"/>
        <w:sectPr w:rsidR="00707E63">
          <w:footerReference w:type="default" r:id="rId16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  <w:bookmarkStart w:id="16" w:name="_GoBack"/>
      <w:bookmarkEnd w:id="16"/>
    </w:p>
    <w:p w:rsidR="00707E63" w:rsidRDefault="00977DE5">
      <w:pPr>
        <w:pStyle w:val="-3"/>
        <w:rPr>
          <w:rFonts w:ascii="仿宋" w:eastAsia="仿宋" w:hAnsi="仿宋" w:cs="仿宋"/>
          <w:b/>
          <w:bCs/>
        </w:rPr>
      </w:pPr>
      <w:bookmarkStart w:id="17" w:name="_Toc61505651"/>
      <w:r>
        <w:rPr>
          <w:rFonts w:ascii="仿宋" w:eastAsia="仿宋" w:hAnsi="仿宋" w:cs="仿宋" w:hint="eastAsia"/>
          <w:b/>
        </w:rPr>
        <w:lastRenderedPageBreak/>
        <w:t>附件</w:t>
      </w:r>
      <w:r>
        <w:rPr>
          <w:rFonts w:ascii="仿宋" w:eastAsia="仿宋" w:hAnsi="仿宋" w:cs="仿宋"/>
          <w:b/>
        </w:rPr>
        <w:t>2.</w:t>
      </w:r>
      <w:r>
        <w:rPr>
          <w:rFonts w:ascii="仿宋" w:eastAsia="仿宋" w:hAnsi="仿宋" w:cs="仿宋" w:hint="eastAsia"/>
          <w:b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4A0"/>
      </w:tblPr>
      <w:tblGrid>
        <w:gridCol w:w="12100"/>
      </w:tblGrid>
      <w:tr w:rsidR="00707E63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977DE5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707E63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7E63" w:rsidRDefault="00707E63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707E63" w:rsidRDefault="00707E63">
      <w:pPr>
        <w:ind w:firstLineChars="0" w:firstLine="0"/>
      </w:pPr>
    </w:p>
    <w:sectPr w:rsidR="00707E63" w:rsidSect="00707E6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E7" w:rsidRDefault="00AF3CE7" w:rsidP="009C552D">
      <w:pPr>
        <w:ind w:firstLine="560"/>
      </w:pPr>
      <w:r>
        <w:separator/>
      </w:r>
    </w:p>
  </w:endnote>
  <w:endnote w:type="continuationSeparator" w:id="0">
    <w:p w:rsidR="00AF3CE7" w:rsidRDefault="00AF3CE7" w:rsidP="009C552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  <w:jc w:val="center"/>
    </w:pPr>
  </w:p>
  <w:p w:rsidR="00707E63" w:rsidRDefault="00707E63">
    <w:pPr>
      <w:pStyle w:val="a8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3A7D9F">
    <w:pPr>
      <w:pStyle w:val="a8"/>
      <w:ind w:firstLine="360"/>
      <w:jc w:val="center"/>
    </w:pPr>
    <w:r w:rsidRPr="003A7D9F">
      <w:fldChar w:fldCharType="begin"/>
    </w:r>
    <w:r w:rsidR="00977DE5">
      <w:instrText>PAGE   \* MERGEFORMAT</w:instrText>
    </w:r>
    <w:r w:rsidRPr="003A7D9F">
      <w:fldChar w:fldCharType="separate"/>
    </w:r>
    <w:r w:rsidR="00795B58" w:rsidRPr="00795B58">
      <w:rPr>
        <w:noProof/>
        <w:lang w:val="zh-CN"/>
      </w:rPr>
      <w:t>1</w:t>
    </w:r>
    <w:r>
      <w:rPr>
        <w:lang w:val="zh-CN"/>
      </w:rPr>
      <w:fldChar w:fldCharType="end"/>
    </w:r>
  </w:p>
  <w:p w:rsidR="00707E63" w:rsidRDefault="00707E63">
    <w:pPr>
      <w:pStyle w:val="a8"/>
      <w:ind w:firstLineChars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  <w:jc w:val="center"/>
    </w:pPr>
  </w:p>
  <w:p w:rsidR="00707E63" w:rsidRDefault="00707E63">
    <w:pPr>
      <w:pStyle w:val="a8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Chars="0" w:firstLine="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E7" w:rsidRDefault="00AF3CE7" w:rsidP="009C552D">
      <w:pPr>
        <w:ind w:firstLine="560"/>
      </w:pPr>
      <w:r>
        <w:separator/>
      </w:r>
    </w:p>
  </w:footnote>
  <w:footnote w:type="continuationSeparator" w:id="0">
    <w:p w:rsidR="00AF3CE7" w:rsidRDefault="00AF3CE7" w:rsidP="009C552D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63" w:rsidRDefault="00707E63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76DE2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8491F"/>
    <w:rsid w:val="00296630"/>
    <w:rsid w:val="002A0567"/>
    <w:rsid w:val="002A3FC6"/>
    <w:rsid w:val="002A7D91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A7D9F"/>
    <w:rsid w:val="003B03AC"/>
    <w:rsid w:val="003C39F2"/>
    <w:rsid w:val="003E0487"/>
    <w:rsid w:val="003E1BB0"/>
    <w:rsid w:val="003E7B75"/>
    <w:rsid w:val="00400D3F"/>
    <w:rsid w:val="0040136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A7285"/>
    <w:rsid w:val="005B1DE6"/>
    <w:rsid w:val="005B7922"/>
    <w:rsid w:val="005E4265"/>
    <w:rsid w:val="005E7218"/>
    <w:rsid w:val="00614D76"/>
    <w:rsid w:val="006314F7"/>
    <w:rsid w:val="006475F4"/>
    <w:rsid w:val="00650F7B"/>
    <w:rsid w:val="00651C0F"/>
    <w:rsid w:val="00656B37"/>
    <w:rsid w:val="006570A5"/>
    <w:rsid w:val="00690F0F"/>
    <w:rsid w:val="006A3C55"/>
    <w:rsid w:val="006E330B"/>
    <w:rsid w:val="006F17DD"/>
    <w:rsid w:val="00700951"/>
    <w:rsid w:val="00707E63"/>
    <w:rsid w:val="00734FBB"/>
    <w:rsid w:val="00795B58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5531"/>
    <w:rsid w:val="008C72AA"/>
    <w:rsid w:val="008F371F"/>
    <w:rsid w:val="00910324"/>
    <w:rsid w:val="00926CFB"/>
    <w:rsid w:val="009520B5"/>
    <w:rsid w:val="0095796F"/>
    <w:rsid w:val="00977DE5"/>
    <w:rsid w:val="009856DA"/>
    <w:rsid w:val="00996005"/>
    <w:rsid w:val="009C552D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AF3CE7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048C8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4967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2597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07E63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707E63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707E63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07E63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07E6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707E63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707E63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707E63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rsid w:val="00707E63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707E63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707E63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707E63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707E63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707E63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707E63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707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707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707E63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rsid w:val="00707E63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707E63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rsid w:val="00707E63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707E63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707E63"/>
    <w:rPr>
      <w:b/>
      <w:bCs/>
    </w:rPr>
  </w:style>
  <w:style w:type="table" w:styleId="ab">
    <w:name w:val="Table Grid"/>
    <w:basedOn w:val="a2"/>
    <w:uiPriority w:val="99"/>
    <w:rsid w:val="00707E63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707E63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707E63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707E63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707E63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707E63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707E63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707E63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707E63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707E63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707E63"/>
  </w:style>
  <w:style w:type="character" w:customStyle="1" w:styleId="11">
    <w:name w:val="明显参考1"/>
    <w:basedOn w:val="a1"/>
    <w:uiPriority w:val="99"/>
    <w:qFormat/>
    <w:rsid w:val="00707E63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707E63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707E63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707E63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707E63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707E63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707E63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3"/>
    <w:qFormat/>
    <w:rsid w:val="00707E63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3"/>
    <w:locked/>
    <w:rsid w:val="00707E63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707E63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locked/>
    <w:rsid w:val="00707E63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707E63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locked/>
    <w:rsid w:val="00707E63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707E63"/>
    <w:rPr>
      <w:b w:val="0"/>
    </w:rPr>
  </w:style>
  <w:style w:type="character" w:customStyle="1" w:styleId="-Char2">
    <w:name w:val="闻政-正文四级标题 Char"/>
    <w:link w:val="-2"/>
    <w:uiPriority w:val="99"/>
    <w:locked/>
    <w:rsid w:val="00707E63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707E63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locked/>
    <w:rsid w:val="00707E63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102</cp:revision>
  <dcterms:created xsi:type="dcterms:W3CDTF">2020-07-13T07:59:00Z</dcterms:created>
  <dcterms:modified xsi:type="dcterms:W3CDTF">2022-04-08T04:40:00Z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