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eastAsia="zh-CN"/>
        </w:rPr>
      </w:pPr>
      <w:bookmarkStart w:id="27" w:name="_GoBack"/>
      <w:bookmarkEnd w:id="27"/>
    </w:p>
    <w:p>
      <w:pPr>
        <w:spacing w:line="480" w:lineRule="auto"/>
        <w:ind w:firstLine="0" w:firstLineChars="0"/>
        <w:jc w:val="center"/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kern w:val="0"/>
          <w:sz w:val="50"/>
          <w:szCs w:val="50"/>
          <w:lang w:val="en-US" w:eastAsia="zh-CN"/>
        </w:rPr>
        <w:t xml:space="preserve">    </w:t>
      </w: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2021年省级林业改革发展转移支付资金（永久性公益林补助）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大宁县国有林场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大宁县国有林场-402004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  <w:jc w:val="center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/>
        </w:rPr>
        <w:t>目录</w:t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5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hint="eastAsia" w:ascii="等线" w:hAnsi="等线" w:eastAsia="仿宋_GB2312" w:cs="Times New Roman"/>
          <w:b w:val="0"/>
          <w:bCs w:val="0"/>
          <w:caps w:val="0"/>
          <w:sz w:val="21"/>
          <w:szCs w:val="22"/>
          <w:lang w:eastAsia="zh-CN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rPr>
          <w:rFonts w:hint="eastAsia"/>
          <w:lang w:val="en-US" w:eastAsia="zh-CN"/>
        </w:rPr>
        <w:t>5</w:t>
      </w:r>
    </w:p>
    <w:p>
      <w:pPr>
        <w:pStyle w:val="18"/>
        <w:tabs>
          <w:tab w:val="right" w:leader="dot" w:pos="8296"/>
        </w:tabs>
        <w:ind w:firstLine="402"/>
        <w:rPr>
          <w:rFonts w:hint="eastAsia" w:ascii="等线" w:hAnsi="等线" w:eastAsia="仿宋_GB2312" w:cs="Times New Roman"/>
          <w:b w:val="0"/>
          <w:bCs w:val="0"/>
          <w:caps w:val="0"/>
          <w:sz w:val="21"/>
          <w:szCs w:val="22"/>
          <w:lang w:eastAsia="zh-CN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rPr>
          <w:rFonts w:hint="eastAsia"/>
          <w:lang w:val="en-US" w:eastAsia="zh-CN"/>
        </w:rPr>
        <w:t>5</w:t>
      </w:r>
    </w:p>
    <w:p>
      <w:pPr>
        <w:pStyle w:val="18"/>
        <w:tabs>
          <w:tab w:val="right" w:leader="dot" w:pos="8296"/>
        </w:tabs>
        <w:ind w:firstLine="402"/>
        <w:rPr>
          <w:rFonts w:hint="eastAsia" w:ascii="等线" w:hAnsi="等线" w:eastAsia="仿宋_GB2312" w:cs="Times New Roman"/>
          <w:b w:val="0"/>
          <w:bCs w:val="0"/>
          <w:caps w:val="0"/>
          <w:sz w:val="21"/>
          <w:szCs w:val="22"/>
          <w:lang w:eastAsia="zh-CN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rPr>
          <w:rFonts w:hint="eastAsia"/>
          <w:lang w:val="en-US" w:eastAsia="zh-CN"/>
        </w:rPr>
        <w:t>5</w:t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8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省级财政下达的2021年永久性公益林补助资金21.1万元，用于一线管护人员的工资发放、生活补助。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财农（2018）66号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</w:rPr>
        <w:t>通过实施天保工程，使</w:t>
      </w:r>
      <w:r>
        <w:rPr>
          <w:rFonts w:hint="eastAsia"/>
          <w:lang w:eastAsia="zh-CN"/>
        </w:rPr>
        <w:t>我县</w:t>
      </w:r>
      <w:r>
        <w:rPr>
          <w:rFonts w:hint="eastAsia"/>
        </w:rPr>
        <w:t>的森林资源得到了休养生息，天然林资源呈恢复性增长，人工林面积大幅度增加，森林资源质量逐步提高，森林群落结构趋于稳定，水源涵养能力明显增强，水土流失强度逐年降低，面积不断减少，风沙危害强度和范围减小，生物物种丰富度不断增强，数量不断增加，森林的生态、社会、经济效益凸显出来，人居环境得到有效改善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天然林资源保护工程财政专项资金管理办法 《林业改革发展资金管理办法》财农（2016）196号 《林业生态保护恢复资金管理办法》财农（2018）66号 山西省林业厅《林业改革发展资金管理办法》晋财农（2018）35号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增加林场职工收入，改善管护站生活条件</w:t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4998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948"/>
        <w:gridCol w:w="1188"/>
        <w:gridCol w:w="743"/>
        <w:gridCol w:w="586"/>
        <w:gridCol w:w="668"/>
        <w:gridCol w:w="562"/>
        <w:gridCol w:w="730"/>
        <w:gridCol w:w="1095"/>
        <w:gridCol w:w="94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710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965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654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564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654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21.1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21.1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21.1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21.1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21.1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21.1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17.04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17.04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17.04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4.06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4.06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4.06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7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80.76</w:t>
            </w:r>
          </w:p>
        </w:tc>
        <w:tc>
          <w:tcPr>
            <w:tcW w:w="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80.76</w:t>
            </w:r>
          </w:p>
        </w:tc>
        <w:tc>
          <w:tcPr>
            <w:tcW w:w="3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3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80.76</w:t>
            </w:r>
          </w:p>
        </w:tc>
        <w:tc>
          <w:tcPr>
            <w:tcW w:w="3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6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5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增加林场职工收入，改善管护站生活条件</w:t>
      </w:r>
    </w:p>
    <w:p>
      <w:pPr>
        <w:pStyle w:val="44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2</w:t>
      </w:r>
      <w:r>
        <w:rPr>
          <w:rFonts w:hint="eastAsia"/>
          <w:b/>
          <w:bCs/>
        </w:rPr>
        <w:t>）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项目年度目标</w:t>
      </w:r>
    </w:p>
    <w:p>
      <w:pPr>
        <w:pStyle w:val="44"/>
        <w:ind w:left="280" w:firstLine="560"/>
      </w:pPr>
      <w:r>
        <w:t>增加林场职工收入，改善管护站生活条件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2021年省级林业改革发展转移支付资金（永久性公益林补助）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95.76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80.75%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8.07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永久性公益林补偿面积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永久性公益林管护面积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补助资金发放及时率（%）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永久性公益林补助经费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21.1万元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17.04万元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9.69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增加管护人员收入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空气质量达标天数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管护人员满意度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23655"/>
      <w:bookmarkStart w:id="11" w:name="_Toc17451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 w:val="0"/>
          <w:bCs/>
          <w:lang w:eastAsia="zh-CN"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 w:eastAsia="仿宋_GB2312"/>
          <w:b w:val="0"/>
          <w:bCs/>
          <w:lang w:eastAsia="zh-CN"/>
        </w:rPr>
      </w:pPr>
      <w:r>
        <w:rPr>
          <w:rFonts w:hint="eastAsia" w:ascii="仿宋_GB2312"/>
          <w:bCs/>
          <w:lang w:val="en-US" w:eastAsia="zh-CN"/>
        </w:rPr>
        <w:t>2021年项目资金21.1万元，实际支出17.04万元，预算执行率80.75%，主要原因是使用了以前年度的结余资金，导致2021年底资金执行率较低，</w:t>
      </w:r>
      <w:r>
        <w:rPr>
          <w:rFonts w:hint="eastAsia" w:ascii="仿宋_GB2312"/>
          <w:b w:val="0"/>
          <w:bCs/>
          <w:lang w:eastAsia="zh-CN"/>
        </w:rPr>
        <w:t>总体预算执行情况良好。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ascii="仿宋_GB2312"/>
          <w:bCs/>
        </w:rPr>
      </w:pPr>
      <w:r>
        <w:rPr>
          <w:rFonts w:hint="eastAsia" w:ascii="仿宋_GB2312"/>
          <w:bCs/>
          <w:lang w:eastAsia="zh-CN"/>
        </w:rPr>
        <w:t>大宁县国有林场天然林管护面积</w:t>
      </w:r>
      <w:r>
        <w:rPr>
          <w:rFonts w:hint="eastAsia" w:ascii="仿宋_GB2312"/>
          <w:bCs/>
          <w:lang w:val="en-US" w:eastAsia="zh-CN"/>
        </w:rPr>
        <w:t>23.5万亩，管护人员44人，管护人员工资发放及时，2021年项目资金21.1万元，实际支出17.04万元，预算执行率80.75%，主要原因是使用了以前年度的结余资金，导致2021年底资金执行率较低，总体</w:t>
      </w:r>
      <w:r>
        <w:rPr>
          <w:rFonts w:hint="eastAsia" w:ascii="仿宋_GB2312"/>
          <w:bCs/>
          <w:lang w:eastAsia="zh-CN"/>
        </w:rPr>
        <w:t>项目产出情况良好。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numPr>
          <w:ilvl w:val="0"/>
          <w:numId w:val="0"/>
        </w:numPr>
        <w:ind w:firstLine="560" w:firstLineChars="20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Cs/>
          <w:lang w:eastAsia="zh-CN"/>
        </w:rPr>
        <w:t>天保工程的实施，增加了管护人员的收入，改善了管护人员生产生活条件，保障了国有林木的生长条件，大大提高了空气质量，生态效益得到改善。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numPr>
          <w:ilvl w:val="0"/>
          <w:numId w:val="0"/>
        </w:numPr>
        <w:ind w:leftChars="250"/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/>
          <w:bCs/>
          <w:lang w:eastAsia="zh-CN"/>
        </w:rPr>
        <w:t>林场管护人员满意度高，社会公众满意度良好。</w:t>
      </w:r>
    </w:p>
    <w:p>
      <w:pPr>
        <w:pStyle w:val="52"/>
      </w:pPr>
      <w:bookmarkStart w:id="12" w:name="_Toc13663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2"/>
      <w:r>
        <w:t xml:space="preserve"> </w:t>
      </w:r>
    </w:p>
    <w:p>
      <w:pPr>
        <w:pStyle w:val="44"/>
      </w:pPr>
      <w:r>
        <w:rPr>
          <w:rFonts w:hint="eastAsia"/>
          <w:lang w:eastAsia="zh-CN"/>
        </w:rPr>
        <w:t>天保工程实施以来，实现了森林资源稳步增长，生态环境逐步好转，林区经济社会发展和谐稳定，天保工程成效显著。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22752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</w:p>
    <w:p>
      <w:pPr>
        <w:pStyle w:val="44"/>
        <w:ind w:firstLine="977" w:firstLineChars="349"/>
      </w:pPr>
      <w:r>
        <w:rPr>
          <w:rFonts w:hint="eastAsia"/>
          <w:lang w:eastAsia="zh-CN"/>
        </w:rPr>
        <w:t>从项目的实施情况看，存在的主要不足表现为：林区周边人员政策知晓度还要加强宣传，项目管理制度还需要健全。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4" w:name="_Toc13780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4"/>
    </w:p>
    <w:p>
      <w:pPr>
        <w:pStyle w:val="46"/>
        <w:bidi w:val="0"/>
        <w:rPr>
          <w:rFonts w:hint="eastAsia"/>
          <w:lang w:eastAsia="zh-CN"/>
        </w:rPr>
      </w:pPr>
      <w:bookmarkStart w:id="15" w:name="_Toc10968"/>
      <w:bookmarkStart w:id="16" w:name="_Toc324"/>
      <w:r>
        <w:rPr>
          <w:rFonts w:hint="eastAsia"/>
          <w:lang w:eastAsia="zh-CN"/>
        </w:rPr>
        <w:t>（一）预算安排和执行方面</w:t>
      </w:r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应结合工作实际制定用款计划和项目支出计划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 w:bidi="ar-SA"/>
        </w:rPr>
        <w:t>,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及时安排预算，加强职能，提升预算效率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 w:bidi="ar-SA"/>
        </w:rPr>
        <w:t>.</w:t>
      </w:r>
    </w:p>
    <w:p>
      <w:pPr>
        <w:pStyle w:val="46"/>
        <w:bidi w:val="0"/>
        <w:rPr>
          <w:rFonts w:hint="eastAsia"/>
          <w:lang w:eastAsia="zh-CN"/>
        </w:rPr>
      </w:pPr>
      <w:bookmarkStart w:id="17" w:name="_Toc3582"/>
      <w:bookmarkStart w:id="18" w:name="_Toc5706"/>
      <w:r>
        <w:rPr>
          <w:rFonts w:hint="eastAsia"/>
          <w:lang w:eastAsia="zh-CN"/>
        </w:rPr>
        <w:t>（二）制度建设方面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加强对本级财政预算安排的项目资金和上级补助资金的管理，建立健全项目的申报、论证、实施、评审及验收制度，保证项目的顺利实施。建立专项资金绩效考核评价制度，提高资金使用效益。</w:t>
      </w:r>
    </w:p>
    <w:p>
      <w:pPr>
        <w:pStyle w:val="46"/>
        <w:bidi w:val="0"/>
        <w:rPr>
          <w:rFonts w:hint="eastAsia"/>
          <w:lang w:eastAsia="zh-CN"/>
        </w:rPr>
      </w:pPr>
      <w:bookmarkStart w:id="19" w:name="_Toc28418"/>
      <w:bookmarkStart w:id="20" w:name="_Toc6369"/>
      <w:r>
        <w:rPr>
          <w:rFonts w:hint="eastAsia"/>
          <w:lang w:eastAsia="zh-CN"/>
        </w:rPr>
        <w:t>（三） 项目管理方面</w:t>
      </w:r>
      <w:bookmarkEnd w:id="19"/>
      <w:bookmarkEnd w:id="20"/>
    </w:p>
    <w:p>
      <w:pPr>
        <w:ind w:firstLine="504" w:firstLineChars="180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针对管护地点、重点区域增岗设卡，严防死守，确保森林资源的安全。在组织实施天保工程建设过程中，认真研究，科学决策，因地制宜，健全体制，优化机制，着力打造精品工程。</w:t>
      </w:r>
    </w:p>
    <w:p>
      <w:pPr>
        <w:pStyle w:val="46"/>
        <w:bidi w:val="0"/>
        <w:rPr>
          <w:rFonts w:hint="eastAsia"/>
          <w:lang w:eastAsia="zh-CN"/>
        </w:rPr>
      </w:pPr>
      <w:bookmarkStart w:id="21" w:name="_Toc10864"/>
      <w:bookmarkStart w:id="22" w:name="_Toc24734"/>
      <w:r>
        <w:rPr>
          <w:rFonts w:hint="eastAsia"/>
          <w:lang w:eastAsia="zh-CN"/>
        </w:rPr>
        <w:t>（四）资金管理方面</w:t>
      </w:r>
      <w:bookmarkEnd w:id="21"/>
      <w:bookmarkEnd w:id="22"/>
    </w:p>
    <w:p>
      <w:pPr>
        <w:pStyle w:val="44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/>
          <w:lang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为了更好地完善天保工程资金管理，实行资金专户，统一管理，建立了一套有效管理措施，严格执行《天保工程资金管理办法》的规定，专款专用，单独核算，杜绝挤占、挪用、截留等现象发生，做好预决算工作。</w:t>
      </w:r>
    </w:p>
    <w:p>
      <w:pPr>
        <w:pStyle w:val="46"/>
        <w:bidi w:val="0"/>
        <w:rPr>
          <w:rFonts w:hint="eastAsia"/>
          <w:lang w:eastAsia="zh-CN"/>
        </w:rPr>
      </w:pPr>
      <w:bookmarkStart w:id="23" w:name="_Toc20170"/>
      <w:bookmarkStart w:id="24" w:name="_Toc29101"/>
      <w:r>
        <w:rPr>
          <w:rFonts w:hint="eastAsia"/>
          <w:lang w:eastAsia="zh-CN"/>
        </w:rPr>
        <w:t>（五）其他方面</w:t>
      </w:r>
      <w:bookmarkEnd w:id="23"/>
      <w:bookmarkEnd w:id="24"/>
    </w:p>
    <w:p>
      <w:pPr>
        <w:pStyle w:val="44"/>
        <w:ind w:firstLine="848" w:firstLineChars="303"/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2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25"/>
    </w:p>
    <w:p>
      <w:pPr>
        <w:ind w:firstLine="560"/>
      </w:pPr>
    </w:p>
    <w:tbl>
      <w:tblPr>
        <w:tblStyle w:val="24"/>
        <w:tblW w:w="537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588"/>
        <w:gridCol w:w="1072"/>
        <w:gridCol w:w="809"/>
        <w:gridCol w:w="1040"/>
        <w:gridCol w:w="766"/>
        <w:gridCol w:w="936"/>
        <w:gridCol w:w="974"/>
        <w:gridCol w:w="1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80.75%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80.75%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8.07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由于使用了以前年度的结余资金，导致21年底资金执行率较低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永久性公益林补偿面积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永久性公益林管护面积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2.1万亩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补助资金发放及时率（%）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永久性公益林补助经费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21.1万元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17.04万元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80.76%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9.69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由于使用了以前年度的结余资金，导致21年底资金执行率较低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增加管护人员收入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有效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生态效益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空气质量达标天数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22天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59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管护人员满意度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54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14" w:type="pct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328" w:type="pct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52"/>
        <w:rPr>
          <w:rFonts w:ascii="仿宋" w:hAnsi="仿宋" w:eastAsia="仿宋" w:cs="仿宋"/>
          <w:b/>
          <w:bCs w:val="0"/>
        </w:rPr>
      </w:pPr>
      <w:bookmarkStart w:id="2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2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11B33FBA"/>
    <w:rsid w:val="1239614B"/>
    <w:rsid w:val="3D2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uiPriority w:val="99"/>
    <w:pPr>
      <w:ind w:firstLine="420"/>
    </w:pPr>
  </w:style>
  <w:style w:type="paragraph" w:styleId="4">
    <w:name w:val="Body Text Indent"/>
    <w:basedOn w:val="1"/>
    <w:link w:val="35"/>
    <w:semiHidden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qFormat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qFormat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qFormat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qFormat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qFormat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455</Words>
  <Characters>2599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Administrator</cp:lastModifiedBy>
  <dcterms:modified xsi:type="dcterms:W3CDTF">2022-10-10T03:19:25Z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