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  <w:bookmarkStart w:id="34" w:name="_GoBack"/>
      <w:bookmarkEnd w:id="34"/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before="120" w:after="120" w:line="480" w:lineRule="auto"/>
        <w:ind w:firstLine="0" w:firstLineChars="0"/>
        <w:jc w:val="center"/>
        <w:outlineLvl w:val="0"/>
        <w:rPr>
          <w:rFonts w:ascii="仿宋_GB2312" w:hAnsi="Arial"/>
          <w:b/>
          <w:sz w:val="44"/>
          <w:szCs w:val="44"/>
        </w:rPr>
      </w:pPr>
      <w:r>
        <w:rPr>
          <w:rFonts w:hint="eastAsia" w:ascii="仿宋_GB2312" w:hAnsi="Arial"/>
          <w:b/>
          <w:sz w:val="44"/>
          <w:szCs w:val="44"/>
        </w:rPr>
        <w:t>财政项目支出绩效自评报告</w:t>
      </w: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0"/>
          <w:szCs w:val="30"/>
        </w:rPr>
      </w:pP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项目名称：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森林抚育项目</w:t>
      </w: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项目单位：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大宁县国有林场</w:t>
      </w: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主管部门：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大宁县国有林场-402004</w:t>
      </w: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/>
          <w:kern w:val="0"/>
          <w:sz w:val="32"/>
          <w:szCs w:val="32"/>
        </w:rPr>
        <w:t>2022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年</w:t>
      </w:r>
      <w:r>
        <w:rPr>
          <w:rFonts w:ascii="仿宋_GB2312" w:hAnsi="Times New Roman" w:cs="Times New Roman"/>
          <w:kern w:val="0"/>
          <w:sz w:val="32"/>
          <w:szCs w:val="32"/>
        </w:rPr>
        <w:t>2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月</w:t>
      </w:r>
    </w:p>
    <w:p>
      <w:pPr>
        <w:tabs>
          <w:tab w:val="left" w:pos="620"/>
        </w:tabs>
        <w:ind w:firstLine="0" w:firstLineChars="0"/>
        <w:jc w:val="center"/>
        <w:rPr>
          <w:rFonts w:ascii="Calibri" w:hAnsi="Calibri" w:eastAsia="仿宋_GB2312" w:cs="黑体"/>
          <w:kern w:val="2"/>
          <w:sz w:val="28"/>
          <w:szCs w:val="44"/>
          <w:lang w:val="en-US" w:eastAsia="zh-CN" w:bidi="ar-SA"/>
        </w:rPr>
      </w:pPr>
      <w:r>
        <w:rPr>
          <w:rFonts w:ascii="仿宋_GB2312" w:hAnsi="Times New Roman" w:cs="Times New Roman"/>
          <w:kern w:val="0"/>
          <w:sz w:val="32"/>
          <w:szCs w:val="32"/>
        </w:rPr>
        <w:br w:type="page"/>
      </w:r>
      <w:r>
        <w:rPr>
          <w:rFonts w:hint="eastAsia" w:ascii="仿宋_GB2312" w:hAnsi="Times New Roman" w:cs="Times New Roman"/>
          <w:kern w:val="0"/>
          <w:sz w:val="32"/>
          <w:szCs w:val="32"/>
          <w:lang w:eastAsia="zh-CN"/>
        </w:rPr>
        <w:t>目录</w:t>
      </w:r>
      <w:r>
        <w:rPr>
          <w:szCs w:val="44"/>
        </w:rPr>
        <w:fldChar w:fldCharType="begin"/>
      </w:r>
      <w:r>
        <w:rPr>
          <w:szCs w:val="44"/>
        </w:rPr>
        <w:instrText xml:space="preserve"> TOC \o "1-4" \f </w:instrText>
      </w:r>
      <w:r>
        <w:rPr>
          <w:szCs w:val="44"/>
        </w:rPr>
        <w:fldChar w:fldCharType="separate"/>
      </w:r>
    </w:p>
    <w:p>
      <w:pPr>
        <w:pStyle w:val="18"/>
        <w:tabs>
          <w:tab w:val="right" w:leader="dot" w:pos="8306"/>
        </w:tabs>
      </w:pPr>
      <w:r>
        <w:rPr>
          <w:rFonts w:hint="eastAsia" w:ascii="仿宋" w:hAnsi="仿宋" w:eastAsia="仿宋" w:cs="仿宋"/>
          <w:bCs w:val="0"/>
        </w:rPr>
        <w:t>一、项目的基本情况</w:t>
      </w:r>
      <w:r>
        <w:tab/>
      </w:r>
      <w:r>
        <w:fldChar w:fldCharType="begin"/>
      </w:r>
      <w:r>
        <w:instrText xml:space="preserve"> PAGEREF _Toc20791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rPr>
          <w:rFonts w:hint="eastAsia"/>
        </w:rPr>
        <w:t>（一）项目概况</w:t>
      </w:r>
      <w:r>
        <w:tab/>
      </w:r>
      <w:r>
        <w:fldChar w:fldCharType="begin"/>
      </w:r>
      <w:r>
        <w:instrText xml:space="preserve"> PAGEREF _Toc17868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rPr>
          <w:rFonts w:hint="eastAsia"/>
        </w:rPr>
        <w:t>（二）预算执行情况</w:t>
      </w:r>
      <w:r>
        <w:tab/>
      </w:r>
      <w:r>
        <w:fldChar w:fldCharType="begin"/>
      </w:r>
      <w:r>
        <w:instrText xml:space="preserve"> PAGEREF _Toc30864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rPr>
          <w:rFonts w:hint="eastAsia"/>
        </w:rPr>
        <w:t>（三）项目绩效目标</w:t>
      </w:r>
      <w:r>
        <w:tab/>
      </w:r>
      <w:r>
        <w:fldChar w:fldCharType="begin"/>
      </w:r>
      <w:r>
        <w:instrText xml:space="preserve"> PAGEREF _Toc15341 </w:instrText>
      </w:r>
      <w:r>
        <w:fldChar w:fldCharType="separate"/>
      </w:r>
      <w:r>
        <w:t>2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仿宋" w:hAnsi="仿宋" w:eastAsia="仿宋" w:cs="仿宋"/>
          <w:bCs w:val="0"/>
        </w:rPr>
        <w:t>二、项目绩效情况</w:t>
      </w:r>
      <w:r>
        <w:tab/>
      </w:r>
      <w:r>
        <w:fldChar w:fldCharType="begin"/>
      </w:r>
      <w:r>
        <w:instrText xml:space="preserve"> PAGEREF _Toc30533 </w:instrText>
      </w:r>
      <w:r>
        <w:fldChar w:fldCharType="separate"/>
      </w:r>
      <w:r>
        <w:t>2</w:t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rPr>
          <w:rFonts w:hint="eastAsia"/>
        </w:rPr>
        <w:t>（一）预算执行情况</w:t>
      </w:r>
      <w:r>
        <w:tab/>
      </w:r>
      <w:r>
        <w:fldChar w:fldCharType="begin"/>
      </w:r>
      <w:r>
        <w:instrText xml:space="preserve"> PAGEREF _Toc11172 </w:instrText>
      </w:r>
      <w:r>
        <w:fldChar w:fldCharType="separate"/>
      </w:r>
      <w:r>
        <w:t>2</w:t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rPr>
          <w:rFonts w:hint="eastAsia"/>
        </w:rPr>
        <w:t>（三）项目效益情况</w:t>
      </w:r>
      <w:r>
        <w:tab/>
      </w:r>
      <w:r>
        <w:fldChar w:fldCharType="begin"/>
      </w:r>
      <w:r>
        <w:instrText xml:space="preserve"> PAGEREF _Toc14147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rPr>
          <w:rFonts w:hint="eastAsia"/>
        </w:rPr>
        <w:t>（四）项目满意度情况</w:t>
      </w:r>
      <w:r>
        <w:tab/>
      </w:r>
      <w:r>
        <w:fldChar w:fldCharType="begin"/>
      </w:r>
      <w:r>
        <w:instrText xml:space="preserve"> PAGEREF _Toc18015 </w:instrText>
      </w:r>
      <w:r>
        <w:fldChar w:fldCharType="separate"/>
      </w:r>
      <w:r>
        <w:t>3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仿宋" w:hAnsi="仿宋" w:eastAsia="仿宋" w:cs="仿宋"/>
          <w:bCs w:val="0"/>
        </w:rPr>
        <w:t>三、项目绩效分析</w:t>
      </w:r>
      <w:r>
        <w:tab/>
      </w:r>
      <w:r>
        <w:fldChar w:fldCharType="begin"/>
      </w:r>
      <w:r>
        <w:instrText xml:space="preserve"> PAGEREF _Toc16017 </w:instrText>
      </w:r>
      <w:r>
        <w:fldChar w:fldCharType="separate"/>
      </w:r>
      <w:r>
        <w:t>3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仿宋" w:hAnsi="仿宋" w:eastAsia="仿宋" w:cs="仿宋"/>
          <w:bCs w:val="0"/>
        </w:rPr>
        <w:t>四、项目主要经验做法</w:t>
      </w:r>
      <w:r>
        <w:tab/>
      </w:r>
      <w:r>
        <w:fldChar w:fldCharType="begin"/>
      </w:r>
      <w:r>
        <w:instrText xml:space="preserve"> PAGEREF _Toc29460 </w:instrText>
      </w:r>
      <w:r>
        <w:fldChar w:fldCharType="separate"/>
      </w:r>
      <w:r>
        <w:t>4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仿宋" w:hAnsi="仿宋" w:eastAsia="仿宋" w:cs="仿宋"/>
          <w:bCs w:val="0"/>
        </w:rPr>
        <w:t>五、项目管理中存在问题及原因分析</w:t>
      </w:r>
      <w:r>
        <w:tab/>
      </w:r>
      <w:r>
        <w:fldChar w:fldCharType="begin"/>
      </w:r>
      <w:r>
        <w:instrText xml:space="preserve"> PAGEREF _Toc5425 </w:instrText>
      </w:r>
      <w:r>
        <w:fldChar w:fldCharType="separate"/>
      </w:r>
      <w:r>
        <w:t>4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仿宋" w:hAnsi="仿宋" w:eastAsia="仿宋" w:cs="仿宋"/>
          <w:bCs w:val="0"/>
        </w:rPr>
        <w:t>六、进一步加强项目管理措施及建议</w:t>
      </w:r>
      <w:r>
        <w:tab/>
      </w:r>
      <w:r>
        <w:fldChar w:fldCharType="begin"/>
      </w:r>
      <w:r>
        <w:instrText xml:space="preserve"> PAGEREF _Toc27419 </w:instrText>
      </w:r>
      <w:r>
        <w:fldChar w:fldCharType="separate"/>
      </w:r>
      <w:r>
        <w:t>4</w:t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rPr>
          <w:rFonts w:hint="eastAsia"/>
          <w:lang w:eastAsia="zh-CN"/>
        </w:rPr>
        <w:t>（一）预算安排和执行方面</w:t>
      </w:r>
      <w:r>
        <w:tab/>
      </w:r>
      <w:r>
        <w:fldChar w:fldCharType="begin"/>
      </w:r>
      <w:r>
        <w:instrText xml:space="preserve"> PAGEREF _Toc779 </w:instrText>
      </w:r>
      <w:r>
        <w:fldChar w:fldCharType="separate"/>
      </w:r>
      <w:r>
        <w:t>4</w:t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rPr>
          <w:rFonts w:hint="eastAsia"/>
          <w:lang w:eastAsia="zh-CN"/>
        </w:rPr>
        <w:t>（二）制度建设方面</w:t>
      </w:r>
      <w:r>
        <w:tab/>
      </w:r>
      <w:r>
        <w:fldChar w:fldCharType="begin"/>
      </w:r>
      <w:r>
        <w:instrText xml:space="preserve"> PAGEREF _Toc17123 </w:instrText>
      </w:r>
      <w:r>
        <w:fldChar w:fldCharType="separate"/>
      </w:r>
      <w:r>
        <w:t>4</w:t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rPr>
          <w:rFonts w:hint="eastAsia"/>
          <w:lang w:eastAsia="zh-CN"/>
        </w:rPr>
        <w:t>（三） 项目管理方面</w:t>
      </w:r>
      <w:r>
        <w:tab/>
      </w:r>
      <w:r>
        <w:fldChar w:fldCharType="begin"/>
      </w:r>
      <w:r>
        <w:instrText xml:space="preserve"> PAGEREF _Toc11860 </w:instrText>
      </w:r>
      <w:r>
        <w:fldChar w:fldCharType="separate"/>
      </w:r>
      <w:r>
        <w:t>4</w:t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rPr>
          <w:rFonts w:hint="eastAsia"/>
          <w:lang w:eastAsia="zh-CN"/>
        </w:rPr>
        <w:t>（四）资金管理方面</w:t>
      </w:r>
      <w:r>
        <w:tab/>
      </w:r>
      <w:r>
        <w:fldChar w:fldCharType="begin"/>
      </w:r>
      <w:r>
        <w:instrText xml:space="preserve"> PAGEREF _Toc25926 </w:instrText>
      </w:r>
      <w:r>
        <w:fldChar w:fldCharType="separate"/>
      </w:r>
      <w:r>
        <w:t>4</w:t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rPr>
          <w:rFonts w:hint="eastAsia"/>
          <w:lang w:eastAsia="zh-CN"/>
        </w:rPr>
        <w:t>（五）其他方面</w:t>
      </w:r>
      <w:r>
        <w:tab/>
      </w:r>
      <w:r>
        <w:fldChar w:fldCharType="begin"/>
      </w:r>
      <w:r>
        <w:instrText xml:space="preserve"> PAGEREF _Toc9742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1.</w:t>
      </w:r>
      <w:r>
        <w:rPr>
          <w:rFonts w:hint="eastAsia" w:ascii="仿宋" w:hAnsi="仿宋" w:eastAsia="仿宋" w:cs="仿宋"/>
          <w:bCs w:val="0"/>
        </w:rPr>
        <w:t>项目支出绩效自评表</w:t>
      </w:r>
      <w:r>
        <w:tab/>
      </w:r>
      <w:r>
        <w:fldChar w:fldCharType="begin"/>
      </w:r>
      <w:r>
        <w:instrText xml:space="preserve"> PAGEREF _Toc32395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2.</w:t>
      </w:r>
      <w:r>
        <w:rPr>
          <w:rFonts w:hint="eastAsia" w:ascii="仿宋" w:hAnsi="仿宋" w:eastAsia="仿宋" w:cs="仿宋"/>
          <w:bCs w:val="0"/>
        </w:rPr>
        <w:t>绩效自评相关资料</w:t>
      </w:r>
      <w:r>
        <w:tab/>
      </w:r>
      <w:r>
        <w:fldChar w:fldCharType="begin"/>
      </w:r>
      <w:r>
        <w:instrText xml:space="preserve"> PAGEREF _Toc397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296"/>
        </w:tabs>
        <w:ind w:firstLine="275" w:firstLineChars="137"/>
        <w:jc w:val="center"/>
        <w:rPr>
          <w:szCs w:val="44"/>
        </w:rPr>
      </w:pPr>
      <w:r>
        <w:rPr>
          <w:szCs w:val="44"/>
        </w:rPr>
        <w:fldChar w:fldCharType="end"/>
      </w:r>
      <w:r>
        <w:rPr>
          <w:szCs w:val="44"/>
        </w:rPr>
        <w:tab/>
      </w: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0" w:name="_Toc20791"/>
      <w:r>
        <w:rPr>
          <w:rFonts w:hint="eastAsia" w:ascii="仿宋" w:hAnsi="仿宋" w:eastAsia="仿宋" w:cs="仿宋"/>
          <w:b/>
          <w:bCs w:val="0"/>
        </w:rPr>
        <w:t>一、项目的基本情况</w:t>
      </w:r>
      <w:bookmarkEnd w:id="0"/>
    </w:p>
    <w:p>
      <w:pPr>
        <w:pStyle w:val="46"/>
        <w:ind w:left="560"/>
      </w:pPr>
      <w:bookmarkStart w:id="1" w:name="_Toc17868"/>
      <w:r>
        <w:rPr>
          <w:rFonts w:hint="eastAsia"/>
        </w:rPr>
        <w:t>（一）项目概况</w:t>
      </w:r>
      <w:bookmarkEnd w:id="1"/>
    </w:p>
    <w:p>
      <w:pPr>
        <w:pStyle w:val="44"/>
        <w:ind w:left="280" w:firstLine="562"/>
      </w:pPr>
      <w:r>
        <w:rPr>
          <w:rFonts w:hint="eastAsia"/>
          <w:b/>
          <w:bCs/>
        </w:rPr>
        <w:t>项目概况：</w:t>
      </w:r>
      <w:r>
        <w:t>中央财政下达的2021年森林抚育项目资金48万元，对天保管护区里的油松林进行中幼林抚育，包括林木采伐、修枝、割灌木等。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立项依据：</w:t>
      </w:r>
      <w:r>
        <w:t>《林业改革发展资金管理办法》财农（2016）196号 山西省林业厅《林业改革发展资金管理办法》晋财农（2018）35号</w:t>
      </w:r>
    </w:p>
    <w:p>
      <w:pPr>
        <w:pStyle w:val="44"/>
        <w:ind w:left="280" w:firstLine="562"/>
        <w:rPr>
          <w:rFonts w:hint="eastAsia"/>
          <w:b/>
          <w:bCs/>
        </w:rPr>
      </w:pPr>
      <w:r>
        <w:rPr>
          <w:rFonts w:hint="eastAsia"/>
          <w:b/>
          <w:bCs/>
        </w:rPr>
        <w:t>设立的必要性：</w:t>
      </w:r>
      <w:r>
        <w:rPr>
          <w:rFonts w:hint="eastAsia"/>
        </w:rPr>
        <w:t>通过实施天保工程，使</w:t>
      </w:r>
      <w:r>
        <w:rPr>
          <w:rFonts w:hint="eastAsia"/>
          <w:lang w:eastAsia="zh-CN"/>
        </w:rPr>
        <w:t>我县</w:t>
      </w:r>
      <w:r>
        <w:rPr>
          <w:rFonts w:hint="eastAsia"/>
        </w:rPr>
        <w:t>的森林资源得到了休养生息，天然林资源呈恢复性增长，人工林面积大幅度增加，森林资源质量逐步提高，森林群落结构趋于稳定，水源涵养能力明显增强，水土流失强度逐年降低，面积不断减少，风沙危害强度和范围减小，生物物种丰富度不断增强，数量不断增加，森林的生态、社会、经济效益凸显出来，人居环境得到有效改善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保证项目实施的措施与制度：</w:t>
      </w:r>
      <w:r>
        <w:t>《林业改革发展资金管理办法》财农（2016）196号 山西省林业厅《林业改革发展资金管理办法》晋财农（2018）35号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项目实施计划：</w:t>
      </w:r>
      <w:r>
        <w:t>该项目将根据实地情况出具森林抚育作业设计，按照政府采购要求进行公开招标，按照作业设计进行中幼林抚育并完成项目验收。</w:t>
      </w:r>
    </w:p>
    <w:p>
      <w:pPr>
        <w:pStyle w:val="46"/>
        <w:ind w:left="560"/>
      </w:pPr>
      <w:bookmarkStart w:id="2" w:name="_Toc30864"/>
      <w:r>
        <w:rPr>
          <w:rFonts w:hint="eastAsia"/>
        </w:rPr>
        <w:t>（二）预算执行情况</w:t>
      </w:r>
      <w:bookmarkEnd w:id="2"/>
    </w:p>
    <w:tbl>
      <w:tblPr>
        <w:tblStyle w:val="24"/>
        <w:tblW w:w="5135" w:type="pc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37"/>
        <w:gridCol w:w="614"/>
        <w:gridCol w:w="1076"/>
        <w:gridCol w:w="479"/>
        <w:gridCol w:w="539"/>
        <w:gridCol w:w="479"/>
        <w:gridCol w:w="482"/>
        <w:gridCol w:w="1023"/>
        <w:gridCol w:w="1404"/>
        <w:gridCol w:w="126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59" w:hRule="atLeast"/>
        </w:trPr>
        <w:tc>
          <w:tcPr>
            <w:tcW w:w="7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3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行次</w:t>
            </w:r>
          </w:p>
        </w:tc>
        <w:tc>
          <w:tcPr>
            <w:tcW w:w="626" w:type="pct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年度总金额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746" w:type="pct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816" w:type="pct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上年结转资金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733" w:type="pct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其他资金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7" w:hRule="atLeast"/>
        </w:trPr>
        <w:tc>
          <w:tcPr>
            <w:tcW w:w="7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6" w:type="pct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中央级</w:t>
            </w:r>
          </w:p>
        </w:tc>
        <w:tc>
          <w:tcPr>
            <w:tcW w:w="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</w:t>
            </w:r>
          </w:p>
        </w:tc>
        <w:tc>
          <w:tcPr>
            <w:tcW w:w="2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市级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县区级</w:t>
            </w:r>
          </w:p>
        </w:tc>
        <w:tc>
          <w:tcPr>
            <w:tcW w:w="816" w:type="pct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年初预算资金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(1)</w:t>
            </w:r>
          </w:p>
        </w:tc>
        <w:tc>
          <w:tcPr>
            <w:tcW w:w="62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7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全年预算资金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(2)</w:t>
            </w:r>
          </w:p>
        </w:tc>
        <w:tc>
          <w:tcPr>
            <w:tcW w:w="62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7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实际到位资金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(3)</w:t>
            </w:r>
          </w:p>
        </w:tc>
        <w:tc>
          <w:tcPr>
            <w:tcW w:w="62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7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全年执行资金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(4)</w:t>
            </w:r>
          </w:p>
        </w:tc>
        <w:tc>
          <w:tcPr>
            <w:tcW w:w="62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47.8</w:t>
            </w:r>
          </w:p>
        </w:tc>
        <w:tc>
          <w:tcPr>
            <w:tcW w:w="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47.8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47.8</w:t>
            </w:r>
          </w:p>
        </w:tc>
        <w:tc>
          <w:tcPr>
            <w:tcW w:w="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7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资金结余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(5)=(3)-(4)</w:t>
            </w:r>
          </w:p>
        </w:tc>
        <w:tc>
          <w:tcPr>
            <w:tcW w:w="62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0.2</w:t>
            </w:r>
          </w:p>
        </w:tc>
        <w:tc>
          <w:tcPr>
            <w:tcW w:w="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0.2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0.2</w:t>
            </w:r>
          </w:p>
        </w:tc>
        <w:tc>
          <w:tcPr>
            <w:tcW w:w="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7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预算到位率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(6)=(3)/(2)</w:t>
            </w:r>
          </w:p>
        </w:tc>
        <w:tc>
          <w:tcPr>
            <w:tcW w:w="62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7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预算执行率(%)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(7)=(4)/(2)</w:t>
            </w:r>
          </w:p>
        </w:tc>
        <w:tc>
          <w:tcPr>
            <w:tcW w:w="62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99.58</w:t>
            </w:r>
          </w:p>
        </w:tc>
        <w:tc>
          <w:tcPr>
            <w:tcW w:w="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99.58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99.58</w:t>
            </w:r>
          </w:p>
        </w:tc>
        <w:tc>
          <w:tcPr>
            <w:tcW w:w="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7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</w:tbl>
    <w:p>
      <w:pPr>
        <w:pStyle w:val="46"/>
        <w:ind w:left="560"/>
      </w:pPr>
      <w:bookmarkStart w:id="3" w:name="_Toc15341"/>
      <w:r>
        <w:rPr>
          <w:rFonts w:hint="eastAsia"/>
        </w:rPr>
        <w:t>（三）项目绩效目标</w:t>
      </w:r>
      <w:bookmarkEnd w:id="3"/>
    </w:p>
    <w:p>
      <w:pPr>
        <w:pStyle w:val="48"/>
        <w:ind w:left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项目实施期绩效目标</w:t>
      </w:r>
    </w:p>
    <w:p>
      <w:pPr>
        <w:pStyle w:val="44"/>
        <w:ind w:left="280" w:firstLine="560"/>
      </w:pPr>
      <w:r>
        <w:t>由于天保工程的实施，林分没有进行过中幼林抚育林分密度过大，高生长和粗生长严重失调，优胜劣汰明显加剧，光照不足，营养竞争激烈，生态疏伐是本次中幼林抚育的主要措施。</w:t>
      </w:r>
    </w:p>
    <w:p>
      <w:pPr>
        <w:pStyle w:val="44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项目年度目标</w:t>
      </w:r>
    </w:p>
    <w:p>
      <w:pPr>
        <w:pStyle w:val="44"/>
        <w:ind w:left="280" w:firstLine="560"/>
      </w:pPr>
      <w:r>
        <w:t>由于天保工程的实施，林分没有进行过中幼林抚育林分密度过大，高生长和粗生长严重失调，优胜劣汰明显加剧，光照不足，营养竞争激烈，生态疏伐是本次中幼林抚育的主要措施。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4" w:name="_Toc30533"/>
      <w:r>
        <w:rPr>
          <w:rFonts w:hint="eastAsia" w:ascii="仿宋" w:hAnsi="仿宋" w:eastAsia="仿宋" w:cs="仿宋"/>
          <w:b/>
          <w:bCs w:val="0"/>
        </w:rPr>
        <w:t>二、项目绩效情况</w:t>
      </w:r>
      <w:bookmarkEnd w:id="4"/>
    </w:p>
    <w:p>
      <w:pPr>
        <w:pStyle w:val="44"/>
        <w:ind w:left="140" w:leftChars="50" w:firstLine="560"/>
      </w:pPr>
      <w:r>
        <w:rPr>
          <w:rFonts w:hint="eastAsia"/>
        </w:rPr>
        <w:t>综合考虑预算执行情况、产出、效益、服务对象满意度各方面因素，通过数据采集及分析，最终评分结果：</w:t>
      </w:r>
      <w:r>
        <w:t>森林抚育项目</w:t>
      </w:r>
      <w:r>
        <w:rPr>
          <w:rFonts w:hint="eastAsia"/>
        </w:rPr>
        <w:t>项目绩效自评价结果为</w:t>
      </w:r>
      <w:r>
        <w:t>:</w:t>
      </w:r>
      <w:r>
        <w:rPr>
          <w:rFonts w:hint="eastAsia"/>
        </w:rPr>
        <w:t>总得分</w:t>
      </w:r>
      <w:r>
        <w:t>99.91</w:t>
      </w:r>
      <w:r>
        <w:rPr>
          <w:rFonts w:hint="eastAsia"/>
        </w:rPr>
        <w:t>分，属于</w:t>
      </w:r>
      <w:r>
        <w:t>"优秀"</w:t>
      </w:r>
      <w:r>
        <w:rPr>
          <w:rFonts w:hint="eastAsia"/>
        </w:rPr>
        <w:t>。</w:t>
      </w:r>
    </w:p>
    <w:p>
      <w:pPr>
        <w:pStyle w:val="46"/>
        <w:ind w:left="560"/>
      </w:pPr>
      <w:bookmarkStart w:id="5" w:name="_Toc11172"/>
      <w:r>
        <w:rPr>
          <w:rFonts w:hint="eastAsia"/>
        </w:rPr>
        <w:t>（一）预算执行情况</w:t>
      </w:r>
      <w:bookmarkEnd w:id="5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99.58%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9.96</w:t>
            </w:r>
          </w:p>
        </w:tc>
      </w:tr>
    </w:tbl>
    <w:p>
      <w:pPr>
        <w:widowControl/>
        <w:ind w:firstLine="0" w:firstLineChars="0"/>
        <w:jc w:val="left"/>
      </w:pPr>
      <w:r>
        <w:rPr>
          <w:szCs w:val="44"/>
        </w:rPr>
        <w:br w:type="page"/>
      </w:r>
      <w:r>
        <w:rPr>
          <w:rFonts w:hint="eastAsia"/>
        </w:rPr>
        <w:t>（二）项目产出情况</w:t>
      </w:r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森林抚育面积（亩）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4000亩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4000亩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规划设计验收通过情况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合格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计划完成及时率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森林抚育项目资金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48万元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47.8万元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12.95</w:t>
            </w:r>
          </w:p>
        </w:tc>
      </w:tr>
    </w:tbl>
    <w:p>
      <w:pPr>
        <w:pStyle w:val="46"/>
        <w:ind w:left="560"/>
      </w:pPr>
      <w:bookmarkStart w:id="6" w:name="_Toc14147"/>
      <w:r>
        <w:rPr>
          <w:rFonts w:hint="eastAsia"/>
        </w:rPr>
        <w:t>（三）项目效益情况</w:t>
      </w:r>
      <w:bookmarkEnd w:id="6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生态效益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改善林木成活情况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有效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生态环境改善情况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有效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</w:tbl>
    <w:p>
      <w:pPr>
        <w:pStyle w:val="46"/>
        <w:ind w:left="560"/>
      </w:pPr>
      <w:bookmarkStart w:id="7" w:name="_Toc18015"/>
      <w:r>
        <w:rPr>
          <w:rFonts w:hint="eastAsia"/>
        </w:rPr>
        <w:t>（四）项目满意度情况</w:t>
      </w:r>
      <w:bookmarkEnd w:id="7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916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公众满意度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8" w:name="_Toc16017"/>
      <w:r>
        <w:rPr>
          <w:rFonts w:hint="eastAsia" w:ascii="仿宋" w:hAnsi="仿宋" w:eastAsia="仿宋" w:cs="仿宋"/>
          <w:b/>
          <w:bCs w:val="0"/>
        </w:rPr>
        <w:t>三、</w:t>
      </w:r>
      <w:bookmarkStart w:id="9" w:name="_Toc17451"/>
      <w:bookmarkStart w:id="10" w:name="_Toc23655"/>
      <w:r>
        <w:rPr>
          <w:rFonts w:hint="eastAsia" w:ascii="仿宋" w:hAnsi="仿宋" w:eastAsia="仿宋" w:cs="仿宋"/>
          <w:b/>
          <w:bCs w:val="0"/>
        </w:rPr>
        <w:t>项目绩效分析</w:t>
      </w:r>
      <w:bookmarkEnd w:id="8"/>
      <w:bookmarkEnd w:id="9"/>
      <w:bookmarkEnd w:id="10"/>
    </w:p>
    <w:p>
      <w:pPr>
        <w:pStyle w:val="44"/>
        <w:numPr>
          <w:ilvl w:val="0"/>
          <w:numId w:val="1"/>
        </w:numPr>
        <w:ind w:left="700" w:leftChars="250" w:firstLineChars="0"/>
        <w:rPr>
          <w:rFonts w:hint="eastAsia" w:ascii="仿宋_GB2312" w:eastAsia="仿宋_GB2312"/>
          <w:b w:val="0"/>
          <w:bCs/>
          <w:lang w:eastAsia="zh-CN"/>
        </w:rPr>
      </w:pPr>
      <w:r>
        <w:rPr>
          <w:rFonts w:hint="eastAsia" w:ascii="仿宋_GB2312"/>
          <w:b/>
        </w:rPr>
        <w:t>项目实施和预算执行情况及分析</w:t>
      </w:r>
    </w:p>
    <w:p>
      <w:pPr>
        <w:pStyle w:val="44"/>
        <w:numPr>
          <w:ilvl w:val="0"/>
          <w:numId w:val="0"/>
        </w:numPr>
        <w:ind w:firstLine="560" w:firstLineChars="200"/>
        <w:rPr>
          <w:rFonts w:hint="eastAsia" w:ascii="仿宋_GB2312" w:eastAsia="仿宋_GB2312"/>
          <w:b w:val="0"/>
          <w:bCs/>
          <w:lang w:eastAsia="zh-CN"/>
        </w:rPr>
      </w:pPr>
      <w:r>
        <w:rPr>
          <w:rFonts w:hint="eastAsia" w:ascii="仿宋_GB2312"/>
          <w:bCs/>
          <w:lang w:val="en-US" w:eastAsia="zh-CN"/>
        </w:rPr>
        <w:t>2021年项目资金48万元，实际支出47.8万元，预算执行率99.58%，主要原因是该项目节约0.2万元，</w:t>
      </w:r>
      <w:r>
        <w:rPr>
          <w:rFonts w:hint="eastAsia" w:ascii="仿宋_GB2312"/>
          <w:b w:val="0"/>
          <w:bCs/>
          <w:lang w:eastAsia="zh-CN"/>
        </w:rPr>
        <w:t>总体预算执行情况良好。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hint="eastAsia" w:ascii="仿宋_GB2312" w:eastAsia="仿宋_GB2312"/>
          <w:bCs/>
          <w:lang w:eastAsia="zh-CN"/>
        </w:rPr>
      </w:pPr>
      <w:r>
        <w:rPr>
          <w:rFonts w:hint="eastAsia" w:ascii="仿宋_GB2312"/>
          <w:b/>
        </w:rPr>
        <w:t>产出情况及分析</w:t>
      </w:r>
    </w:p>
    <w:p>
      <w:pPr>
        <w:pStyle w:val="44"/>
        <w:numPr>
          <w:ilvl w:val="0"/>
          <w:numId w:val="0"/>
        </w:numPr>
        <w:ind w:firstLine="560" w:firstLineChars="200"/>
        <w:rPr>
          <w:rFonts w:ascii="仿宋_GB2312"/>
          <w:bCs/>
        </w:rPr>
      </w:pPr>
      <w:r>
        <w:rPr>
          <w:rFonts w:hint="eastAsia" w:ascii="仿宋_GB2312"/>
          <w:bCs/>
          <w:lang w:eastAsia="zh-CN"/>
        </w:rPr>
        <w:t>大宁县国有林场森林抚育面积</w:t>
      </w:r>
      <w:r>
        <w:rPr>
          <w:rFonts w:hint="eastAsia" w:ascii="仿宋_GB2312"/>
          <w:bCs/>
          <w:lang w:val="en-US" w:eastAsia="zh-CN"/>
        </w:rPr>
        <w:t>4000亩，项目预算设计经临汾市林业规划院审批通过，2021年项目资金48万元，实际支出47.8万元，预算执行率99.58%，主要原因是该项目节约0.2万元，总体</w:t>
      </w:r>
      <w:r>
        <w:rPr>
          <w:rFonts w:hint="eastAsia" w:ascii="仿宋_GB2312"/>
          <w:bCs/>
          <w:lang w:eastAsia="zh-CN"/>
        </w:rPr>
        <w:t>项目产出情况良好。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hint="eastAsia" w:ascii="仿宋_GB2312" w:eastAsia="仿宋_GB2312"/>
          <w:bCs/>
          <w:lang w:eastAsia="zh-CN"/>
        </w:rPr>
      </w:pPr>
      <w:r>
        <w:rPr>
          <w:rFonts w:hint="eastAsia" w:ascii="仿宋_GB2312"/>
          <w:b/>
        </w:rPr>
        <w:t>效益情况及分析</w:t>
      </w:r>
    </w:p>
    <w:p>
      <w:pPr>
        <w:pStyle w:val="44"/>
        <w:numPr>
          <w:ilvl w:val="0"/>
          <w:numId w:val="0"/>
        </w:numPr>
        <w:ind w:firstLine="560" w:firstLineChars="200"/>
        <w:rPr>
          <w:rFonts w:hint="eastAsia" w:ascii="仿宋_GB2312" w:eastAsia="仿宋_GB2312"/>
          <w:bCs/>
          <w:lang w:eastAsia="zh-CN"/>
        </w:rPr>
      </w:pPr>
      <w:r>
        <w:rPr>
          <w:rFonts w:hint="eastAsia" w:ascii="仿宋_GB2312"/>
          <w:bCs/>
          <w:lang w:eastAsia="zh-CN"/>
        </w:rPr>
        <w:t>天保工程的实施，增加了管护人员的收入，改善了管护人员生产生活条件，保障了国有林木的生长条件，大大提高了空气质量，生态效益得到改善。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hint="eastAsia" w:ascii="仿宋_GB2312" w:eastAsia="仿宋_GB2312"/>
          <w:bCs/>
          <w:lang w:eastAsia="zh-CN"/>
        </w:rPr>
      </w:pPr>
      <w:r>
        <w:rPr>
          <w:rFonts w:hint="eastAsia" w:ascii="仿宋_GB2312"/>
          <w:b/>
        </w:rPr>
        <w:t>满意度情况及分析</w:t>
      </w:r>
    </w:p>
    <w:p>
      <w:pPr>
        <w:pStyle w:val="44"/>
        <w:numPr>
          <w:ilvl w:val="0"/>
          <w:numId w:val="0"/>
        </w:numPr>
        <w:ind w:leftChars="250"/>
        <w:rPr>
          <w:rFonts w:hint="eastAsia" w:ascii="仿宋_GB2312" w:eastAsia="仿宋_GB2312"/>
          <w:bCs/>
          <w:lang w:eastAsia="zh-CN"/>
        </w:rPr>
      </w:pPr>
      <w:r>
        <w:rPr>
          <w:rFonts w:hint="eastAsia" w:ascii="仿宋_GB2312"/>
          <w:bCs/>
          <w:lang w:eastAsia="zh-CN"/>
        </w:rPr>
        <w:t>林场管护人员满意度高，社会公众满意度良好。</w:t>
      </w:r>
    </w:p>
    <w:p>
      <w:pPr>
        <w:pStyle w:val="52"/>
      </w:pPr>
      <w:bookmarkStart w:id="11" w:name="_Toc13663"/>
      <w:bookmarkStart w:id="12" w:name="_Toc29460"/>
      <w:r>
        <w:rPr>
          <w:rFonts w:hint="eastAsia" w:ascii="仿宋" w:hAnsi="仿宋" w:eastAsia="仿宋" w:cs="仿宋"/>
          <w:b/>
          <w:bCs w:val="0"/>
        </w:rPr>
        <w:t>四、项目主要经验做法</w:t>
      </w:r>
      <w:bookmarkEnd w:id="11"/>
      <w:bookmarkEnd w:id="12"/>
      <w:r>
        <w:t xml:space="preserve"> </w:t>
      </w:r>
    </w:p>
    <w:p>
      <w:pPr>
        <w:pStyle w:val="44"/>
      </w:pPr>
      <w:r>
        <w:rPr>
          <w:rFonts w:hint="eastAsia"/>
          <w:lang w:eastAsia="zh-CN"/>
        </w:rPr>
        <w:t>天保工程实施以来，实现了森林资源稳步增长，生态环境逐步好转，林区经济社会发展和谐稳定，天保工程成效显著。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3" w:name="_Toc22752"/>
      <w:bookmarkStart w:id="14" w:name="_Toc5425"/>
      <w:r>
        <w:rPr>
          <w:rFonts w:hint="eastAsia" w:ascii="仿宋" w:hAnsi="仿宋" w:eastAsia="仿宋" w:cs="仿宋"/>
          <w:b/>
          <w:bCs w:val="0"/>
        </w:rPr>
        <w:t>五、项目管理中存在问题及原因分析</w:t>
      </w:r>
      <w:bookmarkEnd w:id="13"/>
      <w:bookmarkEnd w:id="14"/>
    </w:p>
    <w:p>
      <w:pPr>
        <w:pStyle w:val="44"/>
        <w:ind w:firstLine="977" w:firstLineChars="349"/>
      </w:pPr>
      <w:r>
        <w:rPr>
          <w:rFonts w:hint="eastAsia"/>
          <w:lang w:eastAsia="zh-CN"/>
        </w:rPr>
        <w:t>从项目的实施情况看，存在的主要不足表现为：林区周边人员政策知晓度还要加强宣传，项目管理制度还需要健全。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5" w:name="_Toc27419"/>
      <w:bookmarkStart w:id="16" w:name="_Toc13780"/>
      <w:r>
        <w:rPr>
          <w:rFonts w:hint="eastAsia" w:ascii="仿宋" w:hAnsi="仿宋" w:eastAsia="仿宋" w:cs="仿宋"/>
          <w:b/>
          <w:bCs w:val="0"/>
        </w:rPr>
        <w:t>六、进一步加强项目管理措施及建议</w:t>
      </w:r>
      <w:bookmarkEnd w:id="15"/>
      <w:bookmarkEnd w:id="16"/>
    </w:p>
    <w:p>
      <w:pPr>
        <w:pStyle w:val="46"/>
        <w:bidi w:val="0"/>
        <w:spacing w:line="240" w:lineRule="auto"/>
        <w:rPr>
          <w:rFonts w:hint="eastAsia"/>
          <w:lang w:eastAsia="zh-CN"/>
        </w:rPr>
      </w:pPr>
      <w:bookmarkStart w:id="17" w:name="_Toc324"/>
      <w:bookmarkStart w:id="18" w:name="_Toc10968"/>
      <w:bookmarkStart w:id="19" w:name="_Toc779"/>
      <w:r>
        <w:rPr>
          <w:rFonts w:hint="eastAsia"/>
          <w:lang w:eastAsia="zh-CN"/>
        </w:rPr>
        <w:t>（一）预算安排和执行方面</w:t>
      </w:r>
      <w:bookmarkEnd w:id="17"/>
      <w:bookmarkEnd w:id="18"/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应结合工作实际制定用款计划和项目支出计划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及时安排预算，加强职能，提升预算效率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 w:bidi="ar-SA"/>
        </w:rPr>
        <w:t>.</w:t>
      </w:r>
    </w:p>
    <w:p>
      <w:pPr>
        <w:pStyle w:val="46"/>
        <w:bidi w:val="0"/>
        <w:spacing w:line="240" w:lineRule="auto"/>
        <w:rPr>
          <w:rFonts w:hint="eastAsia"/>
          <w:lang w:eastAsia="zh-CN"/>
        </w:rPr>
      </w:pPr>
      <w:bookmarkStart w:id="20" w:name="_Toc3582"/>
      <w:bookmarkStart w:id="21" w:name="_Toc17123"/>
      <w:bookmarkStart w:id="22" w:name="_Toc5706"/>
      <w:r>
        <w:rPr>
          <w:rFonts w:hint="eastAsia"/>
          <w:lang w:eastAsia="zh-CN"/>
        </w:rPr>
        <w:t>（二）制度建设方面</w:t>
      </w:r>
      <w:bookmarkEnd w:id="20"/>
      <w:bookmarkEnd w:id="21"/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lang w:eastAsia="zh-CN"/>
        </w:rPr>
        <w:tab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加强对本级财政预算安排的项目资金和上级补助资金的管理，建立健全项目的申报、论证、实施、评审及验收制度，保证项目的顺利实施。建立专项资金绩效考核评价制度，提高资金使用效益。</w:t>
      </w:r>
    </w:p>
    <w:p>
      <w:pPr>
        <w:pStyle w:val="46"/>
        <w:bidi w:val="0"/>
        <w:spacing w:line="240" w:lineRule="auto"/>
        <w:rPr>
          <w:rFonts w:hint="eastAsia"/>
          <w:lang w:eastAsia="zh-CN"/>
        </w:rPr>
      </w:pPr>
      <w:bookmarkStart w:id="23" w:name="_Toc6369"/>
      <w:bookmarkStart w:id="24" w:name="_Toc28418"/>
      <w:bookmarkStart w:id="25" w:name="_Toc11860"/>
      <w:r>
        <w:rPr>
          <w:rFonts w:hint="eastAsia"/>
          <w:lang w:eastAsia="zh-CN"/>
        </w:rPr>
        <w:t>（三） 项目管理方面</w:t>
      </w:r>
      <w:bookmarkEnd w:id="23"/>
      <w:bookmarkEnd w:id="24"/>
      <w:bookmarkEnd w:id="25"/>
    </w:p>
    <w:p>
      <w:pPr>
        <w:spacing w:line="240" w:lineRule="auto"/>
        <w:ind w:firstLine="504" w:firstLineChars="180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针对管护地点、重点区域增岗设卡，严防死守，确保森林资源的安全。在组织实施天保工程建设过程中，认真研究，科学决策，因地制宜，健全体制，优化机制，着力打造精品工程。</w:t>
      </w:r>
    </w:p>
    <w:p>
      <w:pPr>
        <w:pStyle w:val="46"/>
        <w:bidi w:val="0"/>
        <w:rPr>
          <w:rFonts w:hint="eastAsia"/>
          <w:lang w:eastAsia="zh-CN"/>
        </w:rPr>
      </w:pPr>
      <w:bookmarkStart w:id="26" w:name="_Toc25926"/>
      <w:bookmarkStart w:id="27" w:name="_Toc24734"/>
      <w:bookmarkStart w:id="28" w:name="_Toc10864"/>
      <w:r>
        <w:rPr>
          <w:rFonts w:hint="eastAsia"/>
          <w:lang w:eastAsia="zh-CN"/>
        </w:rPr>
        <w:t>（四）资金管理方面</w:t>
      </w:r>
      <w:bookmarkEnd w:id="26"/>
      <w:bookmarkEnd w:id="27"/>
      <w:bookmarkEnd w:id="28"/>
    </w:p>
    <w:p>
      <w:pPr>
        <w:pStyle w:val="44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/>
          <w:lang w:eastAsia="zh-CN"/>
        </w:rPr>
        <w:tab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为了更好地完善天保工程资金管理，实行资金专户，统一管理，建立了一套有效管理措施，严格执行《天保工程资金管理办法》的规定，专款专用，单独核算，杜绝挤占、挪用、截留等现象发生，做好预决算工作。</w:t>
      </w:r>
    </w:p>
    <w:p>
      <w:pPr>
        <w:pStyle w:val="46"/>
        <w:bidi w:val="0"/>
        <w:rPr>
          <w:rFonts w:hint="eastAsia"/>
          <w:lang w:eastAsia="zh-CN"/>
        </w:rPr>
      </w:pPr>
      <w:bookmarkStart w:id="29" w:name="_Toc20170"/>
      <w:bookmarkStart w:id="30" w:name="_Toc29101"/>
      <w:bookmarkStart w:id="31" w:name="_Toc9742"/>
      <w:r>
        <w:rPr>
          <w:rFonts w:hint="eastAsia"/>
          <w:lang w:eastAsia="zh-CN"/>
        </w:rPr>
        <w:t>（五）其他方面</w:t>
      </w:r>
      <w:bookmarkEnd w:id="29"/>
      <w:bookmarkEnd w:id="30"/>
      <w:bookmarkEnd w:id="31"/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32" w:name="_Toc32395"/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1.</w:t>
      </w:r>
      <w:r>
        <w:rPr>
          <w:rFonts w:hint="eastAsia" w:ascii="仿宋" w:hAnsi="仿宋" w:eastAsia="仿宋" w:cs="仿宋"/>
          <w:b/>
          <w:bCs w:val="0"/>
        </w:rPr>
        <w:t>项目支出绩效自评表</w:t>
      </w:r>
      <w:bookmarkEnd w:id="32"/>
    </w:p>
    <w:p>
      <w:pPr>
        <w:ind w:firstLine="560"/>
      </w:pPr>
    </w:p>
    <w:tbl>
      <w:tblPr>
        <w:tblStyle w:val="24"/>
        <w:tblW w:w="545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067"/>
        <w:gridCol w:w="1592"/>
        <w:gridCol w:w="751"/>
        <w:gridCol w:w="716"/>
        <w:gridCol w:w="770"/>
        <w:gridCol w:w="758"/>
        <w:gridCol w:w="1003"/>
        <w:gridCol w:w="1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</w:rPr>
              <w:t>附件</w:t>
            </w:r>
            <w:r>
              <w:rPr>
                <w:rFonts w:ascii="仿宋" w:hAnsi="仿宋" w:eastAsia="仿宋" w:cs="仿宋"/>
                <w:b/>
              </w:rPr>
              <w:t>1.</w:t>
            </w:r>
            <w:r>
              <w:rPr>
                <w:rFonts w:hint="eastAsia" w:ascii="仿宋" w:hAnsi="仿宋" w:eastAsia="仿宋" w:cs="仿宋"/>
                <w:b/>
              </w:rPr>
              <w:t>项目支出绩效自评表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一级指标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二级指标</w:t>
            </w:r>
          </w:p>
        </w:tc>
        <w:tc>
          <w:tcPr>
            <w:tcW w:w="8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目标指标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权重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目标值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业绩值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完成率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指标得分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偏差原因分析及改进措施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8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99.58%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99.58%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9.96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该项目节约资金0.2万元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0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8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森林抚育面积（亩）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4000亩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4000亩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0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8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规划设计验收通过情况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合格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0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8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计划完成及时率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0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8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森林抚育项目资金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48万元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47.8万元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99.58%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12.95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该项目节约资金0.2万元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0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生态效益</w:t>
            </w:r>
          </w:p>
        </w:tc>
        <w:tc>
          <w:tcPr>
            <w:tcW w:w="8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改善林木成活情况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有效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0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8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生态环境改善情况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有效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8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公众满意度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>
      <w:pPr>
        <w:pStyle w:val="52"/>
        <w:rPr>
          <w:rFonts w:ascii="仿宋" w:hAnsi="仿宋" w:eastAsia="仿宋" w:cs="仿宋"/>
          <w:b/>
          <w:bCs w:val="0"/>
        </w:rPr>
      </w:pPr>
      <w:bookmarkStart w:id="33" w:name="_Toc397"/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2.</w:t>
      </w:r>
      <w:r>
        <w:rPr>
          <w:rFonts w:hint="eastAsia" w:ascii="仿宋" w:hAnsi="仿宋" w:eastAsia="仿宋" w:cs="仿宋"/>
          <w:b/>
          <w:bCs w:val="0"/>
        </w:rPr>
        <w:t>绩效自评相关资料</w:t>
      </w:r>
      <w:bookmarkEnd w:id="33"/>
    </w:p>
    <w:tbl>
      <w:tblPr>
        <w:tblStyle w:val="24"/>
        <w:tblW w:w="12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附件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绩效自评相关资料</w:t>
            </w:r>
          </w:p>
        </w:tc>
      </w:tr>
    </w:tbl>
    <w:p>
      <w:pPr>
        <w:ind w:firstLine="0" w:firstLineChars="0"/>
      </w:pP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</w:p>
  <w:p>
    <w:pPr>
      <w:pStyle w:val="16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0" w:firstLineChars="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6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B53022"/>
    <w:multiLevelType w:val="singleLevel"/>
    <w:tmpl w:val="E3B530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7B7"/>
    <w:rsid w:val="000122EB"/>
    <w:rsid w:val="000142C9"/>
    <w:rsid w:val="00027C90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CA4"/>
    <w:rsid w:val="0017285F"/>
    <w:rsid w:val="001A3CD2"/>
    <w:rsid w:val="001B4120"/>
    <w:rsid w:val="001C06A8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A0567"/>
    <w:rsid w:val="002A3FC6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7560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E0FDB"/>
    <w:rsid w:val="00542BD3"/>
    <w:rsid w:val="00543E44"/>
    <w:rsid w:val="00576C00"/>
    <w:rsid w:val="00593D5E"/>
    <w:rsid w:val="005A080E"/>
    <w:rsid w:val="005A3D0F"/>
    <w:rsid w:val="005B1DE6"/>
    <w:rsid w:val="005B7922"/>
    <w:rsid w:val="005E4265"/>
    <w:rsid w:val="005E7218"/>
    <w:rsid w:val="00614D76"/>
    <w:rsid w:val="006314F7"/>
    <w:rsid w:val="006475F4"/>
    <w:rsid w:val="00651C0F"/>
    <w:rsid w:val="00656B37"/>
    <w:rsid w:val="006570A5"/>
    <w:rsid w:val="00690F0F"/>
    <w:rsid w:val="006A3C55"/>
    <w:rsid w:val="006E330B"/>
    <w:rsid w:val="006F17DD"/>
    <w:rsid w:val="00700951"/>
    <w:rsid w:val="00734FBB"/>
    <w:rsid w:val="00795EE4"/>
    <w:rsid w:val="007A0274"/>
    <w:rsid w:val="007B18A7"/>
    <w:rsid w:val="007B29FC"/>
    <w:rsid w:val="007F5D03"/>
    <w:rsid w:val="00805ED9"/>
    <w:rsid w:val="00843FC2"/>
    <w:rsid w:val="00844C16"/>
    <w:rsid w:val="00850D03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856DA"/>
    <w:rsid w:val="00996005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64A8"/>
    <w:rsid w:val="00B0412B"/>
    <w:rsid w:val="00B21080"/>
    <w:rsid w:val="00B31ECA"/>
    <w:rsid w:val="00B43815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C24C26"/>
    <w:rsid w:val="00C25722"/>
    <w:rsid w:val="00C372D2"/>
    <w:rsid w:val="00C44067"/>
    <w:rsid w:val="00CA22A5"/>
    <w:rsid w:val="00CA34FC"/>
    <w:rsid w:val="00CA50DE"/>
    <w:rsid w:val="00CD128E"/>
    <w:rsid w:val="00CE5BDA"/>
    <w:rsid w:val="00CF39E1"/>
    <w:rsid w:val="00CF51F1"/>
    <w:rsid w:val="00D01733"/>
    <w:rsid w:val="00D71919"/>
    <w:rsid w:val="00D90DEA"/>
    <w:rsid w:val="00D97E83"/>
    <w:rsid w:val="00DC184E"/>
    <w:rsid w:val="00E11E0B"/>
    <w:rsid w:val="00E56E53"/>
    <w:rsid w:val="00E609AE"/>
    <w:rsid w:val="00E750BD"/>
    <w:rsid w:val="00E91A08"/>
    <w:rsid w:val="00E965D1"/>
    <w:rsid w:val="00EB4620"/>
    <w:rsid w:val="00EC43B2"/>
    <w:rsid w:val="00F03519"/>
    <w:rsid w:val="00F03929"/>
    <w:rsid w:val="00F060C7"/>
    <w:rsid w:val="00F068F7"/>
    <w:rsid w:val="00F14561"/>
    <w:rsid w:val="00F25650"/>
    <w:rsid w:val="00F45162"/>
    <w:rsid w:val="00F5304C"/>
    <w:rsid w:val="00F870C6"/>
    <w:rsid w:val="00F92B58"/>
    <w:rsid w:val="00F96480"/>
    <w:rsid w:val="00FD0AF5"/>
    <w:rsid w:val="00FD3022"/>
    <w:rsid w:val="00FD64C8"/>
    <w:rsid w:val="00FE4A15"/>
    <w:rsid w:val="00FF6DAB"/>
    <w:rsid w:val="13C63F28"/>
    <w:rsid w:val="573C7E1C"/>
    <w:rsid w:val="7572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0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29"/>
    <w:qFormat/>
    <w:uiPriority w:val="99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6"/>
    <w:link w:val="30"/>
    <w:qFormat/>
    <w:uiPriority w:val="99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7">
    <w:name w:val="heading 3"/>
    <w:basedOn w:val="1"/>
    <w:next w:val="1"/>
    <w:link w:val="31"/>
    <w:qFormat/>
    <w:uiPriority w:val="99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8">
    <w:name w:val="heading 4"/>
    <w:basedOn w:val="1"/>
    <w:next w:val="1"/>
    <w:link w:val="32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Cs w:val="28"/>
    </w:rPr>
  </w:style>
  <w:style w:type="character" w:default="1" w:styleId="26">
    <w:name w:val="Default Paragraph Font"/>
    <w:semiHidden/>
    <w:uiPriority w:val="99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link w:val="36"/>
    <w:qFormat/>
    <w:uiPriority w:val="99"/>
    <w:pPr>
      <w:ind w:firstLine="420"/>
    </w:pPr>
  </w:style>
  <w:style w:type="paragraph" w:styleId="4">
    <w:name w:val="Body Text Indent"/>
    <w:basedOn w:val="1"/>
    <w:link w:val="35"/>
    <w:semiHidden/>
    <w:qFormat/>
    <w:uiPriority w:val="99"/>
    <w:pPr>
      <w:spacing w:after="120"/>
      <w:ind w:left="420" w:leftChars="200"/>
    </w:pPr>
    <w:rPr>
      <w:rFonts w:cs="Times New Roman"/>
      <w:kern w:val="0"/>
      <w:szCs w:val="20"/>
    </w:rPr>
  </w:style>
  <w:style w:type="paragraph" w:styleId="6">
    <w:name w:val="No Spacing"/>
    <w:link w:val="43"/>
    <w:qFormat/>
    <w:uiPriority w:val="99"/>
    <w:pPr>
      <w:widowControl w:val="0"/>
      <w:ind w:firstLine="600" w:firstLineChars="200"/>
      <w:jc w:val="both"/>
    </w:pPr>
    <w:rPr>
      <w:rFonts w:ascii="Calibri" w:hAnsi="Calibri" w:eastAsia="仿宋_GB2312" w:cs="Times New Roman"/>
      <w:kern w:val="0"/>
      <w:sz w:val="28"/>
      <w:szCs w:val="22"/>
      <w:lang w:val="en-US" w:eastAsia="zh-CN" w:bidi="ar-SA"/>
    </w:rPr>
  </w:style>
  <w:style w:type="paragraph" w:styleId="9">
    <w:name w:val="toc 7"/>
    <w:basedOn w:val="1"/>
    <w:next w:val="1"/>
    <w:qFormat/>
    <w:uiPriority w:val="99"/>
    <w:pPr>
      <w:ind w:left="1680"/>
      <w:jc w:val="left"/>
    </w:pPr>
    <w:rPr>
      <w:rFonts w:cs="Calibri"/>
      <w:sz w:val="18"/>
      <w:szCs w:val="18"/>
    </w:rPr>
  </w:style>
  <w:style w:type="paragraph" w:styleId="10">
    <w:name w:val="Document Map"/>
    <w:basedOn w:val="1"/>
    <w:link w:val="42"/>
    <w:semiHidden/>
    <w:uiPriority w:val="99"/>
    <w:rPr>
      <w:rFonts w:ascii="宋体" w:eastAsia="宋体" w:cs="Times New Roman"/>
      <w:kern w:val="0"/>
      <w:sz w:val="18"/>
      <w:szCs w:val="18"/>
    </w:rPr>
  </w:style>
  <w:style w:type="paragraph" w:styleId="11">
    <w:name w:val="annotation text"/>
    <w:basedOn w:val="1"/>
    <w:link w:val="40"/>
    <w:semiHidden/>
    <w:qFormat/>
    <w:uiPriority w:val="99"/>
    <w:rPr>
      <w:rFonts w:cs="Times New Roman"/>
      <w:kern w:val="0"/>
      <w:sz w:val="20"/>
      <w:szCs w:val="20"/>
    </w:rPr>
  </w:style>
  <w:style w:type="paragraph" w:styleId="12">
    <w:name w:val="toc 5"/>
    <w:basedOn w:val="1"/>
    <w:next w:val="1"/>
    <w:qFormat/>
    <w:uiPriority w:val="99"/>
    <w:pPr>
      <w:ind w:left="1120"/>
      <w:jc w:val="left"/>
    </w:pPr>
    <w:rPr>
      <w:rFonts w:cs="Calibri"/>
      <w:sz w:val="18"/>
      <w:szCs w:val="18"/>
    </w:rPr>
  </w:style>
  <w:style w:type="paragraph" w:styleId="13">
    <w:name w:val="toc 3"/>
    <w:basedOn w:val="1"/>
    <w:next w:val="1"/>
    <w:uiPriority w:val="99"/>
    <w:pPr>
      <w:ind w:left="560"/>
      <w:jc w:val="left"/>
    </w:pPr>
    <w:rPr>
      <w:rFonts w:cs="Calibri"/>
      <w:i/>
      <w:iCs/>
      <w:sz w:val="20"/>
      <w:szCs w:val="20"/>
    </w:rPr>
  </w:style>
  <w:style w:type="paragraph" w:styleId="14">
    <w:name w:val="toc 8"/>
    <w:basedOn w:val="1"/>
    <w:next w:val="1"/>
    <w:qFormat/>
    <w:uiPriority w:val="99"/>
    <w:pPr>
      <w:ind w:left="1960"/>
      <w:jc w:val="left"/>
    </w:pPr>
    <w:rPr>
      <w:rFonts w:cs="Calibri"/>
      <w:sz w:val="18"/>
      <w:szCs w:val="18"/>
    </w:rPr>
  </w:style>
  <w:style w:type="paragraph" w:styleId="15">
    <w:name w:val="Balloon Text"/>
    <w:basedOn w:val="1"/>
    <w:link w:val="38"/>
    <w:semiHidden/>
    <w:qFormat/>
    <w:uiPriority w:val="99"/>
    <w:rPr>
      <w:rFonts w:cs="Times New Roman"/>
      <w:kern w:val="0"/>
      <w:sz w:val="18"/>
      <w:szCs w:val="18"/>
    </w:rPr>
  </w:style>
  <w:style w:type="paragraph" w:styleId="16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9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19">
    <w:name w:val="toc 4"/>
    <w:basedOn w:val="1"/>
    <w:next w:val="1"/>
    <w:uiPriority w:val="99"/>
    <w:pPr>
      <w:ind w:left="840"/>
      <w:jc w:val="left"/>
    </w:pPr>
    <w:rPr>
      <w:rFonts w:cs="Calibri"/>
      <w:sz w:val="18"/>
      <w:szCs w:val="18"/>
    </w:rPr>
  </w:style>
  <w:style w:type="paragraph" w:styleId="20">
    <w:name w:val="toc 6"/>
    <w:basedOn w:val="1"/>
    <w:next w:val="1"/>
    <w:qFormat/>
    <w:uiPriority w:val="99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1"/>
    <w:next w:val="1"/>
    <w:uiPriority w:val="99"/>
    <w:pPr>
      <w:ind w:left="280"/>
      <w:jc w:val="left"/>
    </w:pPr>
    <w:rPr>
      <w:rFonts w:cs="Calibri"/>
      <w:smallCaps/>
      <w:sz w:val="20"/>
      <w:szCs w:val="20"/>
    </w:rPr>
  </w:style>
  <w:style w:type="paragraph" w:styleId="22">
    <w:name w:val="toc 9"/>
    <w:basedOn w:val="1"/>
    <w:next w:val="1"/>
    <w:uiPriority w:val="99"/>
    <w:pPr>
      <w:ind w:left="2240"/>
      <w:jc w:val="left"/>
    </w:pPr>
    <w:rPr>
      <w:rFonts w:cs="Calibri"/>
      <w:sz w:val="18"/>
      <w:szCs w:val="18"/>
    </w:rPr>
  </w:style>
  <w:style w:type="paragraph" w:styleId="23">
    <w:name w:val="annotation subject"/>
    <w:basedOn w:val="11"/>
    <w:next w:val="11"/>
    <w:link w:val="41"/>
    <w:semiHidden/>
    <w:qFormat/>
    <w:uiPriority w:val="99"/>
    <w:rPr>
      <w:b/>
      <w:bCs/>
    </w:rPr>
  </w:style>
  <w:style w:type="table" w:styleId="25">
    <w:name w:val="Table Grid"/>
    <w:basedOn w:val="24"/>
    <w:uiPriority w:val="99"/>
    <w:rPr>
      <w:rFonts w:ascii="Calibri" w:hAnsi="Calibri" w:eastAsia="宋体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Hyperlink"/>
    <w:basedOn w:val="26"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6"/>
    <w:semiHidden/>
    <w:qFormat/>
    <w:uiPriority w:val="99"/>
    <w:rPr>
      <w:rFonts w:cs="Times New Roman"/>
      <w:sz w:val="16"/>
    </w:rPr>
  </w:style>
  <w:style w:type="character" w:customStyle="1" w:styleId="29">
    <w:name w:val="Heading 1 Char"/>
    <w:basedOn w:val="26"/>
    <w:link w:val="2"/>
    <w:locked/>
    <w:uiPriority w:val="9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30">
    <w:name w:val="Heading 2 Char"/>
    <w:basedOn w:val="26"/>
    <w:link w:val="5"/>
    <w:locked/>
    <w:uiPriority w:val="99"/>
    <w:rPr>
      <w:rFonts w:ascii="Cambria" w:hAnsi="Cambria" w:eastAsia="仿宋_GB2312" w:cs="Times New Roman"/>
      <w:b/>
      <w:bCs/>
      <w:kern w:val="0"/>
      <w:sz w:val="32"/>
      <w:szCs w:val="32"/>
    </w:rPr>
  </w:style>
  <w:style w:type="character" w:customStyle="1" w:styleId="31">
    <w:name w:val="Heading 3 Char"/>
    <w:basedOn w:val="26"/>
    <w:link w:val="7"/>
    <w:locked/>
    <w:uiPriority w:val="99"/>
    <w:rPr>
      <w:rFonts w:ascii="Calibri" w:hAnsi="Calibri" w:eastAsia="仿宋_GB2312" w:cs="Times New Roman"/>
      <w:bCs/>
      <w:kern w:val="0"/>
      <w:sz w:val="32"/>
      <w:szCs w:val="32"/>
    </w:rPr>
  </w:style>
  <w:style w:type="character" w:customStyle="1" w:styleId="32">
    <w:name w:val="Heading 4 Char"/>
    <w:basedOn w:val="26"/>
    <w:link w:val="8"/>
    <w:semiHidden/>
    <w:locked/>
    <w:uiPriority w:val="9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33">
    <w:name w:val="Header Char"/>
    <w:basedOn w:val="26"/>
    <w:link w:val="17"/>
    <w:qFormat/>
    <w:locked/>
    <w:uiPriority w:val="99"/>
    <w:rPr>
      <w:rFonts w:cs="Times New Roman"/>
      <w:sz w:val="18"/>
      <w:szCs w:val="18"/>
    </w:rPr>
  </w:style>
  <w:style w:type="character" w:customStyle="1" w:styleId="34">
    <w:name w:val="Footer Char"/>
    <w:basedOn w:val="26"/>
    <w:link w:val="16"/>
    <w:qFormat/>
    <w:locked/>
    <w:uiPriority w:val="99"/>
    <w:rPr>
      <w:rFonts w:cs="Times New Roman"/>
      <w:sz w:val="18"/>
      <w:szCs w:val="18"/>
    </w:rPr>
  </w:style>
  <w:style w:type="character" w:customStyle="1" w:styleId="35">
    <w:name w:val="Body Text Indent Char"/>
    <w:basedOn w:val="26"/>
    <w:link w:val="4"/>
    <w:semiHidden/>
    <w:qFormat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36">
    <w:name w:val="Body Text First Indent 2 Char"/>
    <w:basedOn w:val="35"/>
    <w:link w:val="3"/>
    <w:qFormat/>
    <w:locked/>
    <w:uiPriority w:val="99"/>
  </w:style>
  <w:style w:type="character" w:customStyle="1" w:styleId="37">
    <w:name w:val="Intense Reference"/>
    <w:basedOn w:val="26"/>
    <w:qFormat/>
    <w:uiPriority w:val="99"/>
    <w:rPr>
      <w:b/>
      <w:smallCaps/>
      <w:color w:val="C0504D"/>
      <w:spacing w:val="5"/>
      <w:u w:val="single"/>
    </w:rPr>
  </w:style>
  <w:style w:type="character" w:customStyle="1" w:styleId="38">
    <w:name w:val="Balloon Text Char"/>
    <w:basedOn w:val="26"/>
    <w:link w:val="15"/>
    <w:semiHidden/>
    <w:qFormat/>
    <w:locked/>
    <w:uiPriority w:val="99"/>
    <w:rPr>
      <w:rFonts w:ascii="Calibri" w:hAnsi="Calibri" w:eastAsia="仿宋_GB2312" w:cs="Times New Roman"/>
      <w:kern w:val="0"/>
      <w:sz w:val="18"/>
      <w:szCs w:val="18"/>
    </w:rPr>
  </w:style>
  <w:style w:type="paragraph" w:styleId="39">
    <w:name w:val="List Paragraph"/>
    <w:basedOn w:val="1"/>
    <w:qFormat/>
    <w:uiPriority w:val="99"/>
    <w:pPr>
      <w:ind w:firstLine="420"/>
    </w:pPr>
  </w:style>
  <w:style w:type="character" w:customStyle="1" w:styleId="40">
    <w:name w:val="Comment Text Char"/>
    <w:basedOn w:val="26"/>
    <w:link w:val="11"/>
    <w:semiHidden/>
    <w:qFormat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41">
    <w:name w:val="Comment Subject Char"/>
    <w:basedOn w:val="40"/>
    <w:link w:val="23"/>
    <w:semiHidden/>
    <w:qFormat/>
    <w:locked/>
    <w:uiPriority w:val="99"/>
    <w:rPr>
      <w:b/>
      <w:bCs/>
    </w:rPr>
  </w:style>
  <w:style w:type="character" w:customStyle="1" w:styleId="42">
    <w:name w:val="Document Map Char"/>
    <w:basedOn w:val="26"/>
    <w:link w:val="10"/>
    <w:semiHidden/>
    <w:locked/>
    <w:uiPriority w:val="99"/>
    <w:rPr>
      <w:rFonts w:ascii="宋体" w:hAnsi="Calibri" w:eastAsia="宋体" w:cs="Times New Roman"/>
      <w:kern w:val="0"/>
      <w:sz w:val="18"/>
      <w:szCs w:val="18"/>
    </w:rPr>
  </w:style>
  <w:style w:type="character" w:customStyle="1" w:styleId="43">
    <w:name w:val="No Spacing Char"/>
    <w:link w:val="6"/>
    <w:locked/>
    <w:uiPriority w:val="99"/>
    <w:rPr>
      <w:rFonts w:ascii="Calibri" w:hAnsi="Calibri" w:eastAsia="仿宋_GB2312"/>
      <w:sz w:val="22"/>
    </w:rPr>
  </w:style>
  <w:style w:type="paragraph" w:customStyle="1" w:styleId="44">
    <w:name w:val="闻政-正文段落文字"/>
    <w:basedOn w:val="1"/>
    <w:link w:val="45"/>
    <w:uiPriority w:val="99"/>
    <w:pPr>
      <w:spacing w:line="500" w:lineRule="exact"/>
      <w:ind w:firstLine="200"/>
    </w:pPr>
    <w:rPr>
      <w:rFonts w:ascii="Times New Roman" w:hAnsi="Times New Roman" w:cs="Times New Roman"/>
      <w:kern w:val="0"/>
      <w:szCs w:val="28"/>
    </w:rPr>
  </w:style>
  <w:style w:type="character" w:customStyle="1" w:styleId="45">
    <w:name w:val="闻政-正文段落文字 Char"/>
    <w:link w:val="44"/>
    <w:locked/>
    <w:uiPriority w:val="99"/>
    <w:rPr>
      <w:rFonts w:ascii="Times New Roman" w:hAnsi="Times New Roman" w:eastAsia="仿宋_GB2312"/>
      <w:kern w:val="0"/>
      <w:sz w:val="28"/>
    </w:rPr>
  </w:style>
  <w:style w:type="paragraph" w:customStyle="1" w:styleId="46">
    <w:name w:val="闻政-正文二级标题"/>
    <w:basedOn w:val="5"/>
    <w:next w:val="44"/>
    <w:link w:val="47"/>
    <w:uiPriority w:val="99"/>
    <w:pPr>
      <w:spacing w:before="120" w:after="60" w:line="500" w:lineRule="exact"/>
      <w:ind w:left="200" w:leftChars="200" w:firstLine="0" w:firstLineChars="0"/>
    </w:pPr>
    <w:rPr>
      <w:rFonts w:ascii="Times New Roman" w:hAnsi="Times New Roman"/>
      <w:sz w:val="28"/>
    </w:rPr>
  </w:style>
  <w:style w:type="character" w:customStyle="1" w:styleId="47">
    <w:name w:val="闻政-正文二级标题 Char"/>
    <w:link w:val="46"/>
    <w:locked/>
    <w:uiPriority w:val="99"/>
    <w:rPr>
      <w:rFonts w:ascii="Times New Roman" w:hAnsi="Times New Roman" w:eastAsia="仿宋_GB2312"/>
      <w:b/>
      <w:kern w:val="0"/>
      <w:sz w:val="32"/>
    </w:rPr>
  </w:style>
  <w:style w:type="paragraph" w:customStyle="1" w:styleId="48">
    <w:name w:val="闻政-正文三级标题"/>
    <w:basedOn w:val="1"/>
    <w:next w:val="44"/>
    <w:link w:val="49"/>
    <w:uiPriority w:val="99"/>
    <w:pPr>
      <w:widowControl/>
      <w:spacing w:before="120" w:after="60" w:line="500" w:lineRule="exact"/>
      <w:ind w:left="200" w:leftChars="200" w:firstLine="0" w:firstLineChars="0"/>
    </w:pPr>
    <w:rPr>
      <w:rFonts w:ascii="Times New Roman" w:hAnsi="Times New Roman" w:cs="Times New Roman"/>
      <w:b/>
      <w:kern w:val="0"/>
      <w:szCs w:val="28"/>
    </w:rPr>
  </w:style>
  <w:style w:type="character" w:customStyle="1" w:styleId="49">
    <w:name w:val="闻政-正文三级标题 Char"/>
    <w:link w:val="48"/>
    <w:locked/>
    <w:uiPriority w:val="99"/>
    <w:rPr>
      <w:rFonts w:ascii="Times New Roman" w:hAnsi="Times New Roman" w:eastAsia="仿宋_GB2312"/>
      <w:b/>
      <w:snapToGrid w:val="0"/>
      <w:kern w:val="0"/>
      <w:sz w:val="28"/>
    </w:rPr>
  </w:style>
  <w:style w:type="paragraph" w:customStyle="1" w:styleId="50">
    <w:name w:val="闻政-正文四级标题"/>
    <w:basedOn w:val="48"/>
    <w:next w:val="44"/>
    <w:link w:val="51"/>
    <w:qFormat/>
    <w:uiPriority w:val="99"/>
    <w:rPr>
      <w:b w:val="0"/>
    </w:rPr>
  </w:style>
  <w:style w:type="character" w:customStyle="1" w:styleId="51">
    <w:name w:val="闻政-正文四级标题 Char"/>
    <w:link w:val="50"/>
    <w:qFormat/>
    <w:locked/>
    <w:uiPriority w:val="99"/>
    <w:rPr>
      <w:rFonts w:ascii="Times New Roman" w:hAnsi="Times New Roman" w:eastAsia="仿宋_GB2312"/>
      <w:snapToGrid w:val="0"/>
      <w:kern w:val="0"/>
      <w:sz w:val="28"/>
    </w:rPr>
  </w:style>
  <w:style w:type="paragraph" w:customStyle="1" w:styleId="52">
    <w:name w:val="闻政-正文一级标题"/>
    <w:basedOn w:val="7"/>
    <w:next w:val="44"/>
    <w:link w:val="53"/>
    <w:qFormat/>
    <w:uiPriority w:val="99"/>
    <w:pPr>
      <w:spacing w:before="120" w:after="60" w:line="500" w:lineRule="exact"/>
      <w:ind w:firstLine="0" w:firstLineChars="0"/>
      <w:outlineLvl w:val="0"/>
    </w:pPr>
    <w:rPr>
      <w:rFonts w:ascii="黑体" w:hAnsi="黑体" w:eastAsia="黑体"/>
      <w:sz w:val="32"/>
    </w:rPr>
  </w:style>
  <w:style w:type="character" w:customStyle="1" w:styleId="53">
    <w:name w:val="闻政-正文一级标题 Char"/>
    <w:link w:val="52"/>
    <w:qFormat/>
    <w:locked/>
    <w:uiPriority w:val="99"/>
    <w:rPr>
      <w:rFonts w:ascii="黑体" w:hAnsi="黑体" w:eastAsia="黑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455</Words>
  <Characters>2599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2020-07-13T07:59:00Z</dcterms:created>
  <dc:creator>qq</dc:creator>
  <cp:lastModifiedBy>Administrator</cp:lastModifiedBy>
  <dcterms:modified xsi:type="dcterms:W3CDTF">2022-10-10T03:19:39Z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