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hint="eastAsia" w:ascii="Times New Roman" w:hAnsi="Times New Roman" w:eastAsia="黑体" w:cs="Times New Roman"/>
          <w:b/>
          <w:kern w:val="0"/>
          <w:sz w:val="50"/>
          <w:szCs w:val="50"/>
          <w:lang w:eastAsia="zh-CN"/>
        </w:rPr>
      </w:pPr>
      <w:bookmarkStart w:id="27" w:name="_GoBack"/>
      <w:bookmarkEnd w:id="27"/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before="120" w:after="120" w:line="480" w:lineRule="auto"/>
        <w:ind w:firstLine="0" w:firstLineChars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hint="eastAsia" w:ascii="仿宋_GB2312" w:hAnsi="Arial"/>
          <w:b/>
          <w:sz w:val="44"/>
          <w:szCs w:val="44"/>
        </w:rPr>
        <w:t>财政项目支出绩效自评报告</w: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森林生态效益补偿补助资金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大宁县国有林场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大宁县国有林场-402004</w:t>
      </w: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年</w:t>
      </w:r>
      <w:r>
        <w:rPr>
          <w:rFonts w:ascii="仿宋_GB2312" w:hAnsi="Times New Roman" w:cs="Times New Roman"/>
          <w:kern w:val="0"/>
          <w:sz w:val="32"/>
          <w:szCs w:val="32"/>
        </w:rPr>
        <w:t>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月</w:t>
      </w:r>
    </w:p>
    <w:p>
      <w:pPr>
        <w:pStyle w:val="18"/>
        <w:tabs>
          <w:tab w:val="right" w:leader="dot" w:pos="8296"/>
        </w:tabs>
        <w:ind w:firstLine="440" w:firstLineChars="137"/>
        <w:jc w:val="center"/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rFonts w:hint="eastAsia" w:ascii="仿宋_GB2312" w:hAnsi="Times New Roman" w:cs="Times New Roman"/>
          <w:kern w:val="0"/>
          <w:sz w:val="48"/>
          <w:szCs w:val="48"/>
          <w:lang w:eastAsia="zh-CN"/>
        </w:rPr>
        <w:t>目录</w:t>
      </w:r>
      <w:r>
        <w:rPr>
          <w:szCs w:val="44"/>
        </w:rPr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一、项目的基本情况</w:t>
      </w:r>
      <w:r>
        <w:tab/>
      </w:r>
      <w:r>
        <w:fldChar w:fldCharType="begin"/>
      </w:r>
      <w:r>
        <w:instrText xml:space="preserve"> PAGEREF _Toc61505636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（一）项目概况</w:t>
      </w:r>
      <w:r>
        <w:tab/>
      </w:r>
      <w:r>
        <w:fldChar w:fldCharType="begin"/>
      </w:r>
      <w:r>
        <w:instrText xml:space="preserve"> PAGEREF _Toc61505637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（二）预算执行情况</w:t>
      </w:r>
      <w:r>
        <w:tab/>
      </w:r>
      <w:r>
        <w:fldChar w:fldCharType="begin"/>
      </w:r>
      <w:r>
        <w:instrText xml:space="preserve"> PAGEREF _Toc61505638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（三）项目绩效目标</w:t>
      </w:r>
      <w:r>
        <w:tab/>
      </w:r>
      <w:r>
        <w:fldChar w:fldCharType="begin"/>
      </w:r>
      <w:r>
        <w:instrText xml:space="preserve"> PAGEREF _Toc61505639 \h </w:instrText>
      </w:r>
      <w:r>
        <w:fldChar w:fldCharType="separate"/>
      </w:r>
      <w:r>
        <w:t>2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二、项目绩效情况</w:t>
      </w:r>
      <w:r>
        <w:tab/>
      </w:r>
      <w:r>
        <w:fldChar w:fldCharType="begin"/>
      </w:r>
      <w:r>
        <w:instrText xml:space="preserve"> PAGEREF _Toc61505641 \h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（一）预算执行情况</w:t>
      </w:r>
      <w:r>
        <w:tab/>
      </w:r>
      <w:r>
        <w:fldChar w:fldCharType="begin"/>
      </w:r>
      <w:r>
        <w:instrText xml:space="preserve"> PAGEREF _Toc61505642 \h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（二）项目产出情况</w:t>
      </w:r>
      <w:r>
        <w:tab/>
      </w:r>
      <w:r>
        <w:fldChar w:fldCharType="begin"/>
      </w:r>
      <w:r>
        <w:instrText xml:space="preserve"> PAGEREF _Toc61505643 \h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（三）项目效益情况</w:t>
      </w:r>
      <w:r>
        <w:tab/>
      </w:r>
      <w:r>
        <w:fldChar w:fldCharType="begin"/>
      </w:r>
      <w:r>
        <w:instrText xml:space="preserve"> PAGEREF _Toc61505644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（四）项目满意度情况</w:t>
      </w:r>
      <w:r>
        <w:tab/>
      </w:r>
      <w:r>
        <w:fldChar w:fldCharType="begin"/>
      </w:r>
      <w:r>
        <w:instrText xml:space="preserve"> PAGEREF _Toc61505645 \h </w:instrText>
      </w:r>
      <w:r>
        <w:fldChar w:fldCharType="separate"/>
      </w:r>
      <w:r>
        <w:t>3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三、项目绩效分析</w:t>
      </w:r>
      <w:r>
        <w:tab/>
      </w:r>
      <w:r>
        <w:fldChar w:fldCharType="begin"/>
      </w:r>
      <w:r>
        <w:instrText xml:space="preserve"> PAGEREF _Toc61505646 \h </w:instrText>
      </w:r>
      <w:r>
        <w:fldChar w:fldCharType="separate"/>
      </w:r>
      <w:r>
        <w:t>3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hint="eastAsia" w:ascii="等线" w:hAnsi="等线" w:eastAsia="仿宋_GB2312" w:cs="Times New Roman"/>
          <w:b w:val="0"/>
          <w:bCs w:val="0"/>
          <w:caps w:val="0"/>
          <w:sz w:val="21"/>
          <w:szCs w:val="22"/>
          <w:lang w:eastAsia="zh-CN"/>
        </w:rPr>
      </w:pPr>
      <w:r>
        <w:rPr>
          <w:rFonts w:hint="eastAsia" w:ascii="仿宋" w:hAnsi="仿宋" w:eastAsia="仿宋" w:cs="仿宋"/>
          <w:bCs w:val="0"/>
        </w:rPr>
        <w:t>四、项目主要经验做法</w:t>
      </w:r>
      <w:r>
        <w:tab/>
      </w:r>
      <w:r>
        <w:rPr>
          <w:rFonts w:hint="eastAsia"/>
          <w:lang w:val="en-US" w:eastAsia="zh-CN"/>
        </w:rPr>
        <w:t>4</w:t>
      </w:r>
    </w:p>
    <w:p>
      <w:pPr>
        <w:pStyle w:val="18"/>
        <w:tabs>
          <w:tab w:val="right" w:leader="dot" w:pos="8296"/>
        </w:tabs>
        <w:ind w:firstLine="40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 w:val="0"/>
        </w:rPr>
        <w:t>五、项目管理中存在问题及原因分析</w:t>
      </w:r>
      <w:r>
        <w:tab/>
      </w:r>
      <w:r>
        <w:rPr>
          <w:rFonts w:hint="eastAsia"/>
          <w:lang w:val="en-US" w:eastAsia="zh-CN"/>
        </w:rPr>
        <w:t>4</w:t>
      </w:r>
    </w:p>
    <w:p>
      <w:pPr>
        <w:pStyle w:val="18"/>
        <w:tabs>
          <w:tab w:val="right" w:leader="dot" w:pos="8296"/>
        </w:tabs>
        <w:ind w:firstLine="402"/>
      </w:pPr>
      <w:r>
        <w:rPr>
          <w:rFonts w:hint="eastAsia" w:ascii="仿宋" w:hAnsi="仿宋" w:eastAsia="仿宋" w:cs="仿宋"/>
          <w:bCs w:val="0"/>
        </w:rPr>
        <w:t>六、进一步加强项目管理措施及建议</w:t>
      </w:r>
      <w:r>
        <w:tab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1.</w:t>
      </w:r>
      <w:r>
        <w:rPr>
          <w:rFonts w:hint="eastAsia" w:ascii="仿宋" w:hAnsi="仿宋" w:eastAsia="仿宋" w:cs="仿宋"/>
          <w:bCs w:val="0"/>
        </w:rPr>
        <w:t>项目支出绩效自评表</w:t>
      </w:r>
      <w:r>
        <w:tab/>
      </w:r>
      <w:r>
        <w:fldChar w:fldCharType="begin"/>
      </w:r>
      <w:r>
        <w:instrText xml:space="preserve"> PAGEREF _Toc61505650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2.</w:t>
      </w:r>
      <w:r>
        <w:rPr>
          <w:rFonts w:hint="eastAsia" w:ascii="仿宋" w:hAnsi="仿宋" w:eastAsia="仿宋" w:cs="仿宋"/>
          <w:bCs w:val="0"/>
        </w:rPr>
        <w:t>绩效自评相关资料</w:t>
      </w:r>
      <w:r>
        <w:tab/>
      </w:r>
      <w:r>
        <w:fldChar w:fldCharType="begin"/>
      </w:r>
      <w:r>
        <w:instrText xml:space="preserve"> PAGEREF _Toc61505651 \h </w:instrText>
      </w:r>
      <w:r>
        <w:fldChar w:fldCharType="separate"/>
      </w:r>
      <w:r>
        <w:t>5</w:t>
      </w:r>
      <w:r>
        <w:fldChar w:fldCharType="end"/>
      </w:r>
    </w:p>
    <w:p>
      <w:pPr>
        <w:tabs>
          <w:tab w:val="left" w:pos="620"/>
        </w:tabs>
        <w:ind w:firstLine="0" w:firstLineChars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0" w:name="_Toc61505636"/>
      <w:r>
        <w:rPr>
          <w:rFonts w:hint="eastAsia" w:ascii="仿宋" w:hAnsi="仿宋" w:eastAsia="仿宋" w:cs="仿宋"/>
          <w:b/>
          <w:bCs w:val="0"/>
        </w:rPr>
        <w:t>一、项目的基本情况</w:t>
      </w:r>
      <w:bookmarkEnd w:id="0"/>
    </w:p>
    <w:p>
      <w:pPr>
        <w:pStyle w:val="46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>
      <w:pPr>
        <w:pStyle w:val="44"/>
        <w:ind w:left="280" w:firstLine="562"/>
      </w:pPr>
      <w:r>
        <w:rPr>
          <w:rFonts w:hint="eastAsia"/>
          <w:b/>
          <w:bCs/>
        </w:rPr>
        <w:t>项目概况：</w:t>
      </w:r>
      <w:r>
        <w:t>中央财政下达的2021年森林生态效益补偿补助资金，用于一线管护人员的工资发放、生活补助。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立项依据：</w:t>
      </w:r>
      <w:r>
        <w:t>《林业改革发展资金管理办法》财农（2016）196号 山西省林业厅《林业改革发展资金管理办法》晋财农（2018）35号</w:t>
      </w:r>
    </w:p>
    <w:p>
      <w:pPr>
        <w:pStyle w:val="44"/>
        <w:ind w:left="280" w:firstLine="562"/>
        <w:rPr>
          <w:rFonts w:hint="eastAsia"/>
          <w:b/>
          <w:bCs/>
        </w:rPr>
      </w:pPr>
      <w:r>
        <w:rPr>
          <w:rFonts w:hint="eastAsia"/>
          <w:b/>
          <w:bCs/>
        </w:rPr>
        <w:t>设立的必要性：</w:t>
      </w:r>
      <w:r>
        <w:rPr>
          <w:rFonts w:hint="eastAsia"/>
        </w:rPr>
        <w:t>通过实施天保工程，使</w:t>
      </w:r>
      <w:r>
        <w:rPr>
          <w:rFonts w:hint="eastAsia"/>
          <w:lang w:eastAsia="zh-CN"/>
        </w:rPr>
        <w:t>我县</w:t>
      </w:r>
      <w:r>
        <w:rPr>
          <w:rFonts w:hint="eastAsia"/>
        </w:rPr>
        <w:t>的森林资源得到了休养生息，天然林资源呈恢复性增长，人工林面积大幅度增加，森林资源质量逐步提高，森林群落结构趋于稳定，水源涵养能力明显增强，水土流失强度逐年降低，面积不断减少，风沙危害强度和范围减小，生物物种丰富度不断增强，数量不断增加，森林的生态、社会、经济效益凸显出来，人居环境得到有效改善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《林业改革发展资金管理办法》财农（2016）196号 山西省林业厅《林业改革发展资金管理办法》晋财农（2018）35号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项目实施计划：</w:t>
      </w:r>
      <w:r>
        <w:t>人员经费支出500500元。</w:t>
      </w:r>
    </w:p>
    <w:p>
      <w:pPr>
        <w:pStyle w:val="46"/>
        <w:ind w:left="560"/>
      </w:pPr>
      <w:bookmarkStart w:id="2" w:name="_Toc61505638"/>
      <w:r>
        <w:rPr>
          <w:rFonts w:hint="eastAsia"/>
        </w:rPr>
        <w:t>（二）预算执行情况</w:t>
      </w:r>
      <w:bookmarkEnd w:id="2"/>
    </w:p>
    <w:p>
      <w:pPr>
        <w:ind w:firstLine="0" w:firstLineChars="0"/>
        <w:jc w:val="left"/>
        <w:rPr>
          <w:b/>
          <w:szCs w:val="28"/>
        </w:rPr>
      </w:pPr>
    </w:p>
    <w:tbl>
      <w:tblPr>
        <w:tblStyle w:val="24"/>
        <w:tblW w:w="4998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899"/>
        <w:gridCol w:w="948"/>
        <w:gridCol w:w="1176"/>
        <w:gridCol w:w="693"/>
        <w:gridCol w:w="646"/>
        <w:gridCol w:w="442"/>
        <w:gridCol w:w="454"/>
        <w:gridCol w:w="658"/>
        <w:gridCol w:w="944"/>
        <w:gridCol w:w="150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9" w:hRule="atLeast"/>
        </w:trPr>
        <w:tc>
          <w:tcPr>
            <w:tcW w:w="5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703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728" w:type="pct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564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898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" w:hRule="atLeast"/>
        </w:trPr>
        <w:tc>
          <w:tcPr>
            <w:tcW w:w="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3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564" w:type="pct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703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4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3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703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50.05</w:t>
            </w:r>
          </w:p>
        </w:tc>
        <w:tc>
          <w:tcPr>
            <w:tcW w:w="4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50.05</w:t>
            </w:r>
          </w:p>
        </w:tc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50.05</w:t>
            </w:r>
          </w:p>
        </w:tc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3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703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50.05</w:t>
            </w:r>
          </w:p>
        </w:tc>
        <w:tc>
          <w:tcPr>
            <w:tcW w:w="4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50.05</w:t>
            </w:r>
          </w:p>
        </w:tc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50.05</w:t>
            </w:r>
          </w:p>
        </w:tc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3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703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50.05</w:t>
            </w:r>
          </w:p>
        </w:tc>
        <w:tc>
          <w:tcPr>
            <w:tcW w:w="4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50.05</w:t>
            </w:r>
          </w:p>
        </w:tc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50.05</w:t>
            </w:r>
          </w:p>
        </w:tc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3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703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4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703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4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预算执行率(%)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703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4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3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>
      <w:pPr>
        <w:pStyle w:val="46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>
      <w:pPr>
        <w:pStyle w:val="48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>
      <w:pPr>
        <w:pStyle w:val="44"/>
        <w:ind w:left="280" w:firstLine="560"/>
      </w:pPr>
      <w:r>
        <w:t>增加林场职工收入，改善管护站生活条件</w:t>
      </w:r>
    </w:p>
    <w:p>
      <w:pPr>
        <w:pStyle w:val="48"/>
        <w:ind w:left="560"/>
        <w:rPr>
          <w:rFonts w:hint="eastAsia"/>
        </w:rPr>
      </w:pPr>
      <w:r>
        <w:rPr>
          <w:rFonts w:hint="eastAsia"/>
        </w:rPr>
        <w:t>（2）. 项目年度目标</w:t>
      </w:r>
    </w:p>
    <w:p>
      <w:pPr>
        <w:pStyle w:val="44"/>
        <w:ind w:left="280" w:firstLine="560"/>
      </w:pPr>
      <w:r>
        <w:t>增加林场职工收入，改善管护站生活条件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4" w:name="_Toc61505641"/>
      <w:r>
        <w:rPr>
          <w:rFonts w:hint="eastAsia" w:ascii="仿宋" w:hAnsi="仿宋" w:eastAsia="仿宋" w:cs="仿宋"/>
          <w:b/>
          <w:bCs w:val="0"/>
        </w:rPr>
        <w:t>二、项目绩效情况</w:t>
      </w:r>
      <w:bookmarkEnd w:id="4"/>
    </w:p>
    <w:p>
      <w:pPr>
        <w:pStyle w:val="44"/>
        <w:ind w:left="140" w:leftChars="5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森林生态效益补偿补助资金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100</w:t>
      </w:r>
      <w:r>
        <w:rPr>
          <w:rFonts w:hint="eastAsia"/>
        </w:rPr>
        <w:t>分，属于</w:t>
      </w:r>
      <w:r>
        <w:t>"优秀"</w:t>
      </w:r>
      <w:r>
        <w:rPr>
          <w:rFonts w:hint="eastAsia"/>
        </w:rPr>
        <w:t>。</w:t>
      </w:r>
    </w:p>
    <w:p>
      <w:pPr>
        <w:pStyle w:val="46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国家公益林补偿面积（亩）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2.01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2.01万亩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国家公益林管护面积（亩）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2.01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2.01万亩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补助资金发放及时率（%）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国家公益林补助经费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50.05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50.05万元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增加管护人员收入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有效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生态效益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空气质量达标天数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22天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22天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916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管护人员满意度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9" w:name="_Toc61505646"/>
      <w:r>
        <w:rPr>
          <w:rFonts w:hint="eastAsia" w:ascii="仿宋" w:hAnsi="仿宋" w:eastAsia="仿宋" w:cs="仿宋"/>
          <w:b/>
          <w:bCs w:val="0"/>
        </w:rPr>
        <w:t>三、</w:t>
      </w:r>
      <w:bookmarkStart w:id="10" w:name="_Toc23655"/>
      <w:bookmarkStart w:id="11" w:name="_Toc17451"/>
      <w:r>
        <w:rPr>
          <w:rFonts w:hint="eastAsia" w:ascii="仿宋" w:hAnsi="仿宋" w:eastAsia="仿宋" w:cs="仿宋"/>
          <w:b/>
          <w:bCs w:val="0"/>
        </w:rPr>
        <w:t>项目绩效分析</w:t>
      </w:r>
      <w:bookmarkEnd w:id="9"/>
      <w:bookmarkEnd w:id="10"/>
      <w:bookmarkEnd w:id="11"/>
    </w:p>
    <w:p>
      <w:pPr>
        <w:pStyle w:val="44"/>
        <w:numPr>
          <w:ilvl w:val="0"/>
          <w:numId w:val="1"/>
        </w:numPr>
        <w:ind w:left="700" w:leftChars="250" w:firstLineChars="0"/>
        <w:rPr>
          <w:rFonts w:hint="eastAsia" w:ascii="仿宋_GB2312" w:eastAsia="仿宋_GB2312"/>
          <w:b w:val="0"/>
          <w:bCs/>
          <w:lang w:eastAsia="zh-CN"/>
        </w:rPr>
      </w:pPr>
      <w:r>
        <w:rPr>
          <w:rFonts w:hint="eastAsia" w:ascii="仿宋_GB2312"/>
          <w:b/>
        </w:rPr>
        <w:t>项目实施和预算执行情况及分析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 w:eastAsia="仿宋_GB2312"/>
          <w:b w:val="0"/>
          <w:bCs/>
          <w:lang w:eastAsia="zh-CN"/>
        </w:rPr>
      </w:pPr>
      <w:r>
        <w:rPr>
          <w:rFonts w:hint="eastAsia" w:ascii="仿宋_GB2312"/>
          <w:bCs/>
          <w:lang w:val="en-US" w:eastAsia="zh-CN"/>
        </w:rPr>
        <w:t>2021年项目资金50.05万元，实际支出50.05万元，预算执行率100%，</w:t>
      </w:r>
      <w:r>
        <w:rPr>
          <w:rFonts w:hint="eastAsia" w:ascii="仿宋_GB2312"/>
          <w:b w:val="0"/>
          <w:bCs/>
          <w:lang w:eastAsia="zh-CN"/>
        </w:rPr>
        <w:t>总体预算执行情况良好。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/>
        </w:rPr>
        <w:t>产出情况及分析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ascii="仿宋_GB2312"/>
          <w:bCs/>
        </w:rPr>
      </w:pPr>
      <w:r>
        <w:rPr>
          <w:rFonts w:hint="eastAsia" w:ascii="仿宋_GB2312"/>
          <w:bCs/>
          <w:lang w:eastAsia="zh-CN"/>
        </w:rPr>
        <w:t>大宁县国有林场天然林管护面积</w:t>
      </w:r>
      <w:r>
        <w:rPr>
          <w:rFonts w:hint="eastAsia" w:ascii="仿宋_GB2312"/>
          <w:bCs/>
          <w:lang w:val="en-US" w:eastAsia="zh-CN"/>
        </w:rPr>
        <w:t>23.5万亩，管护人员44人，管护人员工资发放及时，2021年项目资金50.05万元，实际支出50.05万元，预算执行率100%，总体</w:t>
      </w:r>
      <w:r>
        <w:rPr>
          <w:rFonts w:hint="eastAsia" w:ascii="仿宋_GB2312"/>
          <w:bCs/>
          <w:lang w:eastAsia="zh-CN"/>
        </w:rPr>
        <w:t>项目产出情况良好。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/>
        </w:rPr>
        <w:t>效益情况及分析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Cs/>
          <w:lang w:eastAsia="zh-CN"/>
        </w:rPr>
        <w:t>天保工程的实施，增加了管护人员的收入，改善了管护人员生产生活条件，保障了国有林木的生长条件，大大提高了空气质量，生态效益得到改善。</w:t>
      </w:r>
    </w:p>
    <w:p>
      <w:pPr>
        <w:pStyle w:val="44"/>
        <w:numPr>
          <w:ilvl w:val="0"/>
          <w:numId w:val="0"/>
        </w:numPr>
        <w:ind w:firstLine="562" w:firstLineChars="200"/>
        <w:rPr>
          <w:rFonts w:hint="eastAsia" w:ascii="仿宋_GB2312"/>
          <w:b/>
          <w:bCs w:val="0"/>
          <w:lang w:val="en-US" w:eastAsia="zh-CN"/>
        </w:rPr>
      </w:pPr>
      <w:r>
        <w:rPr>
          <w:rFonts w:hint="eastAsia" w:ascii="仿宋_GB2312"/>
          <w:b/>
          <w:bCs w:val="0"/>
          <w:lang w:val="en-US" w:eastAsia="zh-CN"/>
        </w:rPr>
        <w:t>4.满意度情况及分析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/>
          <w:bCs/>
          <w:lang w:val="en-US" w:eastAsia="zh-CN"/>
        </w:rPr>
      </w:pPr>
      <w:r>
        <w:rPr>
          <w:rFonts w:hint="eastAsia" w:ascii="仿宋_GB2312"/>
          <w:bCs/>
          <w:lang w:val="en-US" w:eastAsia="zh-CN"/>
        </w:rPr>
        <w:t>林场管护人员满意度高，社会公众满意度良好。</w:t>
      </w:r>
    </w:p>
    <w:p>
      <w:pPr>
        <w:pStyle w:val="44"/>
        <w:numPr>
          <w:ilvl w:val="0"/>
          <w:numId w:val="0"/>
        </w:numPr>
        <w:ind w:firstLine="643" w:firstLineChars="200"/>
        <w:outlineLvl w:val="0"/>
        <w:rPr>
          <w:rFonts w:hint="eastAsia" w:ascii="仿宋_GB2312"/>
          <w:b/>
          <w:bCs w:val="0"/>
          <w:sz w:val="32"/>
          <w:szCs w:val="32"/>
          <w:lang w:val="en-US" w:eastAsia="zh-CN"/>
        </w:rPr>
      </w:pPr>
      <w:bookmarkStart w:id="12" w:name="_Toc13663"/>
      <w:r>
        <w:rPr>
          <w:rFonts w:hint="eastAsia" w:ascii="仿宋_GB2312"/>
          <w:b/>
          <w:bCs w:val="0"/>
          <w:sz w:val="32"/>
          <w:szCs w:val="32"/>
          <w:lang w:val="en-US" w:eastAsia="zh-CN"/>
        </w:rPr>
        <w:t>四、项目主要经验做法</w:t>
      </w:r>
      <w:bookmarkEnd w:id="12"/>
      <w:r>
        <w:rPr>
          <w:rFonts w:hint="eastAsia" w:ascii="仿宋_GB2312"/>
          <w:b/>
          <w:bCs w:val="0"/>
          <w:sz w:val="32"/>
          <w:szCs w:val="32"/>
          <w:lang w:val="en-US" w:eastAsia="zh-CN"/>
        </w:rPr>
        <w:t xml:space="preserve"> 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/>
          <w:bCs/>
          <w:lang w:val="en-US" w:eastAsia="zh-CN"/>
        </w:rPr>
      </w:pPr>
      <w:r>
        <w:rPr>
          <w:rFonts w:hint="eastAsia" w:ascii="仿宋_GB2312"/>
          <w:bCs/>
          <w:lang w:val="en-US" w:eastAsia="zh-CN"/>
        </w:rPr>
        <w:t>天保工程实施以来，实现了森林资源稳步增长，生态环境逐步好转，林区经济社会发展和谐稳定，天保工程成效显著。</w:t>
      </w:r>
    </w:p>
    <w:p>
      <w:pPr>
        <w:pStyle w:val="44"/>
        <w:numPr>
          <w:ilvl w:val="0"/>
          <w:numId w:val="0"/>
        </w:numPr>
        <w:ind w:firstLine="643" w:firstLineChars="200"/>
        <w:outlineLvl w:val="0"/>
        <w:rPr>
          <w:rFonts w:hint="eastAsia" w:ascii="仿宋_GB2312"/>
          <w:b/>
          <w:bCs w:val="0"/>
          <w:sz w:val="32"/>
          <w:szCs w:val="32"/>
          <w:lang w:val="en-US" w:eastAsia="zh-CN"/>
        </w:rPr>
      </w:pPr>
      <w:bookmarkStart w:id="13" w:name="_Toc22752"/>
      <w:r>
        <w:rPr>
          <w:rFonts w:hint="eastAsia" w:ascii="仿宋_GB2312"/>
          <w:b/>
          <w:bCs w:val="0"/>
          <w:sz w:val="32"/>
          <w:szCs w:val="32"/>
          <w:lang w:val="en-US" w:eastAsia="zh-CN"/>
        </w:rPr>
        <w:t>五、项目管理中存在问题及原因分析</w:t>
      </w:r>
      <w:bookmarkEnd w:id="13"/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/>
          <w:bCs/>
          <w:lang w:val="en-US" w:eastAsia="zh-CN"/>
        </w:rPr>
      </w:pPr>
      <w:r>
        <w:rPr>
          <w:rFonts w:hint="eastAsia" w:ascii="仿宋_GB2312"/>
          <w:bCs/>
          <w:lang w:val="en-US" w:eastAsia="zh-CN"/>
        </w:rPr>
        <w:t>从项目的实施情况看，存在的主要不足表现为：林区周边人员政策知晓度还要加强宣传，项目管理制度还需要健全。</w:t>
      </w:r>
    </w:p>
    <w:p>
      <w:pPr>
        <w:pStyle w:val="44"/>
        <w:numPr>
          <w:ilvl w:val="0"/>
          <w:numId w:val="0"/>
        </w:numPr>
        <w:ind w:firstLine="643" w:firstLineChars="200"/>
        <w:outlineLvl w:val="0"/>
        <w:rPr>
          <w:rFonts w:hint="eastAsia" w:ascii="仿宋_GB2312"/>
          <w:b/>
          <w:bCs w:val="0"/>
          <w:sz w:val="32"/>
          <w:szCs w:val="32"/>
          <w:lang w:val="en-US" w:eastAsia="zh-CN"/>
        </w:rPr>
      </w:pPr>
      <w:bookmarkStart w:id="14" w:name="_Toc13780"/>
      <w:r>
        <w:rPr>
          <w:rFonts w:hint="eastAsia" w:ascii="仿宋_GB2312"/>
          <w:b/>
          <w:bCs w:val="0"/>
          <w:sz w:val="32"/>
          <w:szCs w:val="32"/>
          <w:lang w:val="en-US" w:eastAsia="zh-CN"/>
        </w:rPr>
        <w:t>六、进一步加强项目管理措施及建议</w:t>
      </w:r>
      <w:bookmarkEnd w:id="14"/>
    </w:p>
    <w:p>
      <w:pPr>
        <w:pStyle w:val="44"/>
        <w:numPr>
          <w:ilvl w:val="0"/>
          <w:numId w:val="0"/>
        </w:numPr>
        <w:ind w:firstLine="562" w:firstLineChars="200"/>
        <w:rPr>
          <w:rFonts w:hint="eastAsia" w:ascii="仿宋_GB2312"/>
          <w:b/>
          <w:bCs w:val="0"/>
          <w:lang w:val="en-US" w:eastAsia="zh-CN"/>
        </w:rPr>
      </w:pPr>
      <w:bookmarkStart w:id="15" w:name="_Toc324"/>
      <w:bookmarkStart w:id="16" w:name="_Toc10968"/>
      <w:r>
        <w:rPr>
          <w:rFonts w:hint="eastAsia" w:ascii="仿宋_GB2312"/>
          <w:b/>
          <w:bCs w:val="0"/>
          <w:lang w:val="en-US" w:eastAsia="zh-CN"/>
        </w:rPr>
        <w:t>（一）预算安排和执行方面</w:t>
      </w:r>
      <w:bookmarkEnd w:id="15"/>
      <w:bookmarkEnd w:id="16"/>
    </w:p>
    <w:p>
      <w:pPr>
        <w:pStyle w:val="44"/>
        <w:numPr>
          <w:ilvl w:val="0"/>
          <w:numId w:val="0"/>
        </w:numPr>
        <w:ind w:firstLine="560" w:firstLineChars="200"/>
        <w:rPr>
          <w:rFonts w:hint="default" w:ascii="仿宋_GB2312"/>
          <w:bCs/>
          <w:lang w:val="en-US" w:eastAsia="zh-CN"/>
        </w:rPr>
      </w:pPr>
      <w:r>
        <w:rPr>
          <w:rFonts w:hint="eastAsia" w:ascii="仿宋_GB2312"/>
          <w:bCs/>
          <w:lang w:val="en-US" w:eastAsia="zh-CN"/>
        </w:rPr>
        <w:t>应结合工作实际制定用款计划和项目支出计划,及时安排预算，加强职能，提升预算效率.</w:t>
      </w:r>
    </w:p>
    <w:p>
      <w:pPr>
        <w:pStyle w:val="44"/>
        <w:numPr>
          <w:ilvl w:val="0"/>
          <w:numId w:val="0"/>
        </w:numPr>
        <w:ind w:firstLine="562" w:firstLineChars="200"/>
        <w:rPr>
          <w:rFonts w:hint="eastAsia" w:ascii="仿宋_GB2312"/>
          <w:b/>
          <w:bCs w:val="0"/>
          <w:lang w:val="en-US" w:eastAsia="zh-CN"/>
        </w:rPr>
      </w:pPr>
      <w:bookmarkStart w:id="17" w:name="_Toc3582"/>
      <w:bookmarkStart w:id="18" w:name="_Toc5706"/>
      <w:r>
        <w:rPr>
          <w:rFonts w:hint="eastAsia" w:ascii="仿宋_GB2312"/>
          <w:b/>
          <w:bCs w:val="0"/>
          <w:lang w:val="en-US" w:eastAsia="zh-CN"/>
        </w:rPr>
        <w:t>（二）制度建设方面</w:t>
      </w:r>
      <w:bookmarkEnd w:id="17"/>
      <w:bookmarkEnd w:id="18"/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/>
          <w:bCs/>
          <w:lang w:val="en-US" w:eastAsia="zh-CN"/>
        </w:rPr>
      </w:pPr>
      <w:r>
        <w:rPr>
          <w:rFonts w:hint="eastAsia" w:ascii="仿宋_GB2312"/>
          <w:bCs/>
          <w:lang w:val="en-US" w:eastAsia="zh-CN"/>
        </w:rPr>
        <w:t>加强对本级财政预算安排的项目资金和上级补助资金的管理，建立健全项目的申报、论证、实施、评审及验收制度，保证项目的顺利实施。建立专项资金绩效考核评价制度，提高资金使用效益。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/>
          <w:bCs/>
          <w:lang w:val="en-US" w:eastAsia="zh-CN"/>
        </w:rPr>
      </w:pPr>
      <w:bookmarkStart w:id="19" w:name="_Toc6369"/>
      <w:bookmarkStart w:id="20" w:name="_Toc28418"/>
      <w:r>
        <w:rPr>
          <w:rFonts w:hint="eastAsia" w:ascii="仿宋_GB2312"/>
          <w:bCs/>
          <w:lang w:val="en-US" w:eastAsia="zh-CN"/>
        </w:rPr>
        <w:t>（三） 项目管理方面</w:t>
      </w:r>
      <w:bookmarkEnd w:id="19"/>
      <w:bookmarkEnd w:id="20"/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/>
          <w:bCs/>
          <w:lang w:val="en-US" w:eastAsia="zh-CN"/>
        </w:rPr>
      </w:pPr>
      <w:r>
        <w:rPr>
          <w:rFonts w:hint="eastAsia" w:ascii="仿宋_GB2312"/>
          <w:bCs/>
          <w:lang w:val="en-US" w:eastAsia="zh-CN"/>
        </w:rPr>
        <w:t>针对管护地点、重点区域增岗设卡，严防死守，确保森林资源的安全。在组织实施天保工程建设过程中，认真研究，科学决策，因地制宜，健全体制，优化机制，着力打造精品工程。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/>
          <w:bCs/>
          <w:lang w:val="en-US" w:eastAsia="zh-CN"/>
        </w:rPr>
      </w:pPr>
      <w:bookmarkStart w:id="21" w:name="_Toc10864"/>
      <w:bookmarkStart w:id="22" w:name="_Toc24734"/>
      <w:r>
        <w:rPr>
          <w:rFonts w:hint="eastAsia" w:ascii="仿宋_GB2312"/>
          <w:bCs/>
          <w:lang w:val="en-US" w:eastAsia="zh-CN"/>
        </w:rPr>
        <w:t>（四）资金管理方面</w:t>
      </w:r>
      <w:bookmarkEnd w:id="21"/>
      <w:bookmarkEnd w:id="22"/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/>
          <w:bCs/>
          <w:lang w:val="en-US" w:eastAsia="zh-CN"/>
        </w:rPr>
      </w:pPr>
      <w:r>
        <w:rPr>
          <w:rFonts w:hint="eastAsia" w:ascii="仿宋_GB2312"/>
          <w:bCs/>
          <w:lang w:val="en-US" w:eastAsia="zh-CN"/>
        </w:rPr>
        <w:t>为了更好地完善天保工程资金管理，实行资金专户，统一管理，建立了一套有效管理措施，严格执行《天保工程资金管理办法》的规定，专款专用，单独核算，杜绝挤占、挪用、截留等现象发生，做好预决算工作。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/>
          <w:bCs/>
          <w:lang w:val="en-US" w:eastAsia="zh-CN"/>
        </w:rPr>
      </w:pPr>
      <w:bookmarkStart w:id="23" w:name="_Toc20170"/>
      <w:bookmarkStart w:id="24" w:name="_Toc29101"/>
      <w:r>
        <w:rPr>
          <w:rFonts w:hint="eastAsia" w:ascii="仿宋_GB2312"/>
          <w:bCs/>
          <w:lang w:val="en-US" w:eastAsia="zh-CN"/>
        </w:rPr>
        <w:t>（五）其他方面</w:t>
      </w:r>
      <w:bookmarkEnd w:id="23"/>
      <w:bookmarkEnd w:id="24"/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/>
          <w:bCs/>
          <w:lang w:val="en-US" w:eastAsia="zh-CN"/>
        </w:rPr>
      </w:pPr>
      <w:r>
        <w:rPr>
          <w:rFonts w:hint="eastAsia" w:ascii="仿宋_GB2312"/>
          <w:bCs/>
          <w:lang w:val="en-US" w:eastAsia="zh-CN"/>
        </w:rPr>
        <w:t>无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25" w:name="_Toc61505650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1.</w:t>
      </w:r>
      <w:r>
        <w:rPr>
          <w:rFonts w:hint="eastAsia" w:ascii="仿宋" w:hAnsi="仿宋" w:eastAsia="仿宋" w:cs="仿宋"/>
          <w:b/>
          <w:bCs w:val="0"/>
        </w:rPr>
        <w:t>项目支出绩效自评表</w:t>
      </w:r>
      <w:bookmarkEnd w:id="25"/>
    </w:p>
    <w:p>
      <w:pPr>
        <w:ind w:firstLine="560"/>
      </w:pPr>
    </w:p>
    <w:tbl>
      <w:tblPr>
        <w:tblStyle w:val="24"/>
        <w:tblW w:w="506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899"/>
        <w:gridCol w:w="1535"/>
        <w:gridCol w:w="692"/>
        <w:gridCol w:w="863"/>
        <w:gridCol w:w="744"/>
        <w:gridCol w:w="819"/>
        <w:gridCol w:w="637"/>
        <w:gridCol w:w="1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</w:rPr>
              <w:t>附件</w:t>
            </w:r>
            <w:r>
              <w:rPr>
                <w:rFonts w:ascii="仿宋" w:hAnsi="仿宋" w:eastAsia="仿宋" w:cs="仿宋"/>
                <w:b/>
              </w:rPr>
              <w:t>1.</w:t>
            </w:r>
            <w:r>
              <w:rPr>
                <w:rFonts w:hint="eastAsia" w:ascii="仿宋" w:hAnsi="仿宋" w:eastAsia="仿宋" w:cs="仿宋"/>
                <w:b/>
              </w:rPr>
              <w:t>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一级指标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二级指标</w:t>
            </w:r>
          </w:p>
        </w:tc>
        <w:tc>
          <w:tcPr>
            <w:tcW w:w="91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目标指标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权重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目标值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业绩值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完成率</w:t>
            </w:r>
          </w:p>
        </w:tc>
        <w:tc>
          <w:tcPr>
            <w:tcW w:w="3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指标得分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偏差原因分析及改进措施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91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3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91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国家公益林补偿面积（亩）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2.01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2.01万亩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3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91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国家公益林管护面积（亩）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2.01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2.01万亩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3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91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补助资金发放及时率（%）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3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91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国家公益林补助经费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50.05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50.05万元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3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91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增加管护人员收入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有效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3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生态效益</w:t>
            </w:r>
          </w:p>
        </w:tc>
        <w:tc>
          <w:tcPr>
            <w:tcW w:w="91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空气质量达标天数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22天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22天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3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91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管护人员满意度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37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>
      <w:pPr>
        <w:pStyle w:val="52"/>
        <w:rPr>
          <w:rFonts w:ascii="仿宋" w:hAnsi="仿宋" w:eastAsia="仿宋" w:cs="仿宋"/>
          <w:b/>
          <w:bCs w:val="0"/>
        </w:rPr>
      </w:pPr>
      <w:bookmarkStart w:id="26" w:name="_Toc61505651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2.</w:t>
      </w:r>
      <w:r>
        <w:rPr>
          <w:rFonts w:hint="eastAsia" w:ascii="仿宋" w:hAnsi="仿宋" w:eastAsia="仿宋" w:cs="仿宋"/>
          <w:b/>
          <w:bCs w:val="0"/>
        </w:rPr>
        <w:t>绩效自评相关资料</w:t>
      </w:r>
      <w:bookmarkEnd w:id="26"/>
    </w:p>
    <w:tbl>
      <w:tblPr>
        <w:tblStyle w:val="24"/>
        <w:tblW w:w="12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附件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绩效自评相关资料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6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B53022"/>
    <w:multiLevelType w:val="singleLevel"/>
    <w:tmpl w:val="E3B530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1E9E6987"/>
    <w:rsid w:val="3C5866A3"/>
    <w:rsid w:val="7B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qFormat/>
    <w:uiPriority w:val="9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6"/>
    <w:link w:val="30"/>
    <w:qFormat/>
    <w:uiPriority w:val="9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7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8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Cs w:val="28"/>
    </w:rPr>
  </w:style>
  <w:style w:type="character" w:default="1" w:styleId="26">
    <w:name w:val="Default Paragraph Font"/>
    <w:semiHidden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link w:val="36"/>
    <w:uiPriority w:val="99"/>
    <w:pPr>
      <w:ind w:firstLine="420"/>
    </w:pPr>
  </w:style>
  <w:style w:type="paragraph" w:styleId="4">
    <w:name w:val="Body Text Indent"/>
    <w:basedOn w:val="1"/>
    <w:link w:val="35"/>
    <w:semiHidden/>
    <w:uiPriority w:val="99"/>
    <w:pPr>
      <w:spacing w:after="120"/>
      <w:ind w:left="420" w:leftChars="200"/>
    </w:pPr>
    <w:rPr>
      <w:rFonts w:cs="Times New Roman"/>
      <w:kern w:val="0"/>
      <w:szCs w:val="20"/>
    </w:rPr>
  </w:style>
  <w:style w:type="paragraph" w:styleId="6">
    <w:name w:val="No Spacing"/>
    <w:link w:val="43"/>
    <w:qFormat/>
    <w:uiPriority w:val="99"/>
    <w:pPr>
      <w:widowControl w:val="0"/>
      <w:ind w:firstLine="600" w:firstLineChars="200"/>
      <w:jc w:val="both"/>
    </w:pPr>
    <w:rPr>
      <w:rFonts w:ascii="Calibri" w:hAnsi="Calibri" w:eastAsia="仿宋_GB2312" w:cs="Times New Roman"/>
      <w:kern w:val="0"/>
      <w:sz w:val="28"/>
      <w:szCs w:val="22"/>
      <w:lang w:val="en-US" w:eastAsia="zh-CN" w:bidi="ar-SA"/>
    </w:rPr>
  </w:style>
  <w:style w:type="paragraph" w:styleId="9">
    <w:name w:val="toc 7"/>
    <w:basedOn w:val="1"/>
    <w:next w:val="1"/>
    <w:qFormat/>
    <w:uiPriority w:val="99"/>
    <w:pPr>
      <w:ind w:left="1680"/>
      <w:jc w:val="left"/>
    </w:pPr>
    <w:rPr>
      <w:rFonts w:cs="Calibri"/>
      <w:sz w:val="18"/>
      <w:szCs w:val="18"/>
    </w:rPr>
  </w:style>
  <w:style w:type="paragraph" w:styleId="10">
    <w:name w:val="Document Map"/>
    <w:basedOn w:val="1"/>
    <w:link w:val="42"/>
    <w:semiHidden/>
    <w:qFormat/>
    <w:uiPriority w:val="99"/>
    <w:rPr>
      <w:rFonts w:ascii="宋体" w:eastAsia="宋体" w:cs="Times New Roman"/>
      <w:kern w:val="0"/>
      <w:sz w:val="18"/>
      <w:szCs w:val="18"/>
    </w:rPr>
  </w:style>
  <w:style w:type="paragraph" w:styleId="11">
    <w:name w:val="annotation text"/>
    <w:basedOn w:val="1"/>
    <w:link w:val="40"/>
    <w:semiHidden/>
    <w:qFormat/>
    <w:uiPriority w:val="99"/>
    <w:rPr>
      <w:rFonts w:cs="Times New Roman"/>
      <w:kern w:val="0"/>
      <w:sz w:val="20"/>
      <w:szCs w:val="20"/>
    </w:rPr>
  </w:style>
  <w:style w:type="paragraph" w:styleId="12">
    <w:name w:val="toc 5"/>
    <w:basedOn w:val="1"/>
    <w:next w:val="1"/>
    <w:qFormat/>
    <w:uiPriority w:val="99"/>
    <w:pPr>
      <w:ind w:left="1120"/>
      <w:jc w:val="left"/>
    </w:pPr>
    <w:rPr>
      <w:rFonts w:cs="Calibri"/>
      <w:sz w:val="18"/>
      <w:szCs w:val="18"/>
    </w:rPr>
  </w:style>
  <w:style w:type="paragraph" w:styleId="13">
    <w:name w:val="toc 3"/>
    <w:basedOn w:val="1"/>
    <w:next w:val="1"/>
    <w:qFormat/>
    <w:uiPriority w:val="99"/>
    <w:pPr>
      <w:ind w:left="560"/>
      <w:jc w:val="left"/>
    </w:pPr>
    <w:rPr>
      <w:rFonts w:cs="Calibri"/>
      <w:i/>
      <w:iCs/>
      <w:sz w:val="20"/>
      <w:szCs w:val="20"/>
    </w:rPr>
  </w:style>
  <w:style w:type="paragraph" w:styleId="14">
    <w:name w:val="toc 8"/>
    <w:basedOn w:val="1"/>
    <w:next w:val="1"/>
    <w:qFormat/>
    <w:uiPriority w:val="99"/>
    <w:pPr>
      <w:ind w:left="1960"/>
      <w:jc w:val="left"/>
    </w:pPr>
    <w:rPr>
      <w:rFonts w:cs="Calibri"/>
      <w:sz w:val="18"/>
      <w:szCs w:val="18"/>
    </w:rPr>
  </w:style>
  <w:style w:type="paragraph" w:styleId="15">
    <w:name w:val="Balloon Text"/>
    <w:basedOn w:val="1"/>
    <w:link w:val="38"/>
    <w:semiHidden/>
    <w:uiPriority w:val="99"/>
    <w:rPr>
      <w:rFonts w:cs="Times New Roman"/>
      <w:kern w:val="0"/>
      <w:sz w:val="18"/>
      <w:szCs w:val="18"/>
    </w:rPr>
  </w:style>
  <w:style w:type="paragraph" w:styleId="16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9">
    <w:name w:val="toc 4"/>
    <w:basedOn w:val="1"/>
    <w:next w:val="1"/>
    <w:qFormat/>
    <w:uiPriority w:val="99"/>
    <w:pPr>
      <w:ind w:left="840"/>
      <w:jc w:val="left"/>
    </w:pPr>
    <w:rPr>
      <w:rFonts w:cs="Calibri"/>
      <w:sz w:val="18"/>
      <w:szCs w:val="18"/>
    </w:rPr>
  </w:style>
  <w:style w:type="paragraph" w:styleId="20">
    <w:name w:val="toc 6"/>
    <w:basedOn w:val="1"/>
    <w:next w:val="1"/>
    <w:qFormat/>
    <w:uiPriority w:val="9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1"/>
    <w:next w:val="1"/>
    <w:qFormat/>
    <w:uiPriority w:val="99"/>
    <w:pPr>
      <w:ind w:left="280"/>
      <w:jc w:val="left"/>
    </w:pPr>
    <w:rPr>
      <w:rFonts w:cs="Calibri"/>
      <w:smallCaps/>
      <w:sz w:val="20"/>
      <w:szCs w:val="20"/>
    </w:rPr>
  </w:style>
  <w:style w:type="paragraph" w:styleId="22">
    <w:name w:val="toc 9"/>
    <w:basedOn w:val="1"/>
    <w:next w:val="1"/>
    <w:qFormat/>
    <w:uiPriority w:val="99"/>
    <w:pPr>
      <w:ind w:left="2240"/>
      <w:jc w:val="left"/>
    </w:pPr>
    <w:rPr>
      <w:rFonts w:cs="Calibri"/>
      <w:sz w:val="18"/>
      <w:szCs w:val="18"/>
    </w:rPr>
  </w:style>
  <w:style w:type="paragraph" w:styleId="23">
    <w:name w:val="annotation subject"/>
    <w:basedOn w:val="11"/>
    <w:next w:val="11"/>
    <w:link w:val="41"/>
    <w:semiHidden/>
    <w:qFormat/>
    <w:uiPriority w:val="99"/>
    <w:rPr>
      <w:b/>
      <w:bCs/>
    </w:rPr>
  </w:style>
  <w:style w:type="table" w:styleId="25">
    <w:name w:val="Table Grid"/>
    <w:basedOn w:val="24"/>
    <w:qFormat/>
    <w:uiPriority w:val="99"/>
    <w:rPr>
      <w:rFonts w:ascii="Calibri" w:hAnsi="Calibri" w:eastAsia="宋体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Hyperlink"/>
    <w:basedOn w:val="26"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6"/>
    <w:semiHidden/>
    <w:qFormat/>
    <w:uiPriority w:val="99"/>
    <w:rPr>
      <w:rFonts w:cs="Times New Roman"/>
      <w:sz w:val="16"/>
    </w:rPr>
  </w:style>
  <w:style w:type="character" w:customStyle="1" w:styleId="29">
    <w:name w:val="Heading 1 Char"/>
    <w:basedOn w:val="26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30">
    <w:name w:val="Heading 2 Char"/>
    <w:basedOn w:val="26"/>
    <w:link w:val="5"/>
    <w:qFormat/>
    <w:locked/>
    <w:uiPriority w:val="99"/>
    <w:rPr>
      <w:rFonts w:ascii="Cambria" w:hAnsi="Cambria" w:eastAsia="仿宋_GB2312" w:cs="Times New Roman"/>
      <w:b/>
      <w:bCs/>
      <w:kern w:val="0"/>
      <w:sz w:val="32"/>
      <w:szCs w:val="32"/>
    </w:rPr>
  </w:style>
  <w:style w:type="character" w:customStyle="1" w:styleId="31">
    <w:name w:val="Heading 3 Char"/>
    <w:basedOn w:val="26"/>
    <w:link w:val="7"/>
    <w:qFormat/>
    <w:locked/>
    <w:uiPriority w:val="99"/>
    <w:rPr>
      <w:rFonts w:ascii="Calibri" w:hAnsi="Calibri" w:eastAsia="仿宋_GB2312" w:cs="Times New Roman"/>
      <w:bCs/>
      <w:kern w:val="0"/>
      <w:sz w:val="32"/>
      <w:szCs w:val="32"/>
    </w:rPr>
  </w:style>
  <w:style w:type="character" w:customStyle="1" w:styleId="32">
    <w:name w:val="Heading 4 Char"/>
    <w:basedOn w:val="26"/>
    <w:link w:val="8"/>
    <w:semiHidden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Header Char"/>
    <w:basedOn w:val="26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Footer Char"/>
    <w:basedOn w:val="26"/>
    <w:link w:val="16"/>
    <w:locked/>
    <w:uiPriority w:val="99"/>
    <w:rPr>
      <w:rFonts w:cs="Times New Roman"/>
      <w:sz w:val="18"/>
      <w:szCs w:val="18"/>
    </w:rPr>
  </w:style>
  <w:style w:type="character" w:customStyle="1" w:styleId="35">
    <w:name w:val="Body Text Indent Char"/>
    <w:basedOn w:val="26"/>
    <w:link w:val="4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36">
    <w:name w:val="Body Text First Indent 2 Char"/>
    <w:basedOn w:val="35"/>
    <w:link w:val="3"/>
    <w:qFormat/>
    <w:locked/>
    <w:uiPriority w:val="99"/>
  </w:style>
  <w:style w:type="character" w:customStyle="1" w:styleId="37">
    <w:name w:val="Intense Reference"/>
    <w:basedOn w:val="26"/>
    <w:qFormat/>
    <w:uiPriority w:val="99"/>
    <w:rPr>
      <w:b/>
      <w:smallCaps/>
      <w:color w:val="C0504D"/>
      <w:spacing w:val="5"/>
      <w:u w:val="single"/>
    </w:rPr>
  </w:style>
  <w:style w:type="character" w:customStyle="1" w:styleId="38">
    <w:name w:val="Balloon Text Char"/>
    <w:basedOn w:val="26"/>
    <w:link w:val="15"/>
    <w:semiHidden/>
    <w:qFormat/>
    <w:locked/>
    <w:uiPriority w:val="99"/>
    <w:rPr>
      <w:rFonts w:ascii="Calibri" w:hAnsi="Calibri" w:eastAsia="仿宋_GB2312" w:cs="Times New Roman"/>
      <w:kern w:val="0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Comment Text Char"/>
    <w:basedOn w:val="26"/>
    <w:link w:val="11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41">
    <w:name w:val="Comment Subject Char"/>
    <w:basedOn w:val="40"/>
    <w:link w:val="23"/>
    <w:semiHidden/>
    <w:qFormat/>
    <w:locked/>
    <w:uiPriority w:val="99"/>
    <w:rPr>
      <w:b/>
      <w:bCs/>
    </w:rPr>
  </w:style>
  <w:style w:type="character" w:customStyle="1" w:styleId="42">
    <w:name w:val="Document Map Char"/>
    <w:basedOn w:val="26"/>
    <w:link w:val="10"/>
    <w:semiHidden/>
    <w:qFormat/>
    <w:locked/>
    <w:uiPriority w:val="99"/>
    <w:rPr>
      <w:rFonts w:ascii="宋体" w:hAnsi="Calibri" w:eastAsia="宋体" w:cs="Times New Roman"/>
      <w:kern w:val="0"/>
      <w:sz w:val="18"/>
      <w:szCs w:val="18"/>
    </w:rPr>
  </w:style>
  <w:style w:type="character" w:customStyle="1" w:styleId="43">
    <w:name w:val="No Spacing Char"/>
    <w:link w:val="6"/>
    <w:qFormat/>
    <w:locked/>
    <w:uiPriority w:val="99"/>
    <w:rPr>
      <w:rFonts w:ascii="Calibri" w:hAnsi="Calibri" w:eastAsia="仿宋_GB2312"/>
      <w:sz w:val="22"/>
    </w:rPr>
  </w:style>
  <w:style w:type="paragraph" w:customStyle="1" w:styleId="44">
    <w:name w:val="闻政-正文段落文字"/>
    <w:basedOn w:val="1"/>
    <w:link w:val="45"/>
    <w:qFormat/>
    <w:uiPriority w:val="99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45">
    <w:name w:val="闻政-正文段落文字 Char"/>
    <w:link w:val="44"/>
    <w:qFormat/>
    <w:locked/>
    <w:uiPriority w:val="99"/>
    <w:rPr>
      <w:rFonts w:ascii="Times New Roman" w:hAnsi="Times New Roman" w:eastAsia="仿宋_GB2312"/>
      <w:kern w:val="0"/>
      <w:sz w:val="28"/>
    </w:rPr>
  </w:style>
  <w:style w:type="paragraph" w:customStyle="1" w:styleId="46">
    <w:name w:val="闻政-正文二级标题"/>
    <w:basedOn w:val="5"/>
    <w:next w:val="44"/>
    <w:link w:val="47"/>
    <w:qFormat/>
    <w:uiPriority w:val="99"/>
    <w:pPr>
      <w:spacing w:before="120" w:after="60" w:line="500" w:lineRule="exact"/>
      <w:ind w:left="200" w:leftChars="200" w:firstLine="0" w:firstLineChars="0"/>
    </w:pPr>
    <w:rPr>
      <w:rFonts w:ascii="Times New Roman" w:hAnsi="Times New Roman"/>
      <w:sz w:val="28"/>
    </w:rPr>
  </w:style>
  <w:style w:type="character" w:customStyle="1" w:styleId="47">
    <w:name w:val="闻政-正文二级标题 Char"/>
    <w:link w:val="46"/>
    <w:qFormat/>
    <w:locked/>
    <w:uiPriority w:val="99"/>
    <w:rPr>
      <w:rFonts w:ascii="Times New Roman" w:hAnsi="Times New Roman" w:eastAsia="仿宋_GB2312"/>
      <w:b/>
      <w:kern w:val="0"/>
      <w:sz w:val="32"/>
    </w:rPr>
  </w:style>
  <w:style w:type="paragraph" w:customStyle="1" w:styleId="48">
    <w:name w:val="闻政-正文三级标题"/>
    <w:basedOn w:val="1"/>
    <w:next w:val="44"/>
    <w:link w:val="49"/>
    <w:qFormat/>
    <w:uiPriority w:val="99"/>
    <w:pPr>
      <w:widowControl/>
      <w:spacing w:before="120" w:after="60" w:line="500" w:lineRule="exact"/>
      <w:ind w:left="200" w:leftChars="200" w:firstLine="0" w:firstLineChars="0"/>
    </w:pPr>
    <w:rPr>
      <w:rFonts w:ascii="Times New Roman" w:hAnsi="Times New Roman" w:cs="Times New Roman"/>
      <w:b/>
      <w:kern w:val="0"/>
      <w:szCs w:val="28"/>
    </w:rPr>
  </w:style>
  <w:style w:type="character" w:customStyle="1" w:styleId="49">
    <w:name w:val="闻政-正文三级标题 Char"/>
    <w:link w:val="48"/>
    <w:qFormat/>
    <w:locked/>
    <w:uiPriority w:val="99"/>
    <w:rPr>
      <w:rFonts w:ascii="Times New Roman" w:hAnsi="Times New Roman" w:eastAsia="仿宋_GB2312"/>
      <w:b/>
      <w:snapToGrid w:val="0"/>
      <w:kern w:val="0"/>
      <w:sz w:val="28"/>
    </w:rPr>
  </w:style>
  <w:style w:type="paragraph" w:customStyle="1" w:styleId="50">
    <w:name w:val="闻政-正文四级标题"/>
    <w:basedOn w:val="48"/>
    <w:next w:val="44"/>
    <w:link w:val="51"/>
    <w:qFormat/>
    <w:uiPriority w:val="99"/>
    <w:rPr>
      <w:b w:val="0"/>
    </w:rPr>
  </w:style>
  <w:style w:type="character" w:customStyle="1" w:styleId="51">
    <w:name w:val="闻政-正文四级标题 Char"/>
    <w:link w:val="50"/>
    <w:qFormat/>
    <w:locked/>
    <w:uiPriority w:val="99"/>
    <w:rPr>
      <w:rFonts w:ascii="Times New Roman" w:hAnsi="Times New Roman" w:eastAsia="仿宋_GB2312"/>
      <w:snapToGrid w:val="0"/>
      <w:kern w:val="0"/>
      <w:sz w:val="28"/>
    </w:rPr>
  </w:style>
  <w:style w:type="paragraph" w:customStyle="1" w:styleId="52">
    <w:name w:val="闻政-正文一级标题"/>
    <w:basedOn w:val="7"/>
    <w:next w:val="44"/>
    <w:link w:val="53"/>
    <w:qFormat/>
    <w:uiPriority w:val="99"/>
    <w:pPr>
      <w:spacing w:before="120" w:after="60" w:line="500" w:lineRule="exact"/>
      <w:ind w:firstLine="0" w:firstLineChars="0"/>
      <w:outlineLvl w:val="0"/>
    </w:pPr>
    <w:rPr>
      <w:rFonts w:ascii="黑体" w:hAnsi="黑体" w:eastAsia="黑体"/>
      <w:sz w:val="32"/>
    </w:rPr>
  </w:style>
  <w:style w:type="character" w:customStyle="1" w:styleId="53">
    <w:name w:val="闻政-正文一级标题 Char"/>
    <w:link w:val="52"/>
    <w:qFormat/>
    <w:locked/>
    <w:uiPriority w:val="99"/>
    <w:rPr>
      <w:rFonts w:ascii="黑体" w:hAnsi="黑体"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455</Words>
  <Characters>2599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2020-07-13T07:59:00Z</dcterms:created>
  <dc:creator>qq</dc:creator>
  <cp:lastModifiedBy>Administrator</cp:lastModifiedBy>
  <dcterms:modified xsi:type="dcterms:W3CDTF">2022-10-10T03:19:47Z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