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color w:val="auto"/>
          <w:sz w:val="36"/>
          <w:szCs w:val="36"/>
          <w:lang w:eastAsia="zh-CN"/>
        </w:rPr>
      </w:pPr>
    </w:p>
    <w:p>
      <w:pPr>
        <w:rPr>
          <w:rFonts w:hint="eastAsia" w:ascii="Times New Roman" w:hAnsi="Times New Roman" w:eastAsia="仿宋_GB2312" w:cs="Times New Roman"/>
          <w:color w:val="auto"/>
          <w:sz w:val="36"/>
          <w:szCs w:val="36"/>
          <w:lang w:eastAsia="zh-CN"/>
        </w:rPr>
      </w:pPr>
      <w:r>
        <w:rPr>
          <w:rFonts w:hint="eastAsia" w:ascii="Times New Roman" w:hAnsi="Times New Roman" w:eastAsia="仿宋_GB2312" w:cs="Times New Roman"/>
          <w:color w:val="auto"/>
          <w:sz w:val="36"/>
          <w:szCs w:val="36"/>
          <w:lang w:eastAsia="zh-CN"/>
        </w:rPr>
        <w:drawing>
          <wp:inline distT="0" distB="0" distL="114300" distR="114300">
            <wp:extent cx="5579745" cy="7897495"/>
            <wp:effectExtent l="0" t="0" r="1905" b="8255"/>
            <wp:docPr id="81" name="图片 81" descr="e48533aedfbb3500c81f436d8dd8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e48533aedfbb3500c81f436d8dd863b"/>
                    <pic:cNvPicPr>
                      <a:picLocks noChangeAspect="1"/>
                    </pic:cNvPicPr>
                  </pic:nvPicPr>
                  <pic:blipFill>
                    <a:blip r:embed="rId17"/>
                    <a:srcRect l="2490" r="1987" b="24434"/>
                    <a:stretch>
                      <a:fillRect/>
                    </a:stretch>
                  </pic:blipFill>
                  <pic:spPr>
                    <a:xfrm>
                      <a:off x="0" y="0"/>
                      <a:ext cx="5579745" cy="7897495"/>
                    </a:xfrm>
                    <a:prstGeom prst="rect">
                      <a:avLst/>
                    </a:prstGeom>
                  </pic:spPr>
                </pic:pic>
              </a:graphicData>
            </a:graphic>
          </wp:inline>
        </w:drawing>
      </w:r>
    </w:p>
    <w:p>
      <w:pPr>
        <w:adjustRightInd w:val="0"/>
        <w:snapToGrid w:val="0"/>
        <w:spacing w:line="288" w:lineRule="auto"/>
        <w:jc w:val="both"/>
        <w:rPr>
          <w:rFonts w:hint="eastAsia" w:ascii="Times New Roman" w:hAnsi="Times New Roman" w:eastAsia="楷体_GB2312" w:cs="Times New Roman"/>
          <w:color w:val="auto"/>
          <w:sz w:val="36"/>
          <w:szCs w:val="36"/>
          <w:lang w:eastAsia="zh-CN"/>
        </w:rPr>
      </w:pPr>
    </w:p>
    <w:p>
      <w:pPr>
        <w:adjustRightInd w:val="0"/>
        <w:snapToGrid w:val="0"/>
        <w:spacing w:line="288" w:lineRule="auto"/>
        <w:jc w:val="center"/>
        <w:rPr>
          <w:rFonts w:hint="eastAsia" w:ascii="Times New Roman" w:hAnsi="Times New Roman" w:eastAsia="楷体_GB2312" w:cs="Times New Roman"/>
          <w:color w:val="auto"/>
          <w:sz w:val="36"/>
          <w:szCs w:val="36"/>
          <w:lang w:eastAsia="zh-CN"/>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ascii="Times New Roman" w:hAnsi="Times New Roman" w:eastAsia="楷体_GB2312" w:cs="Times New Roman"/>
          <w:color w:val="auto"/>
          <w:sz w:val="36"/>
          <w:szCs w:val="36"/>
          <w:lang w:eastAsia="zh-CN"/>
        </w:rPr>
        <w:drawing>
          <wp:inline distT="0" distB="0" distL="114300" distR="114300">
            <wp:extent cx="5671185" cy="8160385"/>
            <wp:effectExtent l="0" t="0" r="5715" b="12065"/>
            <wp:docPr id="83" name="图片 83" descr="8719962ae4c9075b813c92187cb6f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8719962ae4c9075b813c92187cb6f2a"/>
                    <pic:cNvPicPr>
                      <a:picLocks noChangeAspect="1"/>
                    </pic:cNvPicPr>
                  </pic:nvPicPr>
                  <pic:blipFill>
                    <a:blip r:embed="rId18"/>
                    <a:srcRect t="2378" r="2742" b="18868"/>
                    <a:stretch>
                      <a:fillRect/>
                    </a:stretch>
                  </pic:blipFill>
                  <pic:spPr>
                    <a:xfrm>
                      <a:off x="0" y="0"/>
                      <a:ext cx="5671185" cy="8160385"/>
                    </a:xfrm>
                    <a:prstGeom prst="rect">
                      <a:avLst/>
                    </a:prstGeom>
                  </pic:spPr>
                </pic:pic>
              </a:graphicData>
            </a:graphic>
          </wp:inline>
        </w:drawing>
      </w:r>
    </w:p>
    <w:sdt>
      <w:sdtPr>
        <w:rPr>
          <w:rFonts w:asciiTheme="minorHAnsi" w:hAnsiTheme="minorHAnsi" w:eastAsiaTheme="minorEastAsia" w:cstheme="minorBidi"/>
          <w:color w:val="auto"/>
          <w:kern w:val="2"/>
          <w:sz w:val="21"/>
          <w:szCs w:val="22"/>
          <w:lang w:val="zh-CN"/>
        </w:rPr>
        <w:id w:val="-1873688671"/>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87"/>
            <w:spacing w:after="480" w:afterLines="200"/>
            <w:jc w:val="center"/>
            <w:rPr>
              <w:rFonts w:ascii="宋体" w:hAnsi="宋体" w:eastAsia="宋体"/>
              <w:b/>
              <w:bCs/>
              <w:color w:val="auto"/>
              <w:sz w:val="40"/>
              <w:szCs w:val="40"/>
            </w:rPr>
          </w:pPr>
          <w:r>
            <w:rPr>
              <w:rFonts w:ascii="宋体" w:hAnsi="宋体" w:eastAsia="宋体"/>
              <w:b/>
              <w:bCs/>
              <w:color w:val="auto"/>
              <w:sz w:val="40"/>
              <w:szCs w:val="40"/>
              <w:lang w:val="zh-CN"/>
            </w:rPr>
            <w:t>目</w:t>
          </w:r>
          <w:r>
            <w:rPr>
              <w:rFonts w:hint="eastAsia" w:ascii="宋体" w:hAnsi="宋体" w:eastAsia="宋体"/>
              <w:b/>
              <w:bCs/>
              <w:color w:val="auto"/>
              <w:sz w:val="40"/>
              <w:szCs w:val="40"/>
              <w:lang w:val="zh-CN"/>
            </w:rPr>
            <w:t xml:space="preserve"> </w:t>
          </w:r>
          <w:r>
            <w:rPr>
              <w:rFonts w:ascii="宋体" w:hAnsi="宋体" w:eastAsia="宋体"/>
              <w:b/>
              <w:bCs/>
              <w:color w:val="auto"/>
              <w:sz w:val="40"/>
              <w:szCs w:val="40"/>
              <w:lang w:val="zh-CN"/>
            </w:rPr>
            <w:t xml:space="preserve"> 录</w:t>
          </w:r>
        </w:p>
        <w:p>
          <w:pPr>
            <w:pStyle w:val="18"/>
            <w:tabs>
              <w:tab w:val="right" w:leader="dot" w:pos="8834"/>
            </w:tabs>
            <w:spacing w:line="480" w:lineRule="auto"/>
            <w:rPr>
              <w:rFonts w:ascii="宋体" w:hAnsi="宋体" w:eastAsia="宋体"/>
              <w:color w:val="auto"/>
              <w:sz w:val="28"/>
              <w:szCs w:val="28"/>
            </w:rPr>
          </w:pPr>
          <w:r>
            <w:rPr>
              <w:rFonts w:ascii="宋体" w:hAnsi="宋体" w:eastAsia="宋体"/>
              <w:color w:val="auto"/>
              <w:sz w:val="28"/>
              <w:szCs w:val="28"/>
            </w:rPr>
            <w:fldChar w:fldCharType="begin"/>
          </w:r>
          <w:r>
            <w:rPr>
              <w:rFonts w:ascii="宋体" w:hAnsi="宋体" w:eastAsia="宋体"/>
              <w:color w:val="auto"/>
              <w:sz w:val="28"/>
              <w:szCs w:val="28"/>
            </w:rPr>
            <w:instrText xml:space="preserve"> TOC \o "1-3" \h \z \u </w:instrText>
          </w:r>
          <w:r>
            <w:rPr>
              <w:rFonts w:ascii="宋体" w:hAnsi="宋体" w:eastAsia="宋体"/>
              <w:color w:val="auto"/>
              <w:sz w:val="28"/>
              <w:szCs w:val="28"/>
            </w:rPr>
            <w:fldChar w:fldCharType="separate"/>
          </w:r>
          <w:r>
            <w:rPr>
              <w:color w:val="auto"/>
            </w:rPr>
            <w:fldChar w:fldCharType="begin"/>
          </w:r>
          <w:r>
            <w:rPr>
              <w:color w:val="auto"/>
            </w:rPr>
            <w:instrText xml:space="preserve"> HYPERLINK \l "_Toc100886265" </w:instrText>
          </w:r>
          <w:r>
            <w:rPr>
              <w:color w:val="auto"/>
            </w:rPr>
            <w:fldChar w:fldCharType="separate"/>
          </w:r>
          <w:r>
            <w:rPr>
              <w:rStyle w:val="31"/>
              <w:rFonts w:ascii="宋体" w:hAnsi="宋体" w:eastAsia="宋体" w:cs="Times New Roman"/>
              <w:snapToGrid w:val="0"/>
              <w:color w:val="auto"/>
              <w:kern w:val="0"/>
              <w:sz w:val="28"/>
              <w:szCs w:val="28"/>
            </w:rPr>
            <w:t>一、建设项目基本情况</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_Toc100886265 \h </w:instrText>
          </w:r>
          <w:r>
            <w:rPr>
              <w:rFonts w:ascii="宋体" w:hAnsi="宋体" w:eastAsia="宋体"/>
              <w:color w:val="auto"/>
              <w:sz w:val="28"/>
              <w:szCs w:val="28"/>
            </w:rPr>
            <w:fldChar w:fldCharType="separate"/>
          </w:r>
          <w:r>
            <w:rPr>
              <w:rFonts w:ascii="宋体" w:hAnsi="宋体" w:eastAsia="宋体"/>
              <w:color w:val="auto"/>
              <w:sz w:val="28"/>
              <w:szCs w:val="28"/>
            </w:rPr>
            <w:t>- 1 -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"_Toc100886266" </w:instrText>
          </w:r>
          <w:r>
            <w:rPr>
              <w:color w:val="auto"/>
            </w:rPr>
            <w:fldChar w:fldCharType="separate"/>
          </w:r>
          <w:r>
            <w:rPr>
              <w:rStyle w:val="31"/>
              <w:rFonts w:ascii="宋体" w:hAnsi="宋体" w:eastAsia="宋体" w:cs="Times New Roman"/>
              <w:snapToGrid w:val="0"/>
              <w:color w:val="auto"/>
              <w:kern w:val="0"/>
              <w:sz w:val="28"/>
              <w:szCs w:val="28"/>
            </w:rPr>
            <w:t>二、建设项目工程分析</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_Toc100886266 \h </w:instrText>
          </w:r>
          <w:r>
            <w:rPr>
              <w:rFonts w:ascii="宋体" w:hAnsi="宋体" w:eastAsia="宋体"/>
              <w:color w:val="auto"/>
              <w:sz w:val="28"/>
              <w:szCs w:val="28"/>
            </w:rPr>
            <w:fldChar w:fldCharType="separate"/>
          </w:r>
          <w:r>
            <w:rPr>
              <w:rFonts w:ascii="宋体" w:hAnsi="宋体" w:eastAsia="宋体"/>
              <w:color w:val="auto"/>
              <w:sz w:val="28"/>
              <w:szCs w:val="28"/>
            </w:rPr>
            <w:t>- 13 -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"_Toc100886267" </w:instrText>
          </w:r>
          <w:r>
            <w:rPr>
              <w:color w:val="auto"/>
            </w:rPr>
            <w:fldChar w:fldCharType="separate"/>
          </w:r>
          <w:r>
            <w:rPr>
              <w:rStyle w:val="31"/>
              <w:rFonts w:ascii="宋体" w:hAnsi="宋体" w:eastAsia="宋体" w:cs="Times New Roman"/>
              <w:snapToGrid w:val="0"/>
              <w:color w:val="auto"/>
              <w:kern w:val="0"/>
              <w:sz w:val="28"/>
              <w:szCs w:val="28"/>
            </w:rPr>
            <w:t>三、区域环境质量现状、环境保护目标及评价标准</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_Toc100886267 \h </w:instrText>
          </w:r>
          <w:r>
            <w:rPr>
              <w:rFonts w:ascii="宋体" w:hAnsi="宋体" w:eastAsia="宋体"/>
              <w:color w:val="auto"/>
              <w:sz w:val="28"/>
              <w:szCs w:val="28"/>
            </w:rPr>
            <w:fldChar w:fldCharType="separate"/>
          </w:r>
          <w:r>
            <w:rPr>
              <w:rFonts w:ascii="宋体" w:hAnsi="宋体" w:eastAsia="宋体"/>
              <w:color w:val="auto"/>
              <w:sz w:val="28"/>
              <w:szCs w:val="28"/>
            </w:rPr>
            <w:t>- 24 -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"_Toc100886268" </w:instrText>
          </w:r>
          <w:r>
            <w:rPr>
              <w:color w:val="auto"/>
            </w:rPr>
            <w:fldChar w:fldCharType="separate"/>
          </w:r>
          <w:r>
            <w:rPr>
              <w:rStyle w:val="31"/>
              <w:rFonts w:ascii="宋体" w:hAnsi="宋体" w:eastAsia="宋体" w:cs="Times New Roman"/>
              <w:snapToGrid w:val="0"/>
              <w:color w:val="auto"/>
              <w:kern w:val="0"/>
              <w:sz w:val="28"/>
              <w:szCs w:val="28"/>
            </w:rPr>
            <w:t>四、主要环境影响和保护措施</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_Toc100886268 \h </w:instrText>
          </w:r>
          <w:r>
            <w:rPr>
              <w:rFonts w:ascii="宋体" w:hAnsi="宋体" w:eastAsia="宋体"/>
              <w:color w:val="auto"/>
              <w:sz w:val="28"/>
              <w:szCs w:val="28"/>
            </w:rPr>
            <w:fldChar w:fldCharType="separate"/>
          </w:r>
          <w:r>
            <w:rPr>
              <w:rFonts w:ascii="宋体" w:hAnsi="宋体" w:eastAsia="宋体"/>
              <w:color w:val="auto"/>
              <w:sz w:val="28"/>
              <w:szCs w:val="28"/>
            </w:rPr>
            <w:t>- 36 -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"_Toc100886269" </w:instrText>
          </w:r>
          <w:r>
            <w:rPr>
              <w:color w:val="auto"/>
            </w:rPr>
            <w:fldChar w:fldCharType="separate"/>
          </w:r>
          <w:r>
            <w:rPr>
              <w:rStyle w:val="31"/>
              <w:rFonts w:ascii="宋体" w:hAnsi="宋体" w:eastAsia="宋体" w:cs="Times New Roman"/>
              <w:snapToGrid w:val="0"/>
              <w:color w:val="auto"/>
              <w:kern w:val="0"/>
              <w:sz w:val="28"/>
              <w:szCs w:val="28"/>
            </w:rPr>
            <w:t>五、环境保护措施监督检查清单</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_Toc100886269 \h </w:instrText>
          </w:r>
          <w:r>
            <w:rPr>
              <w:rFonts w:ascii="宋体" w:hAnsi="宋体" w:eastAsia="宋体"/>
              <w:color w:val="auto"/>
              <w:sz w:val="28"/>
              <w:szCs w:val="28"/>
            </w:rPr>
            <w:fldChar w:fldCharType="separate"/>
          </w:r>
          <w:r>
            <w:rPr>
              <w:rFonts w:ascii="宋体" w:hAnsi="宋体" w:eastAsia="宋体"/>
              <w:color w:val="auto"/>
              <w:sz w:val="28"/>
              <w:szCs w:val="28"/>
            </w:rPr>
            <w:t>- 61 -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"_Toc100886270" </w:instrText>
          </w:r>
          <w:r>
            <w:rPr>
              <w:color w:val="auto"/>
            </w:rPr>
            <w:fldChar w:fldCharType="separate"/>
          </w:r>
          <w:r>
            <w:rPr>
              <w:rStyle w:val="31"/>
              <w:rFonts w:ascii="宋体" w:hAnsi="宋体" w:eastAsia="宋体" w:cs="Times New Roman"/>
              <w:snapToGrid w:val="0"/>
              <w:color w:val="auto"/>
              <w:kern w:val="0"/>
              <w:sz w:val="28"/>
              <w:szCs w:val="28"/>
            </w:rPr>
            <w:t>六、结论</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_Toc100886270 \h </w:instrText>
          </w:r>
          <w:r>
            <w:rPr>
              <w:rFonts w:ascii="宋体" w:hAnsi="宋体" w:eastAsia="宋体"/>
              <w:color w:val="auto"/>
              <w:sz w:val="28"/>
              <w:szCs w:val="28"/>
            </w:rPr>
            <w:fldChar w:fldCharType="separate"/>
          </w:r>
          <w:r>
            <w:rPr>
              <w:rFonts w:ascii="宋体" w:hAnsi="宋体" w:eastAsia="宋体"/>
              <w:color w:val="auto"/>
              <w:sz w:val="28"/>
              <w:szCs w:val="28"/>
            </w:rPr>
            <w:t>- 63 -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pStyle w:val="18"/>
            <w:tabs>
              <w:tab w:val="right" w:leader="dot" w:pos="8834"/>
            </w:tabs>
            <w:spacing w:line="480" w:lineRule="auto"/>
            <w:rPr>
              <w:rFonts w:ascii="宋体" w:hAnsi="宋体" w:eastAsia="宋体"/>
              <w:color w:val="auto"/>
              <w:sz w:val="28"/>
              <w:szCs w:val="28"/>
            </w:rPr>
          </w:pPr>
          <w:r>
            <w:rPr>
              <w:color w:val="auto"/>
            </w:rPr>
            <w:fldChar w:fldCharType="begin"/>
          </w:r>
          <w:r>
            <w:rPr>
              <w:color w:val="auto"/>
            </w:rPr>
            <w:instrText xml:space="preserve"> HYPERLINK \l "_Toc100886271" </w:instrText>
          </w:r>
          <w:r>
            <w:rPr>
              <w:color w:val="auto"/>
            </w:rPr>
            <w:fldChar w:fldCharType="separate"/>
          </w:r>
          <w:r>
            <w:rPr>
              <w:rStyle w:val="31"/>
              <w:rFonts w:ascii="宋体" w:hAnsi="宋体" w:eastAsia="宋体" w:cs="Times New Roman"/>
              <w:snapToGrid w:val="0"/>
              <w:color w:val="auto"/>
              <w:kern w:val="0"/>
              <w:sz w:val="28"/>
              <w:szCs w:val="28"/>
            </w:rPr>
            <w:t>附表</w:t>
          </w:r>
          <w:r>
            <w:rPr>
              <w:rFonts w:ascii="宋体" w:hAnsi="宋体" w:eastAsia="宋体"/>
              <w:color w:val="auto"/>
              <w:sz w:val="28"/>
              <w:szCs w:val="28"/>
            </w:rPr>
            <w:tab/>
          </w:r>
          <w:r>
            <w:rPr>
              <w:rFonts w:ascii="宋体" w:hAnsi="宋体" w:eastAsia="宋体"/>
              <w:color w:val="auto"/>
              <w:sz w:val="28"/>
              <w:szCs w:val="28"/>
            </w:rPr>
            <w:fldChar w:fldCharType="begin"/>
          </w:r>
          <w:r>
            <w:rPr>
              <w:rFonts w:ascii="宋体" w:hAnsi="宋体" w:eastAsia="宋体"/>
              <w:color w:val="auto"/>
              <w:sz w:val="28"/>
              <w:szCs w:val="28"/>
            </w:rPr>
            <w:instrText xml:space="preserve"> PAGEREF _Toc100886271 \h </w:instrText>
          </w:r>
          <w:r>
            <w:rPr>
              <w:rFonts w:ascii="宋体" w:hAnsi="宋体" w:eastAsia="宋体"/>
              <w:color w:val="auto"/>
              <w:sz w:val="28"/>
              <w:szCs w:val="28"/>
            </w:rPr>
            <w:fldChar w:fldCharType="separate"/>
          </w:r>
          <w:r>
            <w:rPr>
              <w:rFonts w:ascii="宋体" w:hAnsi="宋体" w:eastAsia="宋体"/>
              <w:color w:val="auto"/>
              <w:sz w:val="28"/>
              <w:szCs w:val="28"/>
            </w:rPr>
            <w:t>- 64 -</w:t>
          </w:r>
          <w:r>
            <w:rPr>
              <w:rFonts w:ascii="宋体" w:hAnsi="宋体" w:eastAsia="宋体"/>
              <w:color w:val="auto"/>
              <w:sz w:val="28"/>
              <w:szCs w:val="28"/>
            </w:rPr>
            <w:fldChar w:fldCharType="end"/>
          </w:r>
          <w:r>
            <w:rPr>
              <w:rFonts w:ascii="宋体" w:hAnsi="宋体" w:eastAsia="宋体"/>
              <w:color w:val="auto"/>
              <w:sz w:val="28"/>
              <w:szCs w:val="28"/>
            </w:rPr>
            <w:fldChar w:fldCharType="end"/>
          </w:r>
        </w:p>
        <w:p>
          <w:pPr>
            <w:spacing w:line="480" w:lineRule="auto"/>
            <w:rPr>
              <w:color w:val="auto"/>
            </w:rPr>
          </w:pPr>
          <w:r>
            <w:rPr>
              <w:rFonts w:ascii="宋体" w:hAnsi="宋体" w:eastAsia="宋体"/>
              <w:b/>
              <w:bCs/>
              <w:color w:val="auto"/>
              <w:sz w:val="28"/>
              <w:szCs w:val="28"/>
              <w:lang w:val="zh-CN"/>
            </w:rPr>
            <w:fldChar w:fldCharType="end"/>
          </w:r>
        </w:p>
      </w:sdtContent>
    </w:sdt>
    <w:p>
      <w:pPr>
        <w:pStyle w:val="25"/>
        <w:rPr>
          <w:rFonts w:hint="eastAsia" w:eastAsia="黑体"/>
          <w:lang w:eastAsia="zh-CN"/>
        </w:rPr>
      </w:pPr>
    </w:p>
    <w:p>
      <w:pPr>
        <w:pStyle w:val="25"/>
        <w:ind w:left="0" w:leftChars="0" w:firstLine="0" w:firstLineChars="0"/>
        <w:rPr>
          <w:rFonts w:hint="eastAsia" w:eastAsia="黑体"/>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eastAsia" w:eastAsia="黑体"/>
          <w:lang w:eastAsia="zh-CN"/>
        </w:rPr>
        <w:drawing>
          <wp:inline distT="0" distB="0" distL="114300" distR="114300">
            <wp:extent cx="5661660" cy="8485505"/>
            <wp:effectExtent l="0" t="0" r="15240" b="10795"/>
            <wp:docPr id="97" name="图片 97" descr="3c4df374ebdb08fd84542a51b3fb6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3c4df374ebdb08fd84542a51b3fb6a7"/>
                    <pic:cNvPicPr>
                      <a:picLocks noChangeAspect="1"/>
                    </pic:cNvPicPr>
                  </pic:nvPicPr>
                  <pic:blipFill>
                    <a:blip r:embed="rId19"/>
                    <a:srcRect b="12159"/>
                    <a:stretch>
                      <a:fillRect/>
                    </a:stretch>
                  </pic:blipFill>
                  <pic:spPr>
                    <a:xfrm>
                      <a:off x="0" y="0"/>
                      <a:ext cx="5661660" cy="8485505"/>
                    </a:xfrm>
                    <a:prstGeom prst="rect">
                      <a:avLst/>
                    </a:prstGeom>
                  </pic:spPr>
                </pic:pic>
              </a:graphicData>
            </a:graphic>
          </wp:inline>
        </w:drawing>
      </w:r>
    </w:p>
    <w:p>
      <w:pPr>
        <w:widowControl/>
        <w:spacing w:before="100" w:beforeAutospacing="1" w:after="100" w:afterAutospacing="1"/>
        <w:jc w:val="center"/>
        <w:outlineLvl w:val="0"/>
        <w:rPr>
          <w:rFonts w:ascii="Times New Roman" w:hAnsi="Times New Roman" w:eastAsia="黑体" w:cs="Times New Roman"/>
          <w:snapToGrid w:val="0"/>
          <w:kern w:val="0"/>
          <w:sz w:val="30"/>
          <w:szCs w:val="30"/>
        </w:rPr>
      </w:pPr>
      <w:r>
        <w:rPr>
          <w:rFonts w:ascii="Times New Roman" w:hAnsi="Times New Roman" w:eastAsia="黑体" w:cs="Times New Roman"/>
          <w:snapToGrid w:val="0"/>
          <w:kern w:val="0"/>
          <w:sz w:val="30"/>
          <w:szCs w:val="30"/>
        </w:rPr>
        <w:drawing>
          <wp:inline distT="0" distB="0" distL="114300" distR="114300">
            <wp:extent cx="8433435" cy="5815330"/>
            <wp:effectExtent l="0" t="0" r="13970" b="5715"/>
            <wp:docPr id="73" name="图片 73" descr="李媛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李媛证书"/>
                    <pic:cNvPicPr>
                      <a:picLocks noChangeAspect="1"/>
                    </pic:cNvPicPr>
                  </pic:nvPicPr>
                  <pic:blipFill>
                    <a:blip r:embed="rId20"/>
                    <a:stretch>
                      <a:fillRect/>
                    </a:stretch>
                  </pic:blipFill>
                  <pic:spPr>
                    <a:xfrm rot="16200000">
                      <a:off x="0" y="0"/>
                      <a:ext cx="8433435" cy="5815330"/>
                    </a:xfrm>
                    <a:prstGeom prst="rect">
                      <a:avLst/>
                    </a:prstGeom>
                  </pic:spPr>
                </pic:pic>
              </a:graphicData>
            </a:graphic>
          </wp:inline>
        </w:drawing>
      </w:r>
    </w:p>
    <w:p>
      <w:pPr>
        <w:widowControl/>
        <w:spacing w:before="100" w:beforeAutospacing="1" w:after="100" w:afterAutospacing="1"/>
        <w:jc w:val="center"/>
        <w:outlineLvl w:val="0"/>
        <w:rPr>
          <w:rFonts w:hint="eastAsia" w:ascii="Times New Roman" w:hAnsi="Times New Roman" w:eastAsia="黑体" w:cs="Times New Roman"/>
          <w:snapToGrid w:val="0"/>
          <w:kern w:val="0"/>
          <w:sz w:val="30"/>
          <w:szCs w:val="30"/>
          <w:vertAlign w:val="baseline"/>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4" w:hRule="atLeast"/>
        </w:trPr>
        <w:tc>
          <w:tcPr>
            <w:tcW w:w="4530" w:type="dxa"/>
          </w:tcPr>
          <w:p>
            <w:pPr>
              <w:widowControl/>
              <w:spacing w:before="100" w:beforeAutospacing="1" w:after="100" w:afterAutospacing="1"/>
              <w:jc w:val="center"/>
              <w:outlineLvl w:val="0"/>
              <w:rPr>
                <w:rFonts w:hint="eastAsia" w:ascii="Times New Roman" w:hAnsi="Times New Roman" w:eastAsia="黑体" w:cs="Times New Roman"/>
                <w:snapToGrid w:val="0"/>
                <w:kern w:val="0"/>
                <w:sz w:val="30"/>
                <w:szCs w:val="30"/>
                <w:vertAlign w:val="baseline"/>
                <w:lang w:eastAsia="zh-CN"/>
              </w:rPr>
            </w:pPr>
            <w:r>
              <w:rPr>
                <w:rFonts w:hint="eastAsia" w:ascii="Times New Roman" w:hAnsi="Times New Roman" w:eastAsia="黑体" w:cs="Times New Roman"/>
                <w:snapToGrid w:val="0"/>
                <w:kern w:val="0"/>
                <w:sz w:val="30"/>
                <w:szCs w:val="30"/>
                <w:vertAlign w:val="baseline"/>
                <w:lang w:eastAsia="zh-CN"/>
              </w:rPr>
              <w:drawing>
                <wp:inline distT="0" distB="0" distL="114300" distR="114300">
                  <wp:extent cx="2800350" cy="2675890"/>
                  <wp:effectExtent l="0" t="0" r="0" b="10160"/>
                  <wp:docPr id="77" name="图片 77" descr="6651d5d79019cf085dab7ba16769dbb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6651d5d79019cf085dab7ba16769dbb4_"/>
                          <pic:cNvPicPr>
                            <a:picLocks noChangeAspect="1"/>
                          </pic:cNvPicPr>
                        </pic:nvPicPr>
                        <pic:blipFill>
                          <a:blip r:embed="rId21"/>
                          <a:stretch>
                            <a:fillRect/>
                          </a:stretch>
                        </pic:blipFill>
                        <pic:spPr>
                          <a:xfrm>
                            <a:off x="0" y="0"/>
                            <a:ext cx="2800350" cy="2675890"/>
                          </a:xfrm>
                          <a:prstGeom prst="rect">
                            <a:avLst/>
                          </a:prstGeom>
                        </pic:spPr>
                      </pic:pic>
                    </a:graphicData>
                  </a:graphic>
                </wp:inline>
              </w:drawing>
            </w:r>
          </w:p>
        </w:tc>
        <w:tc>
          <w:tcPr>
            <w:tcW w:w="4530" w:type="dxa"/>
          </w:tcPr>
          <w:p>
            <w:pPr>
              <w:widowControl/>
              <w:spacing w:before="100" w:beforeAutospacing="1" w:after="100" w:afterAutospacing="1"/>
              <w:jc w:val="center"/>
              <w:outlineLvl w:val="0"/>
              <w:rPr>
                <w:rFonts w:hint="eastAsia" w:ascii="Times New Roman" w:hAnsi="Times New Roman" w:eastAsia="黑体" w:cs="Times New Roman"/>
                <w:snapToGrid w:val="0"/>
                <w:kern w:val="0"/>
                <w:sz w:val="30"/>
                <w:szCs w:val="30"/>
                <w:vertAlign w:val="baseline"/>
                <w:lang w:eastAsia="zh-CN"/>
              </w:rPr>
            </w:pPr>
            <w:r>
              <w:rPr>
                <w:rFonts w:hint="eastAsia" w:ascii="Times New Roman" w:hAnsi="Times New Roman" w:eastAsia="黑体" w:cs="Times New Roman"/>
                <w:snapToGrid w:val="0"/>
                <w:kern w:val="0"/>
                <w:sz w:val="30"/>
                <w:szCs w:val="30"/>
                <w:vertAlign w:val="baseline"/>
                <w:lang w:eastAsia="zh-CN"/>
              </w:rPr>
              <w:drawing>
                <wp:inline distT="0" distB="0" distL="114300" distR="114300">
                  <wp:extent cx="2759710" cy="2676525"/>
                  <wp:effectExtent l="0" t="0" r="2540" b="9525"/>
                  <wp:docPr id="78" name="图片 78" descr="c3cc761b7a873e40b26e8c19af217d9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c3cc761b7a873e40b26e8c19af217d96_"/>
                          <pic:cNvPicPr>
                            <a:picLocks noChangeAspect="1"/>
                          </pic:cNvPicPr>
                        </pic:nvPicPr>
                        <pic:blipFill>
                          <a:blip r:embed="rId22"/>
                          <a:stretch>
                            <a:fillRect/>
                          </a:stretch>
                        </pic:blipFill>
                        <pic:spPr>
                          <a:xfrm>
                            <a:off x="0" y="0"/>
                            <a:ext cx="2759710" cy="267652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tcPr>
          <w:p>
            <w:pPr>
              <w:widowControl/>
              <w:spacing w:before="100" w:beforeAutospacing="1" w:after="100" w:afterAutospacing="1"/>
              <w:jc w:val="center"/>
              <w:outlineLvl w:val="0"/>
              <w:rPr>
                <w:rFonts w:hint="default" w:ascii="Times New Roman" w:hAnsi="Times New Roman" w:eastAsia="黑体" w:cs="Times New Roman"/>
                <w:snapToGrid w:val="0"/>
                <w:kern w:val="0"/>
                <w:sz w:val="30"/>
                <w:szCs w:val="30"/>
                <w:vertAlign w:val="baseline"/>
                <w:lang w:val="en-US" w:eastAsia="zh-CN"/>
              </w:rPr>
            </w:pPr>
            <w:r>
              <w:rPr>
                <w:rFonts w:hint="eastAsia" w:ascii="Times New Roman" w:hAnsi="Times New Roman" w:eastAsia="黑体" w:cs="Times New Roman"/>
                <w:snapToGrid w:val="0"/>
                <w:kern w:val="0"/>
                <w:sz w:val="30"/>
                <w:szCs w:val="30"/>
                <w:vertAlign w:val="baseline"/>
                <w:lang w:val="en-US" w:eastAsia="zh-CN"/>
              </w:rPr>
              <w:t>项目占地现状1</w:t>
            </w:r>
          </w:p>
        </w:tc>
        <w:tc>
          <w:tcPr>
            <w:tcW w:w="4530" w:type="dxa"/>
          </w:tcPr>
          <w:p>
            <w:pPr>
              <w:widowControl/>
              <w:spacing w:before="100" w:beforeAutospacing="1" w:after="100" w:afterAutospacing="1"/>
              <w:jc w:val="center"/>
              <w:outlineLvl w:val="0"/>
              <w:rPr>
                <w:rFonts w:hint="default" w:ascii="Times New Roman" w:hAnsi="Times New Roman" w:eastAsia="黑体" w:cs="Times New Roman"/>
                <w:snapToGrid w:val="0"/>
                <w:kern w:val="0"/>
                <w:sz w:val="30"/>
                <w:szCs w:val="30"/>
                <w:vertAlign w:val="baseline"/>
                <w:lang w:val="en-US" w:eastAsia="zh-CN"/>
              </w:rPr>
            </w:pPr>
            <w:r>
              <w:rPr>
                <w:rFonts w:hint="eastAsia" w:ascii="Times New Roman" w:hAnsi="Times New Roman" w:eastAsia="黑体" w:cs="Times New Roman"/>
                <w:snapToGrid w:val="0"/>
                <w:kern w:val="0"/>
                <w:sz w:val="30"/>
                <w:szCs w:val="30"/>
                <w:vertAlign w:val="baseline"/>
                <w:lang w:val="en-US" w:eastAsia="zh-CN"/>
              </w:rPr>
              <w:t>项目占地现状2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4" w:hRule="atLeast"/>
        </w:trPr>
        <w:tc>
          <w:tcPr>
            <w:tcW w:w="4530" w:type="dxa"/>
          </w:tcPr>
          <w:p>
            <w:pPr>
              <w:widowControl/>
              <w:spacing w:before="100" w:beforeAutospacing="1" w:after="100" w:afterAutospacing="1"/>
              <w:jc w:val="center"/>
              <w:outlineLvl w:val="0"/>
              <w:rPr>
                <w:rFonts w:hint="eastAsia" w:ascii="Times New Roman" w:hAnsi="Times New Roman" w:eastAsia="黑体" w:cs="Times New Roman"/>
                <w:snapToGrid w:val="0"/>
                <w:kern w:val="0"/>
                <w:sz w:val="30"/>
                <w:szCs w:val="30"/>
                <w:vertAlign w:val="baseline"/>
                <w:lang w:eastAsia="zh-CN"/>
              </w:rPr>
            </w:pPr>
            <w:r>
              <w:rPr>
                <w:rFonts w:hint="eastAsia" w:ascii="Times New Roman" w:hAnsi="Times New Roman" w:eastAsia="黑体" w:cs="Times New Roman"/>
                <w:snapToGrid w:val="0"/>
                <w:kern w:val="0"/>
                <w:sz w:val="30"/>
                <w:szCs w:val="30"/>
                <w:vertAlign w:val="baseline"/>
                <w:lang w:eastAsia="zh-CN"/>
              </w:rPr>
              <w:drawing>
                <wp:inline distT="0" distB="0" distL="114300" distR="114300">
                  <wp:extent cx="2712085" cy="2570480"/>
                  <wp:effectExtent l="0" t="0" r="12065" b="1270"/>
                  <wp:docPr id="79" name="图片 79" descr="c252b2b453a47c6551179027a919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252b2b453a47c6551179027a919186"/>
                          <pic:cNvPicPr>
                            <a:picLocks noChangeAspect="1"/>
                          </pic:cNvPicPr>
                        </pic:nvPicPr>
                        <pic:blipFill>
                          <a:blip r:embed="rId23"/>
                          <a:stretch>
                            <a:fillRect/>
                          </a:stretch>
                        </pic:blipFill>
                        <pic:spPr>
                          <a:xfrm>
                            <a:off x="0" y="0"/>
                            <a:ext cx="2712085" cy="2570480"/>
                          </a:xfrm>
                          <a:prstGeom prst="rect">
                            <a:avLst/>
                          </a:prstGeom>
                        </pic:spPr>
                      </pic:pic>
                    </a:graphicData>
                  </a:graphic>
                </wp:inline>
              </w:drawing>
            </w:r>
          </w:p>
        </w:tc>
        <w:tc>
          <w:tcPr>
            <w:tcW w:w="4530" w:type="dxa"/>
          </w:tcPr>
          <w:p>
            <w:pPr>
              <w:widowControl/>
              <w:spacing w:before="100" w:beforeAutospacing="1" w:after="100" w:afterAutospacing="1"/>
              <w:jc w:val="center"/>
              <w:outlineLvl w:val="0"/>
              <w:rPr>
                <w:rFonts w:hint="eastAsia" w:ascii="Times New Roman" w:hAnsi="Times New Roman" w:eastAsia="黑体" w:cs="Times New Roman"/>
                <w:snapToGrid w:val="0"/>
                <w:kern w:val="0"/>
                <w:sz w:val="30"/>
                <w:szCs w:val="30"/>
                <w:vertAlign w:val="baseline"/>
                <w:lang w:eastAsia="zh-CN"/>
              </w:rPr>
            </w:pPr>
            <w:r>
              <w:rPr>
                <w:rFonts w:hint="eastAsia" w:ascii="Times New Roman" w:hAnsi="Times New Roman" w:eastAsia="黑体" w:cs="Times New Roman"/>
                <w:snapToGrid w:val="0"/>
                <w:kern w:val="0"/>
                <w:sz w:val="30"/>
                <w:szCs w:val="30"/>
                <w:vertAlign w:val="baseline"/>
                <w:lang w:eastAsia="zh-CN"/>
              </w:rPr>
              <w:drawing>
                <wp:inline distT="0" distB="0" distL="114300" distR="114300">
                  <wp:extent cx="2796540" cy="2553970"/>
                  <wp:effectExtent l="0" t="0" r="3810" b="17780"/>
                  <wp:docPr id="80" name="图片 80" descr="d7ae8eb5e9f9ef829e31e75dd9bdae73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d7ae8eb5e9f9ef829e31e75dd9bdae73_"/>
                          <pic:cNvPicPr>
                            <a:picLocks noChangeAspect="1"/>
                          </pic:cNvPicPr>
                        </pic:nvPicPr>
                        <pic:blipFill>
                          <a:blip r:embed="rId24"/>
                          <a:stretch>
                            <a:fillRect/>
                          </a:stretch>
                        </pic:blipFill>
                        <pic:spPr>
                          <a:xfrm>
                            <a:off x="0" y="0"/>
                            <a:ext cx="2796540" cy="255397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tcPr>
          <w:p>
            <w:pPr>
              <w:widowControl/>
              <w:spacing w:before="100" w:beforeAutospacing="1" w:after="100" w:afterAutospacing="1"/>
              <w:jc w:val="center"/>
              <w:outlineLvl w:val="0"/>
              <w:rPr>
                <w:rFonts w:hint="default" w:ascii="Times New Roman" w:hAnsi="Times New Roman" w:eastAsia="黑体" w:cs="Times New Roman"/>
                <w:snapToGrid w:val="0"/>
                <w:kern w:val="0"/>
                <w:sz w:val="30"/>
                <w:szCs w:val="30"/>
                <w:vertAlign w:val="baseline"/>
                <w:lang w:val="en-US" w:eastAsia="zh-CN"/>
              </w:rPr>
            </w:pPr>
            <w:r>
              <w:rPr>
                <w:rFonts w:hint="eastAsia" w:ascii="Times New Roman" w:hAnsi="Times New Roman" w:eastAsia="黑体" w:cs="Times New Roman"/>
                <w:snapToGrid w:val="0"/>
                <w:kern w:val="0"/>
                <w:sz w:val="30"/>
                <w:szCs w:val="30"/>
                <w:vertAlign w:val="baseline"/>
                <w:lang w:val="en-US" w:eastAsia="zh-CN"/>
              </w:rPr>
              <w:t>项目占地现状3</w:t>
            </w:r>
          </w:p>
        </w:tc>
        <w:tc>
          <w:tcPr>
            <w:tcW w:w="4530" w:type="dxa"/>
          </w:tcPr>
          <w:p>
            <w:pPr>
              <w:widowControl/>
              <w:spacing w:before="100" w:beforeAutospacing="1" w:after="100" w:afterAutospacing="1"/>
              <w:jc w:val="center"/>
              <w:outlineLvl w:val="0"/>
              <w:rPr>
                <w:rFonts w:hint="default" w:ascii="Times New Roman" w:hAnsi="Times New Roman" w:eastAsia="黑体" w:cs="Times New Roman"/>
                <w:snapToGrid w:val="0"/>
                <w:kern w:val="0"/>
                <w:sz w:val="30"/>
                <w:szCs w:val="30"/>
                <w:vertAlign w:val="baseline"/>
                <w:lang w:val="en-US" w:eastAsia="zh-CN"/>
              </w:rPr>
            </w:pPr>
            <w:r>
              <w:rPr>
                <w:rFonts w:hint="eastAsia" w:ascii="Times New Roman" w:hAnsi="Times New Roman" w:eastAsia="黑体" w:cs="Times New Roman"/>
                <w:snapToGrid w:val="0"/>
                <w:kern w:val="0"/>
                <w:sz w:val="30"/>
                <w:szCs w:val="30"/>
                <w:vertAlign w:val="baseline"/>
                <w:lang w:val="en-US" w:eastAsia="zh-CN"/>
              </w:rPr>
              <w:t>项目占地现状4</w:t>
            </w:r>
          </w:p>
        </w:tc>
      </w:tr>
    </w:tbl>
    <w:p>
      <w:pPr>
        <w:spacing w:line="360" w:lineRule="auto"/>
        <w:jc w:val="both"/>
        <w:rPr>
          <w:rFonts w:hint="eastAsia" w:ascii="Times New Roman" w:hAnsi="Times New Roman"/>
          <w:b/>
          <w:bCs/>
          <w:sz w:val="32"/>
          <w:szCs w:val="32"/>
        </w:rPr>
        <w:sectPr>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widowControl/>
        <w:spacing w:before="100" w:beforeAutospacing="1" w:after="100" w:afterAutospacing="1"/>
        <w:jc w:val="both"/>
        <w:outlineLvl w:val="0"/>
        <w:rPr>
          <w:rFonts w:ascii="Times New Roman" w:hAnsi="Times New Roman" w:eastAsia="黑体" w:cs="Times New Roman"/>
          <w:snapToGrid w:val="0"/>
          <w:color w:val="auto"/>
          <w:kern w:val="0"/>
          <w:sz w:val="30"/>
          <w:szCs w:val="30"/>
        </w:rPr>
      </w:pPr>
      <w:bookmarkStart w:id="0" w:name="_Toc100886265"/>
    </w:p>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r>
        <w:rPr>
          <w:rFonts w:ascii="Times New Roman" w:hAnsi="Times New Roman" w:eastAsia="黑体" w:cs="Times New Roman"/>
          <w:snapToGrid w:val="0"/>
          <w:color w:val="auto"/>
          <w:kern w:val="0"/>
          <w:sz w:val="30"/>
          <w:szCs w:val="30"/>
        </w:rPr>
        <w:drawing>
          <wp:inline distT="0" distB="0" distL="114300" distR="114300">
            <wp:extent cx="5492115" cy="7956550"/>
            <wp:effectExtent l="0" t="0" r="13335" b="6350"/>
            <wp:docPr id="98" name="图片 98" descr="ed2d13218b18905838793a2546670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ed2d13218b18905838793a2546670cf"/>
                    <pic:cNvPicPr>
                      <a:picLocks noChangeAspect="1"/>
                    </pic:cNvPicPr>
                  </pic:nvPicPr>
                  <pic:blipFill>
                    <a:blip r:embed="rId25"/>
                    <a:srcRect t="956" b="17516"/>
                    <a:stretch>
                      <a:fillRect/>
                    </a:stretch>
                  </pic:blipFill>
                  <pic:spPr>
                    <a:xfrm>
                      <a:off x="0" y="0"/>
                      <a:ext cx="5492115" cy="7956550"/>
                    </a:xfrm>
                    <a:prstGeom prst="rect">
                      <a:avLst/>
                    </a:prstGeom>
                  </pic:spPr>
                </pic:pic>
              </a:graphicData>
            </a:graphic>
          </wp:inline>
        </w:drawing>
      </w:r>
    </w:p>
    <w:p>
      <w:pPr>
        <w:widowControl/>
        <w:spacing w:before="100" w:beforeAutospacing="1" w:after="100" w:afterAutospacing="1"/>
        <w:jc w:val="center"/>
        <w:outlineLvl w:val="0"/>
        <w:rPr>
          <w:rFonts w:hint="eastAsia" w:ascii="Times New Roman" w:hAnsi="Times New Roman" w:eastAsia="黑体" w:cs="Times New Roman"/>
          <w:snapToGrid w:val="0"/>
          <w:color w:val="auto"/>
          <w:kern w:val="0"/>
          <w:sz w:val="30"/>
          <w:szCs w:val="30"/>
          <w:lang w:eastAsia="zh-CN"/>
        </w:rPr>
      </w:pPr>
    </w:p>
    <w:p>
      <w:pPr>
        <w:widowControl/>
        <w:spacing w:before="100" w:beforeAutospacing="1" w:after="100" w:afterAutospacing="1"/>
        <w:jc w:val="center"/>
        <w:outlineLvl w:val="0"/>
        <w:rPr>
          <w:rFonts w:hint="eastAsia" w:ascii="Times New Roman" w:hAnsi="Times New Roman" w:eastAsia="黑体" w:cs="Times New Roman"/>
          <w:snapToGrid w:val="0"/>
          <w:color w:val="auto"/>
          <w:kern w:val="0"/>
          <w:sz w:val="30"/>
          <w:szCs w:val="30"/>
          <w:lang w:eastAsia="zh-CN"/>
        </w:rPr>
      </w:pPr>
      <w:r>
        <w:rPr>
          <w:rFonts w:hint="eastAsia" w:ascii="Times New Roman" w:hAnsi="Times New Roman" w:eastAsia="黑体" w:cs="Times New Roman"/>
          <w:snapToGrid w:val="0"/>
          <w:color w:val="auto"/>
          <w:kern w:val="0"/>
          <w:sz w:val="30"/>
          <w:szCs w:val="30"/>
          <w:lang w:eastAsia="zh-CN"/>
        </w:rPr>
        <w:drawing>
          <wp:inline distT="0" distB="0" distL="114300" distR="114300">
            <wp:extent cx="5729605" cy="8163560"/>
            <wp:effectExtent l="0" t="0" r="4445" b="8890"/>
            <wp:docPr id="99" name="图片 99" descr="49a178a83c4762b8ddf888f46e03b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49a178a83c4762b8ddf888f46e03b09"/>
                    <pic:cNvPicPr>
                      <a:picLocks noChangeAspect="1"/>
                    </pic:cNvPicPr>
                  </pic:nvPicPr>
                  <pic:blipFill>
                    <a:blip r:embed="rId26"/>
                    <a:srcRect t="1372" b="18472"/>
                    <a:stretch>
                      <a:fillRect/>
                    </a:stretch>
                  </pic:blipFill>
                  <pic:spPr>
                    <a:xfrm>
                      <a:off x="0" y="0"/>
                      <a:ext cx="5729605" cy="8163560"/>
                    </a:xfrm>
                    <a:prstGeom prst="rect">
                      <a:avLst/>
                    </a:prstGeom>
                  </pic:spPr>
                </pic:pic>
              </a:graphicData>
            </a:graphic>
          </wp:inline>
        </w:drawing>
      </w:r>
    </w:p>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r>
        <w:rPr>
          <w:rFonts w:ascii="Times New Roman" w:hAnsi="Times New Roman" w:eastAsia="黑体" w:cs="Times New Roman"/>
          <w:snapToGrid w:val="0"/>
          <w:color w:val="auto"/>
          <w:kern w:val="0"/>
          <w:sz w:val="30"/>
          <w:szCs w:val="30"/>
        </w:rPr>
        <w:t>一、建设项目基本情况</w:t>
      </w:r>
      <w:bookmarkEnd w:id="0"/>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45"/>
        <w:gridCol w:w="524"/>
        <w:gridCol w:w="2450"/>
        <w:gridCol w:w="2104"/>
        <w:gridCol w:w="274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建设项目名称</w:t>
            </w:r>
          </w:p>
        </w:tc>
        <w:tc>
          <w:tcPr>
            <w:tcW w:w="7301" w:type="dxa"/>
            <w:gridSpan w:val="3"/>
            <w:vAlign w:val="center"/>
          </w:tcPr>
          <w:p>
            <w:pPr>
              <w:adjustRightInd w:val="0"/>
              <w:snapToGrid w:val="0"/>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山西时代雨虹建材科技有限公司SBS防水卷材建设工程项目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项目代码</w:t>
            </w:r>
          </w:p>
        </w:tc>
        <w:tc>
          <w:tcPr>
            <w:tcW w:w="7301" w:type="dxa"/>
            <w:gridSpan w:val="3"/>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2208-141030-89-05-825048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建设单位联系人</w:t>
            </w:r>
          </w:p>
        </w:tc>
        <w:tc>
          <w:tcPr>
            <w:tcW w:w="2450"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宁康欣</w:t>
            </w:r>
          </w:p>
        </w:tc>
        <w:tc>
          <w:tcPr>
            <w:tcW w:w="2104" w:type="dxa"/>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联系方式</w:t>
            </w:r>
          </w:p>
        </w:tc>
        <w:tc>
          <w:tcPr>
            <w:tcW w:w="2747"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13015328222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建设地点</w:t>
            </w:r>
          </w:p>
        </w:tc>
        <w:tc>
          <w:tcPr>
            <w:tcW w:w="7301" w:type="dxa"/>
            <w:gridSpan w:val="3"/>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u w:val="single"/>
              </w:rPr>
              <w:t xml:space="preserve"> 山西 </w:t>
            </w:r>
            <w:r>
              <w:rPr>
                <w:rFonts w:ascii="Times New Roman" w:hAnsi="Times New Roman" w:eastAsia="宋体" w:cs="Times New Roman"/>
                <w:color w:val="auto"/>
                <w:sz w:val="24"/>
                <w:szCs w:val="24"/>
              </w:rPr>
              <w:t>省</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u w:val="single"/>
              </w:rPr>
              <w:t>临汾</w:t>
            </w:r>
            <w:r>
              <w:rPr>
                <w:rFonts w:ascii="Times New Roman" w:hAnsi="Times New Roman" w:eastAsia="宋体" w:cs="Times New Roman"/>
                <w:color w:val="auto"/>
                <w:sz w:val="24"/>
                <w:szCs w:val="24"/>
                <w:u w:val="single"/>
              </w:rPr>
              <w:t xml:space="preserve"> </w:t>
            </w:r>
            <w:r>
              <w:rPr>
                <w:rFonts w:ascii="Times New Roman" w:hAnsi="Times New Roman" w:eastAsia="宋体" w:cs="Times New Roman"/>
                <w:color w:val="auto"/>
                <w:sz w:val="24"/>
                <w:szCs w:val="24"/>
              </w:rPr>
              <w:t>市</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u w:val="single"/>
              </w:rPr>
              <w:t>大宁</w:t>
            </w:r>
            <w:r>
              <w:rPr>
                <w:rFonts w:ascii="Times New Roman" w:hAnsi="Times New Roman" w:eastAsia="宋体" w:cs="Times New Roman"/>
                <w:color w:val="auto"/>
                <w:sz w:val="24"/>
                <w:szCs w:val="24"/>
                <w:u w:val="single"/>
              </w:rPr>
              <w:t xml:space="preserve"> </w:t>
            </w:r>
            <w:r>
              <w:rPr>
                <w:rFonts w:ascii="Times New Roman" w:hAnsi="Times New Roman" w:eastAsia="宋体" w:cs="Times New Roman"/>
                <w:color w:val="auto"/>
                <w:sz w:val="24"/>
                <w:szCs w:val="24"/>
              </w:rPr>
              <w:t>县</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u w:val="single"/>
                <w:lang w:val="en-US" w:eastAsia="zh-CN"/>
              </w:rPr>
              <w:t>曲娥</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rPr>
              <w:t>镇</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u w:val="single"/>
                <w:lang w:val="en-US" w:eastAsia="zh-CN"/>
              </w:rPr>
              <w:t>曲风村东南8</w:t>
            </w:r>
            <w:r>
              <w:rPr>
                <w:rFonts w:ascii="Times New Roman" w:hAnsi="Times New Roman" w:eastAsia="宋体" w:cs="Times New Roman"/>
                <w:color w:val="auto"/>
                <w:sz w:val="24"/>
                <w:szCs w:val="24"/>
                <w:u w:val="single"/>
              </w:rPr>
              <w:t>0m</w:t>
            </w:r>
            <w:r>
              <w:rPr>
                <w:rFonts w:hint="eastAsia" w:ascii="Times New Roman" w:hAnsi="Times New Roman" w:eastAsia="宋体" w:cs="Times New Roman"/>
                <w:color w:val="auto"/>
                <w:sz w:val="24"/>
                <w:szCs w:val="24"/>
                <w:u w:val="single"/>
                <w:lang w:val="en-US" w:eastAsia="zh-CN"/>
              </w:rPr>
              <w:t>处</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rPr>
              <w:t>（附图1）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地理坐标</w:t>
            </w:r>
          </w:p>
        </w:tc>
        <w:tc>
          <w:tcPr>
            <w:tcW w:w="7301" w:type="dxa"/>
            <w:gridSpan w:val="3"/>
            <w:vAlign w:val="center"/>
          </w:tcPr>
          <w:p>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w:t>
            </w:r>
            <w:r>
              <w:rPr>
                <w:rFonts w:ascii="Times New Roman" w:hAnsi="Times New Roman" w:eastAsia="宋体" w:cs="Times New Roman"/>
                <w:color w:val="auto"/>
                <w:sz w:val="24"/>
                <w:szCs w:val="24"/>
                <w:u w:val="single"/>
              </w:rPr>
              <w:t>11</w:t>
            </w:r>
            <w:r>
              <w:rPr>
                <w:rFonts w:hint="eastAsia" w:ascii="Times New Roman" w:hAnsi="Times New Roman" w:eastAsia="宋体" w:cs="Times New Roman"/>
                <w:color w:val="auto"/>
                <w:sz w:val="24"/>
                <w:szCs w:val="24"/>
                <w:u w:val="single"/>
                <w:lang w:val="en-US" w:eastAsia="zh-CN"/>
              </w:rPr>
              <w:t>0</w:t>
            </w:r>
            <w:r>
              <w:rPr>
                <w:rFonts w:ascii="Times New Roman" w:hAnsi="Times New Roman" w:eastAsia="宋体" w:cs="Times New Roman"/>
                <w:color w:val="auto"/>
                <w:sz w:val="24"/>
                <w:szCs w:val="24"/>
              </w:rPr>
              <w:t>度</w:t>
            </w:r>
            <w:r>
              <w:rPr>
                <w:rFonts w:hint="eastAsia" w:ascii="Times New Roman" w:hAnsi="Times New Roman" w:eastAsia="宋体" w:cs="Times New Roman"/>
                <w:color w:val="auto"/>
                <w:sz w:val="24"/>
                <w:szCs w:val="24"/>
                <w:u w:val="single"/>
                <w:lang w:val="en-US" w:eastAsia="zh-CN"/>
              </w:rPr>
              <w:t>37</w:t>
            </w:r>
            <w:r>
              <w:rPr>
                <w:rFonts w:ascii="Times New Roman" w:hAnsi="Times New Roman" w:eastAsia="宋体" w:cs="Times New Roman"/>
                <w:color w:val="auto"/>
                <w:sz w:val="24"/>
                <w:szCs w:val="24"/>
              </w:rPr>
              <w:t>分</w:t>
            </w:r>
            <w:r>
              <w:rPr>
                <w:rFonts w:hint="eastAsia" w:ascii="Times New Roman" w:hAnsi="Times New Roman" w:eastAsia="宋体" w:cs="Times New Roman"/>
                <w:color w:val="auto"/>
                <w:sz w:val="24"/>
                <w:szCs w:val="24"/>
                <w:u w:val="single"/>
                <w:lang w:val="en-US" w:eastAsia="zh-CN"/>
              </w:rPr>
              <w:t>35.746</w:t>
            </w:r>
            <w:r>
              <w:rPr>
                <w:rFonts w:ascii="Times New Roman" w:hAnsi="Times New Roman" w:eastAsia="宋体" w:cs="Times New Roman"/>
                <w:color w:val="auto"/>
                <w:sz w:val="24"/>
                <w:szCs w:val="24"/>
              </w:rPr>
              <w:t>秒，</w:t>
            </w:r>
            <w:r>
              <w:rPr>
                <w:rFonts w:ascii="Times New Roman" w:hAnsi="Times New Roman" w:eastAsia="宋体" w:cs="Times New Roman"/>
                <w:color w:val="auto"/>
                <w:sz w:val="24"/>
                <w:szCs w:val="24"/>
                <w:u w:val="single"/>
              </w:rPr>
              <w:t>3</w:t>
            </w:r>
            <w:r>
              <w:rPr>
                <w:rFonts w:hint="eastAsia" w:ascii="Times New Roman" w:hAnsi="Times New Roman" w:eastAsia="宋体" w:cs="Times New Roman"/>
                <w:color w:val="auto"/>
                <w:sz w:val="24"/>
                <w:szCs w:val="24"/>
                <w:u w:val="single"/>
              </w:rPr>
              <w:t>6</w:t>
            </w:r>
            <w:r>
              <w:rPr>
                <w:rFonts w:ascii="Times New Roman" w:hAnsi="Times New Roman" w:eastAsia="宋体" w:cs="Times New Roman"/>
                <w:color w:val="auto"/>
                <w:sz w:val="24"/>
                <w:szCs w:val="24"/>
              </w:rPr>
              <w:t>度</w:t>
            </w:r>
            <w:r>
              <w:rPr>
                <w:rFonts w:hint="eastAsia" w:ascii="Times New Roman" w:hAnsi="Times New Roman" w:eastAsia="宋体" w:cs="Times New Roman"/>
                <w:color w:val="auto"/>
                <w:sz w:val="24"/>
                <w:szCs w:val="24"/>
                <w:u w:val="single"/>
                <w:lang w:val="en-US" w:eastAsia="zh-CN"/>
              </w:rPr>
              <w:t>26</w:t>
            </w:r>
            <w:r>
              <w:rPr>
                <w:rFonts w:ascii="Times New Roman" w:hAnsi="Times New Roman" w:eastAsia="宋体" w:cs="Times New Roman"/>
                <w:color w:val="auto"/>
                <w:sz w:val="24"/>
                <w:szCs w:val="24"/>
              </w:rPr>
              <w:t>分</w:t>
            </w:r>
            <w:r>
              <w:rPr>
                <w:rFonts w:hint="eastAsia" w:ascii="Times New Roman" w:hAnsi="Times New Roman" w:eastAsia="宋体" w:cs="Times New Roman"/>
                <w:color w:val="auto"/>
                <w:sz w:val="24"/>
                <w:szCs w:val="24"/>
                <w:u w:val="single"/>
                <w:lang w:val="en-US" w:eastAsia="zh-CN"/>
              </w:rPr>
              <w:t>41.433</w:t>
            </w:r>
            <w:r>
              <w:rPr>
                <w:rFonts w:ascii="Times New Roman" w:hAnsi="Times New Roman" w:eastAsia="宋体" w:cs="Times New Roman"/>
                <w:color w:val="auto"/>
                <w:sz w:val="24"/>
                <w:szCs w:val="24"/>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国民经济</w:t>
            </w:r>
          </w:p>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行业类别</w:t>
            </w:r>
          </w:p>
        </w:tc>
        <w:tc>
          <w:tcPr>
            <w:tcW w:w="2450" w:type="dxa"/>
            <w:vAlign w:val="center"/>
          </w:tcPr>
          <w:p>
            <w:pPr>
              <w:adjustRightInd w:val="0"/>
              <w:snapToGrid w:val="0"/>
              <w:jc w:val="left"/>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C3033防水建筑材料制造</w:t>
            </w:r>
          </w:p>
        </w:tc>
        <w:tc>
          <w:tcPr>
            <w:tcW w:w="2104" w:type="dxa"/>
            <w:vAlign w:val="center"/>
          </w:tcPr>
          <w:p>
            <w:pPr>
              <w:adjustRightInd w:val="0"/>
              <w:snapToGrid w:val="0"/>
              <w:jc w:val="center"/>
              <w:rPr>
                <w:rFonts w:ascii="Times New Roman" w:hAnsi="Times New Roman" w:eastAsia="宋体" w:cs="Times New Roman"/>
                <w:color w:val="auto"/>
                <w:sz w:val="24"/>
                <w:szCs w:val="24"/>
              </w:rPr>
            </w:pPr>
            <w:bookmarkStart w:id="1" w:name="_Hlk49843745"/>
            <w:r>
              <w:rPr>
                <w:rFonts w:ascii="Times New Roman" w:hAnsi="Times New Roman" w:eastAsia="宋体" w:cs="Times New Roman"/>
                <w:color w:val="auto"/>
                <w:sz w:val="24"/>
                <w:szCs w:val="24"/>
              </w:rPr>
              <w:t>建设项目</w:t>
            </w:r>
          </w:p>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行业类别</w:t>
            </w:r>
            <w:bookmarkEnd w:id="1"/>
          </w:p>
        </w:tc>
        <w:tc>
          <w:tcPr>
            <w:tcW w:w="2747" w:type="dxa"/>
            <w:vAlign w:val="center"/>
          </w:tcPr>
          <w:p>
            <w:pPr>
              <w:adjustRightInd w:val="0"/>
              <w:snapToGrid w:val="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二十七、非金属矿物制品业30</w:t>
            </w:r>
          </w:p>
          <w:p>
            <w:pPr>
              <w:adjustRightInd w:val="0"/>
              <w:snapToGrid w:val="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56砖瓦、石材等建筑材料制造303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建设性质</w:t>
            </w:r>
          </w:p>
        </w:tc>
        <w:tc>
          <w:tcPr>
            <w:tcW w:w="2450" w:type="dxa"/>
            <w:vAlign w:val="center"/>
          </w:tcPr>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eastAsia" w:asci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新建（迁建）</w:t>
            </w:r>
          </w:p>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w:char="00A8"/>
            </w:r>
            <w:r>
              <w:rPr>
                <w:rFonts w:hint="default" w:ascii="Times New Roman" w:hAnsi="Times New Roman" w:cs="Times New Roman"/>
                <w:color w:val="auto"/>
                <w:sz w:val="24"/>
                <w:szCs w:val="24"/>
                <w:highlight w:val="none"/>
              </w:rPr>
              <w:t>改建</w:t>
            </w:r>
          </w:p>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扩建</w:t>
            </w:r>
          </w:p>
          <w:p>
            <w:pPr>
              <w:jc w:val="left"/>
              <w:rPr>
                <w:rFonts w:ascii="Times New Roman" w:hAnsi="Times New Roman" w:eastAsia="宋体" w:cs="Times New Roman"/>
                <w:color w:val="auto"/>
                <w:sz w:val="24"/>
                <w:szCs w:val="24"/>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技术改造</w:t>
            </w:r>
          </w:p>
        </w:tc>
        <w:tc>
          <w:tcPr>
            <w:tcW w:w="2104" w:type="dxa"/>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建设项目</w:t>
            </w:r>
          </w:p>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申报情形</w:t>
            </w:r>
          </w:p>
        </w:tc>
        <w:tc>
          <w:tcPr>
            <w:tcW w:w="2747" w:type="dxa"/>
            <w:vAlign w:val="center"/>
          </w:tcPr>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w:char="00FE"/>
            </w:r>
            <w:r>
              <w:rPr>
                <w:rFonts w:hint="default" w:ascii="Times New Roman" w:hAnsi="Times New Roman" w:cs="Times New Roman"/>
                <w:color w:val="auto"/>
                <w:sz w:val="24"/>
                <w:szCs w:val="24"/>
                <w:highlight w:val="none"/>
              </w:rPr>
              <w:t xml:space="preserve">首次申报项目             </w:t>
            </w:r>
          </w:p>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pPr>
              <w:keepNext w:val="0"/>
              <w:keepLines w:val="0"/>
              <w:pageBreakBefore w:val="0"/>
              <w:widowControl w:val="0"/>
              <w:kinsoku/>
              <w:wordWrap/>
              <w:overflowPunct/>
              <w:topLinePunct w:val="0"/>
              <w:bidi w:val="0"/>
              <w:spacing w:line="360" w:lineRule="exact"/>
              <w:ind w:left="0" w:leftChars="0" w:right="0" w:rightChars="0" w:firstLine="0" w:firstLineChars="0"/>
              <w:jc w:val="left"/>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超五年重新审核项目     </w:t>
            </w:r>
          </w:p>
          <w:p>
            <w:pPr>
              <w:jc w:val="left"/>
              <w:rPr>
                <w:rFonts w:ascii="Times New Roman" w:hAnsi="Times New Roman" w:eastAsia="宋体" w:cs="Times New Roman"/>
                <w:color w:val="auto"/>
                <w:sz w:val="24"/>
                <w:szCs w:val="24"/>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5"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项目审批（核准/备案）部门（选填）</w:t>
            </w:r>
          </w:p>
        </w:tc>
        <w:tc>
          <w:tcPr>
            <w:tcW w:w="2450" w:type="dxa"/>
            <w:vAlign w:val="center"/>
          </w:tcPr>
          <w:p>
            <w:pPr>
              <w:adjustRightInd w:val="0"/>
              <w:snapToGrid w:val="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大宁县行政审批服务管理局</w:t>
            </w:r>
          </w:p>
        </w:tc>
        <w:tc>
          <w:tcPr>
            <w:tcW w:w="2104" w:type="dxa"/>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项目审批（核准/</w:t>
            </w:r>
          </w:p>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备案）文号（选填）</w:t>
            </w:r>
          </w:p>
        </w:tc>
        <w:tc>
          <w:tcPr>
            <w:tcW w:w="2747" w:type="dxa"/>
            <w:vAlign w:val="center"/>
          </w:tcPr>
          <w:p>
            <w:pPr>
              <w:adjustRightInd w:val="0"/>
              <w:snapToGrid w:val="0"/>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2208-141030-89-05-825048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总投资（万元）</w:t>
            </w:r>
          </w:p>
        </w:tc>
        <w:tc>
          <w:tcPr>
            <w:tcW w:w="2450"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9000</w:t>
            </w:r>
          </w:p>
        </w:tc>
        <w:tc>
          <w:tcPr>
            <w:tcW w:w="2104" w:type="dxa"/>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环保投资（万元）</w:t>
            </w:r>
          </w:p>
        </w:tc>
        <w:tc>
          <w:tcPr>
            <w:tcW w:w="2747"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环保投资占比（%）</w:t>
            </w:r>
          </w:p>
        </w:tc>
        <w:tc>
          <w:tcPr>
            <w:tcW w:w="2450"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1.22</w:t>
            </w:r>
          </w:p>
        </w:tc>
        <w:tc>
          <w:tcPr>
            <w:tcW w:w="2104" w:type="dxa"/>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施工工期</w:t>
            </w:r>
          </w:p>
        </w:tc>
        <w:tc>
          <w:tcPr>
            <w:tcW w:w="2747" w:type="dxa"/>
            <w:vAlign w:val="center"/>
          </w:tcPr>
          <w:p>
            <w:pPr>
              <w:adjustRightInd w:val="0"/>
              <w:snapToGrid w:val="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569" w:type="dxa"/>
            <w:gridSpan w:val="2"/>
            <w:tcMar>
              <w:top w:w="16" w:type="dxa"/>
              <w:left w:w="16" w:type="dxa"/>
              <w:right w:w="16" w:type="dxa"/>
            </w:tcMar>
            <w:vAlign w:val="center"/>
          </w:tcPr>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是否开工建设</w:t>
            </w:r>
          </w:p>
        </w:tc>
        <w:tc>
          <w:tcPr>
            <w:tcW w:w="2450" w:type="dxa"/>
            <w:vAlign w:val="center"/>
          </w:tcPr>
          <w:p>
            <w:pPr>
              <w:keepNext w:val="0"/>
              <w:keepLines w:val="0"/>
              <w:pageBreakBefore w:val="0"/>
              <w:widowControl w:val="0"/>
              <w:kinsoku/>
              <w:wordWrap/>
              <w:overflowPunct/>
              <w:topLinePunct w:val="0"/>
              <w:bidi w:val="0"/>
              <w:adjustRightInd w:val="0"/>
              <w:snapToGrid w:val="0"/>
              <w:spacing w:line="360" w:lineRule="exact"/>
              <w:ind w:left="0" w:leftChars="0" w:right="0" w:rightChars="0" w:firstLine="0" w:firstLineChars="0"/>
              <w:textAlignment w:val="auto"/>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sym w:font="Wingdings" w:char="00FE"/>
            </w:r>
            <w:r>
              <w:rPr>
                <w:rFonts w:hint="default" w:ascii="Times New Roman" w:hAnsi="Times New Roman" w:cs="Times New Roman"/>
                <w:color w:val="auto"/>
                <w:sz w:val="24"/>
                <w:szCs w:val="24"/>
                <w:highlight w:val="none"/>
              </w:rPr>
              <w:t>否</w:t>
            </w:r>
          </w:p>
          <w:p>
            <w:pPr>
              <w:adjustRightInd w:val="0"/>
              <w:snapToGrid w:val="0"/>
              <w:rPr>
                <w:rFonts w:ascii="Times New Roman" w:hAnsi="Times New Roman" w:eastAsia="宋体" w:cs="Times New Roman"/>
                <w:color w:val="auto"/>
                <w:sz w:val="24"/>
                <w:szCs w:val="24"/>
              </w:rPr>
            </w:pPr>
            <w:r>
              <w:rPr>
                <w:rFonts w:hint="default" w:ascii="Times New Roman" w:hAnsi="Times New Roman" w:cs="Times New Roman"/>
                <w:color w:val="auto"/>
                <w:sz w:val="24"/>
                <w:szCs w:val="24"/>
                <w:highlight w:val="none"/>
              </w:rPr>
              <w:t>□是</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u w:val="single"/>
              </w:rPr>
              <w:t xml:space="preserve"> </w:t>
            </w:r>
            <w:r>
              <w:rPr>
                <w:rFonts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u w:val="single"/>
                <w:lang w:val="en-US" w:eastAsia="zh-CN"/>
              </w:rPr>
              <w:t xml:space="preserve">        </w:t>
            </w:r>
            <w:r>
              <w:rPr>
                <w:rFonts w:ascii="Times New Roman" w:hAnsi="Times New Roman" w:eastAsia="宋体" w:cs="Times New Roman"/>
                <w:color w:val="auto"/>
                <w:sz w:val="24"/>
                <w:szCs w:val="24"/>
                <w:u w:val="single"/>
              </w:rPr>
              <w:t xml:space="preserve">  </w:t>
            </w:r>
          </w:p>
        </w:tc>
        <w:tc>
          <w:tcPr>
            <w:tcW w:w="2104" w:type="dxa"/>
            <w:tcMar>
              <w:top w:w="16" w:type="dxa"/>
              <w:left w:w="16" w:type="dxa"/>
              <w:right w:w="16" w:type="dxa"/>
            </w:tcMar>
            <w:vAlign w:val="center"/>
          </w:tcPr>
          <w:p>
            <w:pPr>
              <w:adjustRightInd w:val="0"/>
              <w:snapToGrid w:val="0"/>
              <w:jc w:val="center"/>
              <w:rPr>
                <w:rFonts w:ascii="Times New Roman" w:hAnsi="Times New Roman" w:eastAsia="宋体" w:cs="Times New Roman"/>
                <w:color w:val="auto"/>
                <w:spacing w:val="-6"/>
                <w:sz w:val="24"/>
                <w:szCs w:val="24"/>
              </w:rPr>
            </w:pPr>
            <w:r>
              <w:rPr>
                <w:rFonts w:ascii="Times New Roman" w:hAnsi="Times New Roman" w:eastAsia="宋体" w:cs="Times New Roman"/>
                <w:color w:val="auto"/>
                <w:spacing w:val="-6"/>
                <w:sz w:val="24"/>
                <w:szCs w:val="24"/>
              </w:rPr>
              <w:t>用地（用海）</w:t>
            </w:r>
          </w:p>
          <w:p>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pacing w:val="-6"/>
                <w:sz w:val="24"/>
                <w:szCs w:val="24"/>
              </w:rPr>
              <w:t>面积（m</w:t>
            </w:r>
            <w:r>
              <w:rPr>
                <w:rFonts w:ascii="Times New Roman" w:hAnsi="Times New Roman" w:eastAsia="宋体" w:cs="Times New Roman"/>
                <w:color w:val="auto"/>
                <w:spacing w:val="-6"/>
                <w:sz w:val="24"/>
                <w:szCs w:val="24"/>
                <w:vertAlign w:val="superscript"/>
              </w:rPr>
              <w:t>2</w:t>
            </w:r>
            <w:r>
              <w:rPr>
                <w:rFonts w:ascii="Times New Roman" w:hAnsi="Times New Roman" w:eastAsia="宋体" w:cs="Times New Roman"/>
                <w:color w:val="auto"/>
                <w:spacing w:val="-6"/>
                <w:sz w:val="24"/>
                <w:szCs w:val="24"/>
              </w:rPr>
              <w:t>）</w:t>
            </w:r>
          </w:p>
        </w:tc>
        <w:tc>
          <w:tcPr>
            <w:tcW w:w="2747" w:type="dxa"/>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10000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9" w:hRule="atLeast"/>
          <w:jc w:val="center"/>
        </w:trPr>
        <w:tc>
          <w:tcPr>
            <w:tcW w:w="1569" w:type="dxa"/>
            <w:gridSpan w:val="2"/>
            <w:vAlign w:val="center"/>
          </w:tcPr>
          <w:p>
            <w:pPr>
              <w:adjustRightInd w:val="0"/>
              <w:snapToGrid w:val="0"/>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专项评价设置情况</w:t>
            </w:r>
          </w:p>
        </w:tc>
        <w:tc>
          <w:tcPr>
            <w:tcW w:w="7301"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由于本项目排放废气中含有苯并【a】芘，且厂界外500m范围内有环境空气保护目标</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项目距离</w:t>
            </w:r>
            <w:r>
              <w:rPr>
                <w:rFonts w:hint="eastAsia" w:ascii="Times New Roman" w:hAnsi="Times New Roman" w:eastAsia="宋体" w:cs="Times New Roman"/>
                <w:color w:val="auto"/>
                <w:kern w:val="0"/>
                <w:sz w:val="24"/>
                <w:szCs w:val="24"/>
                <w:lang w:eastAsia="zh-CN"/>
              </w:rPr>
              <w:t>曲风村80m）</w:t>
            </w:r>
            <w:r>
              <w:rPr>
                <w:rFonts w:hint="eastAsia" w:ascii="Times New Roman" w:hAnsi="Times New Roman" w:eastAsia="宋体" w:cs="Times New Roman"/>
                <w:color w:val="auto"/>
                <w:kern w:val="0"/>
                <w:sz w:val="24"/>
                <w:szCs w:val="24"/>
              </w:rPr>
              <w:t>，故编制了大气</w:t>
            </w:r>
            <w:r>
              <w:rPr>
                <w:rFonts w:hint="eastAsia" w:ascii="Times New Roman" w:hAnsi="Times New Roman" w:eastAsia="宋体" w:cs="Times New Roman"/>
                <w:color w:val="auto"/>
                <w:kern w:val="0"/>
                <w:sz w:val="24"/>
                <w:szCs w:val="24"/>
                <w:lang w:val="en-US" w:eastAsia="zh-CN"/>
              </w:rPr>
              <w:t>环境</w:t>
            </w:r>
            <w:r>
              <w:rPr>
                <w:rFonts w:hint="eastAsia" w:ascii="Times New Roman" w:hAnsi="Times New Roman" w:eastAsia="宋体" w:cs="Times New Roman"/>
                <w:color w:val="auto"/>
                <w:kern w:val="0"/>
                <w:sz w:val="24"/>
                <w:szCs w:val="24"/>
              </w:rPr>
              <w:t>专项评价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1569" w:type="dxa"/>
            <w:gridSpan w:val="2"/>
            <w:vAlign w:val="center"/>
          </w:tcPr>
          <w:p>
            <w:pPr>
              <w:autoSpaceDE w:val="0"/>
              <w:autoSpaceDN w:val="0"/>
              <w:adjustRightInd w:val="0"/>
              <w:snapToGrid w:val="0"/>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规划情况</w:t>
            </w:r>
          </w:p>
        </w:tc>
        <w:tc>
          <w:tcPr>
            <w:tcW w:w="7301" w:type="dxa"/>
            <w:gridSpan w:val="3"/>
            <w:vAlign w:val="center"/>
          </w:tcPr>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规划名称：《大宁产业集聚区产业发展规划》</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审批机关：大宁县人民政府</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审批文件名称及文号：大政发〔2021〕4号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569" w:type="dxa"/>
            <w:gridSpan w:val="2"/>
            <w:vAlign w:val="center"/>
          </w:tcPr>
          <w:p>
            <w:pPr>
              <w:adjustRightInd w:val="0"/>
              <w:snapToGrid w:val="0"/>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规划环境影响评价情况</w:t>
            </w:r>
          </w:p>
        </w:tc>
        <w:tc>
          <w:tcPr>
            <w:tcW w:w="7301" w:type="dxa"/>
            <w:gridSpan w:val="3"/>
            <w:vAlign w:val="center"/>
          </w:tcPr>
          <w:p>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045" w:type="dxa"/>
            <w:vAlign w:val="center"/>
          </w:tcPr>
          <w:p>
            <w:pPr>
              <w:autoSpaceDE w:val="0"/>
              <w:autoSpaceDN w:val="0"/>
              <w:adjustRightInd w:val="0"/>
              <w:snapToGrid w:val="0"/>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规划及规划环境影响评价符合性分析</w:t>
            </w:r>
          </w:p>
        </w:tc>
        <w:tc>
          <w:tcPr>
            <w:tcW w:w="7825" w:type="dxa"/>
            <w:gridSpan w:val="4"/>
            <w:vAlign w:val="center"/>
          </w:tcPr>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1、与《大宁产业集聚区产业发展规划（2020-2030年）》的符合性分析</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240" w:firstLineChars="1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⑴</w:t>
            </w:r>
            <w:r>
              <w:rPr>
                <w:rFonts w:hint="eastAsia" w:ascii="Times New Roman" w:hAnsi="Times New Roman" w:eastAsia="宋体" w:cs="Times New Roman"/>
                <w:color w:val="auto"/>
                <w:kern w:val="0"/>
                <w:sz w:val="24"/>
                <w:szCs w:val="24"/>
              </w:rPr>
              <w:t>规划范围</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大宁产业集聚区的产业发展规划中所包含的产业范围特指集聚区内的主导产业及与集聚区内产业高度关联的其他产业，不涵盖全县域范围内的所有产业。</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产业集聚区内统一布局，集中管理，以“一区四园”的方式进行布局。</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“一区四园”是根据大宁县目前的产业发展状况和产业特点进行划分的，分别为花卉产业园、有机循环产业示范园、煤层气化工产业园及科创产业园。</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rPr>
              <w:t>大宁产业集聚区规划总面积约26.28平方公里，分布于东川、南川、西川及北垣。其中花卉产业园分布于西川和东川，以西川为主，规划总面积约6.02平方公里；有机循环产业示范园分布于北垣和南川，以北垣为主，规划总面积约16.17平方公里；煤层气化工产业园分布于西川，规划总面积约1.99平方公里；科创产业园分布于东川，规划总面积约2.1平方公里</w:t>
            </w:r>
            <w:r>
              <w:rPr>
                <w:rFonts w:hint="eastAsia" w:ascii="Times New Roman" w:hAnsi="Times New Roman" w:eastAsia="宋体" w:cs="Times New Roman"/>
                <w:color w:val="auto"/>
                <w:kern w:val="0"/>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rPr>
              <w:t>本项目位于大宁产业集聚区的煤层气化工产业园区内（附图</w:t>
            </w:r>
            <w:r>
              <w:rPr>
                <w:rFonts w:hint="eastAsia" w:ascii="Times New Roman" w:hAnsi="Times New Roman" w:eastAsia="宋体" w:cs="Times New Roman"/>
                <w:color w:val="auto"/>
                <w:kern w:val="0"/>
                <w:sz w:val="24"/>
                <w:szCs w:val="24"/>
                <w:lang w:val="en-US" w:eastAsia="zh-CN"/>
              </w:rPr>
              <w:t>2</w:t>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⑵</w:t>
            </w:r>
            <w:r>
              <w:rPr>
                <w:rFonts w:hint="eastAsia" w:ascii="Times New Roman" w:hAnsi="Times New Roman" w:eastAsia="宋体" w:cs="Times New Roman"/>
                <w:color w:val="auto"/>
                <w:kern w:val="0"/>
                <w:sz w:val="24"/>
                <w:szCs w:val="24"/>
              </w:rPr>
              <w:t>煤层气化工产业发展规划</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以煤层气为能源或原材料，借助国家环保政策持续推行的政策机遇，积极承接“能源利用大户”类企业及以煤层气为原材料的化工类企业。在传统“煤炭动力”向“清洁能源动力”转化的过程中，部分企业由于成本急剧上升，经营生产受到极大影响；也有部分地区，由于缺少清洁能源资源，而无法满足企业生产需要；这些原因都致使好多企业主动或被动寻求新的园区进行发展，对于大宁来说是难得的机遇。因此，大宁县积极寻求这类型项目使规划期内的最重要招商任务之一。</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rPr>
              <w:t>本项目</w:t>
            </w:r>
            <w:r>
              <w:rPr>
                <w:rFonts w:hint="eastAsia" w:ascii="Times New Roman" w:hAnsi="Times New Roman" w:eastAsia="宋体" w:cs="Times New Roman"/>
                <w:color w:val="auto"/>
                <w:kern w:val="0"/>
                <w:sz w:val="24"/>
                <w:szCs w:val="24"/>
                <w:lang w:val="en-US" w:eastAsia="zh-CN"/>
              </w:rPr>
              <w:t>以煤层气为主要能源生产SBS防水卷材，</w:t>
            </w:r>
            <w:r>
              <w:rPr>
                <w:rFonts w:hint="eastAsia" w:ascii="Times New Roman" w:hAnsi="Times New Roman" w:eastAsia="宋体" w:cs="Times New Roman"/>
                <w:color w:val="auto"/>
                <w:kern w:val="0"/>
                <w:sz w:val="24"/>
                <w:szCs w:val="24"/>
              </w:rPr>
              <w:t>不违背该产业园区的规划与布局</w:t>
            </w:r>
            <w:r>
              <w:rPr>
                <w:rFonts w:hint="eastAsia" w:ascii="Times New Roman" w:hAnsi="Times New Roman" w:eastAsia="宋体" w:cs="Times New Roman"/>
                <w:color w:val="auto"/>
                <w:kern w:val="0"/>
                <w:sz w:val="24"/>
                <w:szCs w:val="24"/>
                <w:lang w:eastAsia="zh-CN"/>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hint="eastAsia" w:ascii="Times New Roman" w:hAnsi="Times New Roman" w:eastAsia="宋体" w:cs="Times New Roman"/>
                <w:color w:val="auto"/>
                <w:kern w:val="0"/>
                <w:sz w:val="24"/>
                <w:szCs w:val="24"/>
              </w:rPr>
            </w:pP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jc w:val="both"/>
              <w:textAlignment w:val="auto"/>
              <w:rPr>
                <w:rFonts w:ascii="Times New Roman" w:hAnsi="Times New Roman" w:eastAsia="宋体" w:cs="Times New Roman"/>
                <w:color w:val="auto"/>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14" w:hRule="atLeast"/>
          <w:jc w:val="center"/>
        </w:trPr>
        <w:tc>
          <w:tcPr>
            <w:tcW w:w="104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 w:val="24"/>
                <w:szCs w:val="24"/>
              </w:rPr>
              <w:t>其他符合性分析</w:t>
            </w:r>
          </w:p>
        </w:tc>
        <w:tc>
          <w:tcPr>
            <w:tcW w:w="7825" w:type="dxa"/>
            <w:gridSpan w:val="4"/>
            <w:vAlign w:val="center"/>
          </w:tcPr>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、与《</w:t>
            </w:r>
            <w:r>
              <w:rPr>
                <w:rFonts w:hint="eastAsia" w:ascii="Times New Roman" w:hAnsi="Times New Roman" w:eastAsia="宋体" w:cs="Times New Roman"/>
                <w:color w:val="auto"/>
                <w:kern w:val="0"/>
                <w:sz w:val="24"/>
                <w:szCs w:val="24"/>
              </w:rPr>
              <w:t>大宁</w:t>
            </w:r>
            <w:r>
              <w:rPr>
                <w:rFonts w:ascii="Times New Roman" w:hAnsi="Times New Roman" w:eastAsia="宋体" w:cs="Times New Roman"/>
                <w:color w:val="auto"/>
                <w:kern w:val="0"/>
                <w:sz w:val="24"/>
                <w:szCs w:val="24"/>
              </w:rPr>
              <w:t>县县城总体规划》的符合性分析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根据《大宁县县城总体规划》（2011-2030），规划区具体范围为：东至隰县交界，南至与三多乡交界，西至曲峨镇交界，北至太德乡交界和昕水镇下南村以南，以及城市水源地等其它需要进行保护、控制的用地。重点控制昕水河、义亭河两岸河谷地及水源地。规划区总面积约90平方公里。</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规划结构：城区的规划形成“轴向发展、环带联结、一区三组团”的布局结构。</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城市发展主轴以城市主干路东、西大街、城东路（</w:t>
            </w:r>
            <w:r>
              <w:rPr>
                <w:rFonts w:ascii="Times New Roman" w:hAnsi="Times New Roman" w:eastAsia="宋体" w:cs="Times New Roman"/>
                <w:color w:val="auto"/>
                <w:kern w:val="0"/>
                <w:sz w:val="24"/>
                <w:szCs w:val="24"/>
              </w:rPr>
              <w:t>248省道、209国道）</w:t>
            </w:r>
            <w:r>
              <w:rPr>
                <w:rFonts w:hint="eastAsia" w:ascii="Times New Roman" w:hAnsi="Times New Roman" w:eastAsia="宋体" w:cs="Times New Roman"/>
                <w:color w:val="auto"/>
                <w:kern w:val="0"/>
                <w:sz w:val="24"/>
                <w:szCs w:val="24"/>
              </w:rPr>
              <w:t>为依托，沿昕水河形成城市的主要空间发展轴；城市发展次轴以城南路（</w:t>
            </w:r>
            <w:r>
              <w:rPr>
                <w:rFonts w:ascii="Times New Roman" w:hAnsi="Times New Roman" w:eastAsia="宋体" w:cs="Times New Roman"/>
                <w:color w:val="auto"/>
                <w:kern w:val="0"/>
                <w:sz w:val="24"/>
                <w:szCs w:val="24"/>
              </w:rPr>
              <w:t>209国道城南段）为依托，沿义亭河形成城市的</w:t>
            </w:r>
            <w:r>
              <w:rPr>
                <w:rFonts w:hint="eastAsia" w:ascii="Times New Roman" w:hAnsi="Times New Roman" w:eastAsia="宋体" w:cs="Times New Roman"/>
                <w:color w:val="auto"/>
                <w:kern w:val="0"/>
                <w:sz w:val="24"/>
                <w:szCs w:val="24"/>
              </w:rPr>
              <w:t>次要空间发展轴。充分体现山水城市特色；依托昕水河、义亭河形成两条滨河绿带。一区以旧城为主的主城区；三组团为城东组团、城西组团、城南组团。</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功能定位：</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主城区作为城市的主体，以行政办公、商业金融、文化教育、医疗卫生、休闲旅游、居住为主要功能；城东组团以绿色农副产品加工、商贸、医疗、文体、居住为主要功能的综合组团；城西组团以行政办公、商业服务、文体教育、居住为主要功能的综合组团；城南组团以教育、居住为主要功能组团。</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本项目位于大宁县曲娥镇</w:t>
            </w:r>
            <w:r>
              <w:rPr>
                <w:rFonts w:hint="eastAsia" w:ascii="Times New Roman" w:hAnsi="Times New Roman" w:eastAsia="宋体" w:cs="Times New Roman"/>
                <w:color w:val="auto"/>
                <w:kern w:val="0"/>
                <w:sz w:val="24"/>
                <w:szCs w:val="24"/>
                <w:lang w:eastAsia="zh-CN"/>
              </w:rPr>
              <w:t>曲风村</w:t>
            </w:r>
            <w:r>
              <w:rPr>
                <w:rFonts w:hint="eastAsia" w:ascii="Times New Roman" w:hAnsi="Times New Roman" w:eastAsia="宋体" w:cs="Times New Roman"/>
                <w:color w:val="auto"/>
                <w:kern w:val="0"/>
                <w:sz w:val="24"/>
                <w:szCs w:val="24"/>
              </w:rPr>
              <w:t>东南80m</w:t>
            </w:r>
            <w:r>
              <w:rPr>
                <w:rFonts w:hint="eastAsia" w:ascii="Times New Roman" w:hAnsi="Times New Roman" w:eastAsia="宋体" w:cs="Times New Roman"/>
                <w:color w:val="auto"/>
                <w:kern w:val="0"/>
                <w:sz w:val="24"/>
                <w:szCs w:val="24"/>
                <w:lang w:val="en-US" w:eastAsia="zh-CN"/>
              </w:rPr>
              <w:t>处</w:t>
            </w:r>
            <w:r>
              <w:rPr>
                <w:rFonts w:hint="eastAsia" w:ascii="Times New Roman" w:hAnsi="Times New Roman" w:eastAsia="宋体" w:cs="Times New Roman"/>
                <w:color w:val="auto"/>
                <w:kern w:val="0"/>
                <w:sz w:val="24"/>
                <w:szCs w:val="24"/>
              </w:rPr>
              <w:t>，距离大宁县县城总体规划范围</w:t>
            </w:r>
            <w:r>
              <w:rPr>
                <w:rFonts w:hint="eastAsia" w:ascii="Times New Roman" w:hAnsi="Times New Roman" w:eastAsia="宋体" w:cs="Times New Roman"/>
                <w:color w:val="auto"/>
                <w:kern w:val="0"/>
                <w:sz w:val="24"/>
                <w:szCs w:val="24"/>
                <w:lang w:val="en-US" w:eastAsia="zh-CN"/>
              </w:rPr>
              <w:t>西</w:t>
            </w:r>
            <w:r>
              <w:rPr>
                <w:rFonts w:hint="eastAsia" w:ascii="Times New Roman" w:hAnsi="Times New Roman" w:eastAsia="宋体" w:cs="Times New Roman"/>
                <w:color w:val="auto"/>
                <w:kern w:val="0"/>
                <w:sz w:val="24"/>
                <w:szCs w:val="24"/>
              </w:rPr>
              <w:t>边界约</w:t>
            </w:r>
            <w:r>
              <w:rPr>
                <w:rFonts w:hint="eastAsia" w:ascii="Times New Roman" w:hAnsi="Times New Roman" w:eastAsia="宋体" w:cs="Times New Roman"/>
                <w:color w:val="auto"/>
                <w:kern w:val="0"/>
                <w:sz w:val="24"/>
                <w:szCs w:val="24"/>
                <w:lang w:val="en-US" w:eastAsia="zh-CN"/>
              </w:rPr>
              <w:t>6.5k</w:t>
            </w:r>
            <w:r>
              <w:rPr>
                <w:rFonts w:hint="eastAsia" w:ascii="Times New Roman" w:hAnsi="Times New Roman" w:eastAsia="宋体" w:cs="Times New Roman"/>
                <w:color w:val="auto"/>
                <w:kern w:val="0"/>
                <w:sz w:val="24"/>
                <w:szCs w:val="24"/>
              </w:rPr>
              <w:t>m，</w:t>
            </w:r>
            <w:r>
              <w:rPr>
                <w:rFonts w:hint="eastAsia" w:ascii="Times New Roman" w:hAnsi="Times New Roman" w:eastAsia="宋体" w:cs="Times New Roman"/>
                <w:color w:val="auto"/>
                <w:kern w:val="0"/>
                <w:sz w:val="24"/>
                <w:szCs w:val="24"/>
                <w:lang w:val="en-US" w:eastAsia="zh-CN"/>
              </w:rPr>
              <w:t>不在临汾市城市总体规划范围内，因此项目建设不违背大宁县县城发展规划和功能区划的要求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大宁县县城总体规划图见附图</w:t>
            </w:r>
            <w:r>
              <w:rPr>
                <w:rFonts w:hint="eastAsia" w:ascii="Times New Roman" w:hAnsi="Times New Roman" w:eastAsia="宋体" w:cs="Times New Roman"/>
                <w:color w:val="auto"/>
                <w:kern w:val="0"/>
                <w:sz w:val="24"/>
                <w:szCs w:val="24"/>
                <w:lang w:val="en-US" w:eastAsia="zh-CN"/>
              </w:rPr>
              <w:t>3</w:t>
            </w:r>
            <w:r>
              <w:rPr>
                <w:rFonts w:hint="eastAsia" w:ascii="Times New Roman" w:hAnsi="Times New Roman" w:eastAsia="宋体" w:cs="Times New Roman"/>
                <w:color w:val="auto"/>
                <w:kern w:val="0"/>
                <w:sz w:val="24"/>
                <w:szCs w:val="24"/>
              </w:rPr>
              <w:t>。</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2、“三线一单”符合性分析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宋体" w:hAnsi="宋体" w:eastAsia="宋体" w:cs="宋体"/>
                <w:color w:val="auto"/>
                <w:kern w:val="0"/>
                <w:sz w:val="24"/>
                <w:szCs w:val="24"/>
              </w:rPr>
              <w:t>⑴</w:t>
            </w:r>
            <w:r>
              <w:rPr>
                <w:rFonts w:ascii="Times New Roman" w:hAnsi="Times New Roman" w:eastAsia="宋体" w:cs="Times New Roman"/>
                <w:color w:val="auto"/>
                <w:kern w:val="0"/>
                <w:sz w:val="24"/>
                <w:szCs w:val="24"/>
              </w:rPr>
              <w:t>生态保护红线</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本项目</w:t>
            </w:r>
            <w:r>
              <w:rPr>
                <w:rFonts w:hint="eastAsia" w:ascii="Times New Roman" w:hAnsi="Times New Roman" w:eastAsia="宋体" w:cs="Times New Roman"/>
                <w:color w:val="auto"/>
                <w:kern w:val="0"/>
                <w:sz w:val="24"/>
                <w:szCs w:val="24"/>
              </w:rPr>
              <w:t>选址</w:t>
            </w:r>
            <w:r>
              <w:rPr>
                <w:rFonts w:ascii="Times New Roman" w:hAnsi="Times New Roman" w:eastAsia="宋体" w:cs="Times New Roman"/>
                <w:color w:val="auto"/>
                <w:kern w:val="0"/>
                <w:sz w:val="24"/>
                <w:szCs w:val="24"/>
              </w:rPr>
              <w:t>不涉及《生态保护红线划定指南》（环办生态[2017]48号）规定的需划入红线内的具有重要水源涵养、生物多样性维护、水土保持、防风固沙、海岸生态稳定等功能的生态功能重要区域以及水土流失、土地沙化、石漠化、盐渍化等生态环境脆弱区域内，符合生态保护红线的划定原则。</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宋体" w:hAnsi="宋体" w:eastAsia="宋体" w:cs="宋体"/>
                <w:color w:val="auto"/>
                <w:kern w:val="0"/>
                <w:sz w:val="24"/>
                <w:szCs w:val="24"/>
              </w:rPr>
              <w:t>⑵</w:t>
            </w:r>
            <w:r>
              <w:rPr>
                <w:rFonts w:ascii="Times New Roman" w:hAnsi="Times New Roman" w:eastAsia="宋体" w:cs="Times New Roman"/>
                <w:color w:val="auto"/>
                <w:kern w:val="0"/>
                <w:sz w:val="24"/>
                <w:szCs w:val="24"/>
              </w:rPr>
              <w:t>环境质量底线</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①</w:t>
            </w:r>
            <w:r>
              <w:rPr>
                <w:rFonts w:ascii="Times New Roman" w:hAnsi="Times New Roman" w:eastAsia="宋体" w:cs="Times New Roman"/>
                <w:color w:val="auto"/>
                <w:kern w:val="0"/>
                <w:sz w:val="24"/>
                <w:szCs w:val="24"/>
              </w:rPr>
              <w:t>大气环境</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根据大宁县202</w:t>
            </w:r>
            <w:r>
              <w:rPr>
                <w:rFonts w:hint="eastAsia" w:ascii="Times New Roman" w:hAnsi="Times New Roman" w:eastAsia="宋体" w:cs="Times New Roman"/>
                <w:color w:val="auto"/>
                <w:kern w:val="0"/>
                <w:sz w:val="24"/>
                <w:szCs w:val="24"/>
                <w:lang w:val="en-US" w:eastAsia="zh-CN"/>
              </w:rPr>
              <w:t>2</w:t>
            </w:r>
            <w:r>
              <w:rPr>
                <w:rFonts w:hint="eastAsia" w:ascii="Times New Roman" w:hAnsi="Times New Roman" w:eastAsia="宋体" w:cs="Times New Roman"/>
                <w:color w:val="auto"/>
                <w:kern w:val="0"/>
                <w:sz w:val="24"/>
                <w:szCs w:val="24"/>
              </w:rPr>
              <w:t>年全年的环境空气例行监测数据，各项指标均达到《环境空气质量标准》（GB3095-2012）中二级标准要求，判定项目所在区域为达标区。特征污染物TSP日均浓度可达到《环境空气质量标准》（GB3095-2012）中二级标准要求，说明大宁县环境空气质量满足规划功能要求，大宁县属于环境空气质量达标区</w:t>
            </w:r>
            <w:r>
              <w:rPr>
                <w:rFonts w:ascii="Times New Roman" w:hAnsi="Times New Roman" w:eastAsia="宋体" w:cs="Times New Roman"/>
                <w:color w:val="auto"/>
                <w:kern w:val="0"/>
                <w:sz w:val="24"/>
                <w:szCs w:val="24"/>
              </w:rPr>
              <w:t>。</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202</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年</w:t>
            </w:r>
            <w:r>
              <w:rPr>
                <w:rFonts w:hint="eastAsia" w:ascii="Times New Roman" w:hAnsi="Times New Roman" w:eastAsia="宋体" w:cs="Times New Roman"/>
                <w:color w:val="auto"/>
                <w:kern w:val="0"/>
                <w:sz w:val="24"/>
                <w:szCs w:val="24"/>
              </w:rPr>
              <w:t>9</w:t>
            </w:r>
            <w:r>
              <w:rPr>
                <w:rFonts w:ascii="Times New Roman" w:hAnsi="Times New Roman" w:eastAsia="宋体" w:cs="Times New Roman"/>
                <w:color w:val="auto"/>
                <w:kern w:val="0"/>
                <w:sz w:val="24"/>
                <w:szCs w:val="24"/>
              </w:rPr>
              <w:t>月</w:t>
            </w:r>
            <w:r>
              <w:rPr>
                <w:rFonts w:hint="eastAsia" w:ascii="Times New Roman" w:hAnsi="Times New Roman" w:eastAsia="宋体" w:cs="Times New Roman"/>
                <w:color w:val="auto"/>
                <w:kern w:val="0"/>
                <w:sz w:val="24"/>
                <w:szCs w:val="24"/>
                <w:lang w:val="en-US" w:eastAsia="zh-CN"/>
              </w:rPr>
              <w:t>21</w:t>
            </w:r>
            <w:r>
              <w:rPr>
                <w:rFonts w:ascii="Times New Roman" w:hAnsi="Times New Roman" w:eastAsia="宋体" w:cs="Times New Roman"/>
                <w:color w:val="auto"/>
                <w:kern w:val="0"/>
                <w:sz w:val="24"/>
                <w:szCs w:val="24"/>
              </w:rPr>
              <w:t>日-202</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年</w:t>
            </w:r>
            <w:r>
              <w:rPr>
                <w:rFonts w:hint="eastAsia" w:ascii="Times New Roman" w:hAnsi="Times New Roman" w:eastAsia="宋体" w:cs="Times New Roman"/>
                <w:color w:val="auto"/>
                <w:kern w:val="0"/>
                <w:sz w:val="24"/>
                <w:szCs w:val="24"/>
              </w:rPr>
              <w:t>9</w:t>
            </w:r>
            <w:r>
              <w:rPr>
                <w:rFonts w:ascii="Times New Roman" w:hAnsi="Times New Roman" w:eastAsia="宋体" w:cs="Times New Roman"/>
                <w:color w:val="auto"/>
                <w:kern w:val="0"/>
                <w:sz w:val="24"/>
                <w:szCs w:val="24"/>
              </w:rPr>
              <w:t>月</w:t>
            </w:r>
            <w:r>
              <w:rPr>
                <w:rFonts w:hint="eastAsia" w:ascii="Times New Roman" w:hAnsi="Times New Roman" w:eastAsia="宋体" w:cs="Times New Roman"/>
                <w:color w:val="auto"/>
                <w:kern w:val="0"/>
                <w:sz w:val="24"/>
                <w:szCs w:val="24"/>
                <w:lang w:val="en-US" w:eastAsia="zh-CN"/>
              </w:rPr>
              <w:t>23</w:t>
            </w:r>
            <w:r>
              <w:rPr>
                <w:rFonts w:ascii="Times New Roman" w:hAnsi="Times New Roman" w:eastAsia="宋体" w:cs="Times New Roman"/>
                <w:color w:val="auto"/>
                <w:kern w:val="0"/>
                <w:sz w:val="24"/>
                <w:szCs w:val="24"/>
              </w:rPr>
              <w:t>日委托山西</w:t>
            </w:r>
            <w:r>
              <w:rPr>
                <w:rFonts w:hint="eastAsia" w:ascii="Times New Roman" w:hAnsi="Times New Roman" w:eastAsia="宋体" w:cs="Times New Roman"/>
                <w:color w:val="auto"/>
                <w:kern w:val="0"/>
                <w:sz w:val="24"/>
                <w:szCs w:val="24"/>
                <w:lang w:val="en-US" w:eastAsia="zh-CN"/>
              </w:rPr>
              <w:t>华涵净环境检测</w:t>
            </w:r>
            <w:r>
              <w:rPr>
                <w:rFonts w:ascii="Times New Roman" w:hAnsi="Times New Roman" w:eastAsia="宋体" w:cs="Times New Roman"/>
                <w:color w:val="auto"/>
                <w:kern w:val="0"/>
                <w:sz w:val="24"/>
                <w:szCs w:val="24"/>
              </w:rPr>
              <w:t>有限公司对本项目产生的特征污染物进行了检测。根据监测结果本项目厂址TSP</w:t>
            </w:r>
            <w:r>
              <w:rPr>
                <w:rFonts w:hint="eastAsia" w:ascii="Times New Roman" w:hAnsi="Times New Roman" w:eastAsia="宋体" w:cs="Times New Roman"/>
                <w:color w:val="auto"/>
                <w:kern w:val="0"/>
                <w:sz w:val="24"/>
                <w:szCs w:val="24"/>
                <w:lang w:val="en-US" w:eastAsia="zh-CN"/>
              </w:rPr>
              <w:t>和苯并[a]芘</w:t>
            </w:r>
            <w:r>
              <w:rPr>
                <w:rFonts w:ascii="Times New Roman" w:hAnsi="Times New Roman" w:eastAsia="宋体" w:cs="Times New Roman"/>
                <w:color w:val="auto"/>
                <w:kern w:val="0"/>
                <w:sz w:val="24"/>
                <w:szCs w:val="24"/>
              </w:rPr>
              <w:t>日均浓度满足《环境空气质量标准》（GB3095-2012）中二级标准限值。</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宋体" w:hAnsi="宋体" w:eastAsia="宋体" w:cs="宋体"/>
                <w:color w:val="auto"/>
                <w:kern w:val="0"/>
                <w:sz w:val="24"/>
                <w:szCs w:val="24"/>
              </w:rPr>
              <w:t>②</w:t>
            </w:r>
            <w:r>
              <w:rPr>
                <w:rFonts w:ascii="Times New Roman" w:hAnsi="Times New Roman" w:eastAsia="宋体" w:cs="Times New Roman"/>
                <w:color w:val="auto"/>
                <w:kern w:val="0"/>
                <w:sz w:val="24"/>
                <w:szCs w:val="24"/>
              </w:rPr>
              <w:t>水环境</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本次建设项目距离最近河流为</w:t>
            </w:r>
            <w:r>
              <w:rPr>
                <w:rFonts w:hint="eastAsia" w:ascii="Times New Roman" w:hAnsi="Times New Roman" w:eastAsia="宋体" w:cs="Times New Roman"/>
                <w:color w:val="auto"/>
                <w:kern w:val="0"/>
                <w:sz w:val="24"/>
                <w:szCs w:val="24"/>
                <w:lang w:val="en-US" w:eastAsia="zh-CN"/>
              </w:rPr>
              <w:t>南</w:t>
            </w:r>
            <w:r>
              <w:rPr>
                <w:rFonts w:ascii="Times New Roman" w:hAnsi="Times New Roman" w:eastAsia="宋体" w:cs="Times New Roman"/>
                <w:color w:val="auto"/>
                <w:kern w:val="0"/>
                <w:sz w:val="24"/>
                <w:szCs w:val="24"/>
              </w:rPr>
              <w:t>侧约</w:t>
            </w:r>
            <w:r>
              <w:rPr>
                <w:rFonts w:hint="eastAsia" w:ascii="Times New Roman" w:hAnsi="Times New Roman" w:eastAsia="宋体" w:cs="Times New Roman"/>
                <w:color w:val="auto"/>
                <w:kern w:val="0"/>
                <w:sz w:val="24"/>
                <w:szCs w:val="24"/>
                <w:lang w:val="en-US" w:eastAsia="zh-CN"/>
              </w:rPr>
              <w:t>0.10</w:t>
            </w:r>
            <w:r>
              <w:rPr>
                <w:rFonts w:ascii="Times New Roman" w:hAnsi="Times New Roman" w:eastAsia="宋体" w:cs="Times New Roman"/>
                <w:color w:val="auto"/>
                <w:kern w:val="0"/>
                <w:sz w:val="24"/>
                <w:szCs w:val="24"/>
              </w:rPr>
              <w:t>km的</w:t>
            </w:r>
            <w:r>
              <w:rPr>
                <w:rFonts w:hint="eastAsia" w:ascii="Times New Roman" w:hAnsi="Times New Roman" w:eastAsia="宋体" w:cs="Times New Roman"/>
                <w:color w:val="auto"/>
                <w:kern w:val="0"/>
                <w:sz w:val="24"/>
                <w:szCs w:val="24"/>
                <w:lang w:val="en-US" w:eastAsia="zh-CN"/>
              </w:rPr>
              <w:t>昕水</w:t>
            </w:r>
            <w:r>
              <w:rPr>
                <w:rFonts w:ascii="Times New Roman" w:hAnsi="Times New Roman" w:eastAsia="宋体" w:cs="Times New Roman"/>
                <w:color w:val="auto"/>
                <w:kern w:val="0"/>
                <w:sz w:val="24"/>
                <w:szCs w:val="24"/>
              </w:rPr>
              <w:t>河。</w:t>
            </w:r>
            <w:r>
              <w:rPr>
                <w:rFonts w:hint="eastAsia" w:ascii="Times New Roman" w:hAnsi="Times New Roman" w:eastAsia="宋体" w:cs="Times New Roman"/>
                <w:color w:val="auto"/>
                <w:kern w:val="0"/>
                <w:sz w:val="24"/>
                <w:szCs w:val="24"/>
              </w:rPr>
              <w:t>根据《山西省地表水水环境功能区划》（</w:t>
            </w:r>
            <w:r>
              <w:rPr>
                <w:rFonts w:ascii="Times New Roman" w:hAnsi="Times New Roman" w:eastAsia="宋体" w:cs="Times New Roman"/>
                <w:color w:val="auto"/>
                <w:kern w:val="0"/>
                <w:sz w:val="24"/>
                <w:szCs w:val="24"/>
              </w:rPr>
              <w:t>DB14/67-2019）规定，本项目场址所在区域位于</w:t>
            </w:r>
            <w:r>
              <w:rPr>
                <w:rFonts w:hint="eastAsia" w:ascii="Times New Roman" w:hAnsi="Times New Roman" w:eastAsia="宋体" w:cs="Times New Roman"/>
                <w:color w:val="auto"/>
                <w:kern w:val="0"/>
                <w:sz w:val="24"/>
                <w:szCs w:val="24"/>
              </w:rPr>
              <w:t>昕水河</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下胡成—入黄河</w:t>
            </w:r>
            <w:r>
              <w:rPr>
                <w:rFonts w:ascii="Times New Roman" w:hAnsi="Times New Roman" w:eastAsia="宋体" w:cs="Times New Roman"/>
                <w:color w:val="auto"/>
                <w:kern w:val="0"/>
                <w:sz w:val="24"/>
                <w:szCs w:val="24"/>
              </w:rPr>
              <w:t>”段，水环境功能为“</w:t>
            </w:r>
            <w:r>
              <w:rPr>
                <w:rFonts w:hint="eastAsia" w:ascii="Times New Roman" w:hAnsi="Times New Roman" w:eastAsia="宋体" w:cs="Times New Roman"/>
                <w:color w:val="auto"/>
                <w:kern w:val="0"/>
                <w:sz w:val="24"/>
                <w:szCs w:val="24"/>
              </w:rPr>
              <w:t>一般河流源头水保护</w:t>
            </w:r>
            <w:r>
              <w:rPr>
                <w:rFonts w:ascii="Times New Roman" w:hAnsi="Times New Roman" w:eastAsia="宋体" w:cs="Times New Roman"/>
                <w:color w:val="auto"/>
                <w:kern w:val="0"/>
                <w:sz w:val="24"/>
                <w:szCs w:val="24"/>
              </w:rPr>
              <w:t>”，所处的</w:t>
            </w:r>
            <w:r>
              <w:rPr>
                <w:rFonts w:hint="eastAsia" w:ascii="Times New Roman" w:hAnsi="Times New Roman" w:eastAsia="宋体" w:cs="Times New Roman"/>
                <w:color w:val="auto"/>
                <w:kern w:val="0"/>
                <w:sz w:val="24"/>
                <w:szCs w:val="24"/>
              </w:rPr>
              <w:t>黑城村</w:t>
            </w:r>
            <w:r>
              <w:rPr>
                <w:rFonts w:ascii="Times New Roman" w:hAnsi="Times New Roman" w:eastAsia="宋体" w:cs="Times New Roman"/>
                <w:color w:val="auto"/>
                <w:kern w:val="0"/>
                <w:sz w:val="24"/>
                <w:szCs w:val="24"/>
              </w:rPr>
              <w:t>断面水质要求为Ⅲ类，根据</w:t>
            </w:r>
            <w:r>
              <w:rPr>
                <w:rFonts w:hint="eastAsia" w:ascii="Times New Roman" w:hAnsi="Times New Roman" w:eastAsia="宋体" w:cs="Times New Roman"/>
                <w:color w:val="auto"/>
                <w:kern w:val="0"/>
                <w:sz w:val="24"/>
                <w:szCs w:val="24"/>
              </w:rPr>
              <w:t>临汾市生态环境局发布的临汾市地表水水质状况报告，</w:t>
            </w:r>
            <w:r>
              <w:rPr>
                <w:rFonts w:hint="default" w:ascii="Times New Roman" w:hAnsi="Times New Roman" w:eastAsia="宋体" w:cs="Times New Roman"/>
                <w:b w:val="0"/>
                <w:bCs w:val="0"/>
                <w:color w:val="auto"/>
                <w:kern w:val="0"/>
                <w:sz w:val="24"/>
                <w:szCs w:val="24"/>
                <w:lang w:val="en-US" w:eastAsia="zh-CN"/>
              </w:rPr>
              <w:t>昕水河黑城村</w:t>
            </w:r>
            <w:r>
              <w:rPr>
                <w:rFonts w:hint="default" w:ascii="Times New Roman" w:hAnsi="Times New Roman" w:eastAsia="宋体" w:cs="Times New Roman"/>
                <w:b w:val="0"/>
                <w:bCs w:val="0"/>
                <w:color w:val="auto"/>
                <w:kern w:val="0"/>
                <w:sz w:val="24"/>
                <w:szCs w:val="24"/>
              </w:rPr>
              <w:t>断面2022年</w:t>
            </w:r>
            <w:r>
              <w:rPr>
                <w:rFonts w:hint="eastAsia" w:ascii="Times New Roman" w:hAnsi="Times New Roman" w:eastAsia="宋体" w:cs="Times New Roman"/>
                <w:b w:val="0"/>
                <w:bCs w:val="0"/>
                <w:color w:val="auto"/>
                <w:kern w:val="0"/>
                <w:sz w:val="24"/>
                <w:szCs w:val="24"/>
                <w:lang w:val="en-US" w:eastAsia="zh-CN"/>
              </w:rPr>
              <w:t>1-12</w:t>
            </w:r>
            <w:r>
              <w:rPr>
                <w:rFonts w:hint="default" w:ascii="Times New Roman" w:hAnsi="Times New Roman" w:eastAsia="宋体" w:cs="Times New Roman"/>
                <w:b w:val="0"/>
                <w:bCs w:val="0"/>
                <w:color w:val="auto"/>
                <w:kern w:val="0"/>
                <w:sz w:val="24"/>
                <w:szCs w:val="24"/>
              </w:rPr>
              <w:t>月为</w:t>
            </w:r>
            <w:r>
              <w:rPr>
                <w:rFonts w:hint="default" w:ascii="Times New Roman" w:hAnsi="Times New Roman" w:eastAsia="宋体" w:cs="Times New Roman"/>
                <w:b w:val="0"/>
                <w:bCs w:val="0"/>
                <w:color w:val="auto"/>
                <w:kern w:val="0"/>
                <w:sz w:val="24"/>
                <w:szCs w:val="24"/>
                <w:lang w:val="en-US" w:eastAsia="zh-CN"/>
              </w:rPr>
              <w:t>Ⅱ</w:t>
            </w:r>
            <w:r>
              <w:rPr>
                <w:rFonts w:hint="default" w:ascii="Times New Roman" w:hAnsi="Times New Roman" w:eastAsia="宋体" w:cs="Times New Roman"/>
                <w:b w:val="0"/>
                <w:bCs w:val="0"/>
                <w:color w:val="auto"/>
                <w:kern w:val="0"/>
                <w:sz w:val="24"/>
                <w:szCs w:val="24"/>
              </w:rPr>
              <w:t>类</w:t>
            </w:r>
            <w:r>
              <w:rPr>
                <w:rFonts w:hint="eastAsia" w:ascii="Times New Roman" w:hAnsi="Times New Roman" w:eastAsia="宋体" w:cs="Times New Roman"/>
                <w:b w:val="0"/>
                <w:bCs w:val="0"/>
                <w:color w:val="auto"/>
                <w:kern w:val="0"/>
                <w:sz w:val="24"/>
                <w:szCs w:val="24"/>
                <w:lang w:val="en-US" w:eastAsia="zh-CN"/>
              </w:rPr>
              <w:t>或</w:t>
            </w:r>
            <w:r>
              <w:rPr>
                <w:rFonts w:hint="default" w:ascii="Times New Roman" w:hAnsi="Times New Roman" w:eastAsia="宋体" w:cs="Times New Roman"/>
                <w:b w:val="0"/>
                <w:bCs w:val="0"/>
                <w:color w:val="auto"/>
                <w:kern w:val="0"/>
                <w:sz w:val="24"/>
                <w:szCs w:val="24"/>
              </w:rPr>
              <w:t>Ⅲ类水质</w:t>
            </w:r>
            <w:r>
              <w:rPr>
                <w:rFonts w:hint="eastAsia" w:ascii="Times New Roman" w:hAnsi="Times New Roman" w:eastAsia="宋体" w:cs="Times New Roman"/>
                <w:color w:val="auto"/>
                <w:kern w:val="0"/>
                <w:sz w:val="24"/>
                <w:szCs w:val="24"/>
              </w:rPr>
              <w:t>，满足该断面的</w:t>
            </w:r>
            <w:r>
              <w:rPr>
                <w:rFonts w:ascii="Times New Roman" w:hAnsi="Times New Roman" w:eastAsia="宋体" w:cs="Times New Roman"/>
                <w:color w:val="auto"/>
                <w:kern w:val="0"/>
                <w:sz w:val="24"/>
                <w:szCs w:val="24"/>
              </w:rPr>
              <w:t>Ⅲ</w:t>
            </w:r>
            <w:r>
              <w:rPr>
                <w:rFonts w:hint="eastAsia" w:ascii="Times New Roman" w:hAnsi="Times New Roman" w:eastAsia="宋体" w:cs="Times New Roman"/>
                <w:color w:val="auto"/>
                <w:kern w:val="0"/>
                <w:sz w:val="24"/>
                <w:szCs w:val="24"/>
              </w:rPr>
              <w:t>类水水质要求，说明所处区域地表水环境质量属于达标区。</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宋体" w:hAnsi="宋体" w:eastAsia="宋体" w:cs="宋体"/>
                <w:color w:val="auto"/>
                <w:kern w:val="0"/>
                <w:sz w:val="24"/>
                <w:szCs w:val="24"/>
              </w:rPr>
              <w:t>⑶</w:t>
            </w:r>
            <w:r>
              <w:rPr>
                <w:rFonts w:ascii="Times New Roman" w:hAnsi="Times New Roman" w:eastAsia="宋体" w:cs="Times New Roman"/>
                <w:color w:val="auto"/>
                <w:kern w:val="0"/>
                <w:sz w:val="24"/>
                <w:szCs w:val="24"/>
              </w:rPr>
              <w:t>资源利用上线</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w:t>
            </w:r>
            <w:r>
              <w:rPr>
                <w:rFonts w:hint="eastAsia" w:ascii="Times New Roman" w:hAnsi="Times New Roman" w:eastAsia="宋体" w:cs="Times New Roman"/>
                <w:color w:val="auto"/>
                <w:kern w:val="0"/>
                <w:sz w:val="24"/>
                <w:szCs w:val="24"/>
                <w:lang w:val="en-US" w:eastAsia="zh-CN"/>
              </w:rPr>
              <w:t>用地规划为建设用地</w:t>
            </w:r>
            <w:r>
              <w:rPr>
                <w:rFonts w:hint="eastAsia" w:ascii="Times New Roman" w:hAnsi="Times New Roman" w:eastAsia="宋体" w:cs="Times New Roman"/>
                <w:color w:val="auto"/>
                <w:kern w:val="0"/>
                <w:sz w:val="24"/>
                <w:szCs w:val="24"/>
              </w:rPr>
              <w:t>且</w:t>
            </w:r>
            <w:r>
              <w:rPr>
                <w:rFonts w:ascii="Times New Roman" w:hAnsi="Times New Roman" w:eastAsia="宋体" w:cs="Times New Roman"/>
                <w:color w:val="auto"/>
                <w:kern w:val="0"/>
                <w:sz w:val="24"/>
                <w:szCs w:val="24"/>
              </w:rPr>
              <w:t>项目水资源消耗较小、能源消耗为电</w:t>
            </w:r>
            <w:r>
              <w:rPr>
                <w:rFonts w:hint="eastAsia" w:ascii="Times New Roman" w:hAnsi="Times New Roman" w:eastAsia="宋体" w:cs="Times New Roman"/>
                <w:color w:val="auto"/>
                <w:kern w:val="0"/>
                <w:sz w:val="24"/>
                <w:szCs w:val="24"/>
                <w:lang w:val="en-US" w:eastAsia="zh-CN"/>
              </w:rPr>
              <w:t>和天然气</w:t>
            </w:r>
            <w:r>
              <w:rPr>
                <w:rFonts w:ascii="Times New Roman" w:hAnsi="Times New Roman" w:eastAsia="宋体" w:cs="Times New Roman"/>
                <w:color w:val="auto"/>
                <w:kern w:val="0"/>
                <w:sz w:val="24"/>
                <w:szCs w:val="24"/>
              </w:rPr>
              <w:t>，其新增量在可承受范围内。因此项目建设符合资源利用上线的要求。</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宋体" w:hAnsi="宋体" w:eastAsia="宋体" w:cs="宋体"/>
                <w:color w:val="auto"/>
                <w:kern w:val="0"/>
                <w:sz w:val="24"/>
                <w:szCs w:val="24"/>
              </w:rPr>
              <w:t>⑷</w:t>
            </w:r>
            <w:r>
              <w:rPr>
                <w:rFonts w:ascii="Times New Roman" w:hAnsi="Times New Roman" w:eastAsia="宋体" w:cs="Times New Roman"/>
                <w:color w:val="auto"/>
                <w:kern w:val="0"/>
                <w:sz w:val="24"/>
                <w:szCs w:val="24"/>
              </w:rPr>
              <w:t>与生态环境准入清单的符合性分析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①</w:t>
            </w:r>
            <w:r>
              <w:rPr>
                <w:rFonts w:hint="eastAsia" w:ascii="Times New Roman" w:hAnsi="Times New Roman" w:eastAsia="宋体" w:cs="Times New Roman"/>
                <w:color w:val="auto"/>
                <w:kern w:val="0"/>
                <w:sz w:val="24"/>
                <w:szCs w:val="24"/>
              </w:rPr>
              <w:t>产业政策分析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根据《产业结构调整指导目录（2019年本）》</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本项目属于鼓励类“十二、建材”改性沥青防水卷材，因此确定本项目为鼓励类。本项目的建设符合国家产业政策。</w:t>
            </w:r>
            <w:r>
              <w:rPr>
                <w:rFonts w:hint="eastAsia" w:ascii="Times New Roman" w:hAnsi="Times New Roman" w:eastAsia="宋体" w:cs="Times New Roman"/>
                <w:color w:val="auto"/>
                <w:kern w:val="0"/>
                <w:sz w:val="24"/>
                <w:szCs w:val="24"/>
                <w:lang w:val="en-US" w:eastAsia="zh-CN"/>
              </w:rPr>
              <w:t>大宁县</w:t>
            </w:r>
            <w:r>
              <w:rPr>
                <w:rFonts w:hint="eastAsia" w:ascii="Times New Roman" w:hAnsi="Times New Roman" w:eastAsia="宋体" w:cs="Times New Roman"/>
                <w:color w:val="auto"/>
                <w:kern w:val="0"/>
                <w:sz w:val="24"/>
                <w:szCs w:val="24"/>
              </w:rPr>
              <w:t>行政审批服务管理局于202</w:t>
            </w:r>
            <w:r>
              <w:rPr>
                <w:rFonts w:hint="eastAsia" w:ascii="Times New Roman" w:hAnsi="Times New Roman" w:eastAsia="宋体" w:cs="Times New Roman"/>
                <w:color w:val="auto"/>
                <w:kern w:val="0"/>
                <w:sz w:val="24"/>
                <w:szCs w:val="24"/>
                <w:lang w:val="en-US" w:eastAsia="zh-CN"/>
              </w:rPr>
              <w:t>2</w:t>
            </w:r>
            <w:r>
              <w:rPr>
                <w:rFonts w:hint="eastAsia" w:ascii="Times New Roman" w:hAnsi="Times New Roman" w:eastAsia="宋体" w:cs="Times New Roman"/>
                <w:color w:val="auto"/>
                <w:kern w:val="0"/>
                <w:sz w:val="24"/>
                <w:szCs w:val="24"/>
              </w:rPr>
              <w:t>年</w:t>
            </w:r>
            <w:r>
              <w:rPr>
                <w:rFonts w:hint="eastAsia" w:ascii="Times New Roman" w:hAnsi="Times New Roman" w:eastAsia="宋体" w:cs="Times New Roman"/>
                <w:color w:val="auto"/>
                <w:kern w:val="0"/>
                <w:sz w:val="24"/>
                <w:szCs w:val="24"/>
                <w:lang w:val="en-US" w:eastAsia="zh-CN"/>
              </w:rPr>
              <w:t>8</w:t>
            </w:r>
            <w:r>
              <w:rPr>
                <w:rFonts w:hint="eastAsia" w:ascii="Times New Roman" w:hAnsi="Times New Roman" w:eastAsia="宋体" w:cs="Times New Roman"/>
                <w:color w:val="auto"/>
                <w:kern w:val="0"/>
                <w:sz w:val="24"/>
                <w:szCs w:val="24"/>
              </w:rPr>
              <w:t>月</w:t>
            </w:r>
            <w:r>
              <w:rPr>
                <w:rFonts w:hint="eastAsia" w:ascii="Times New Roman" w:hAnsi="Times New Roman" w:eastAsia="宋体" w:cs="Times New Roman"/>
                <w:color w:val="auto"/>
                <w:kern w:val="0"/>
                <w:sz w:val="24"/>
                <w:szCs w:val="24"/>
                <w:lang w:val="en-US" w:eastAsia="zh-CN"/>
              </w:rPr>
              <w:t>18</w:t>
            </w:r>
            <w:r>
              <w:rPr>
                <w:rFonts w:hint="eastAsia" w:ascii="Times New Roman" w:hAnsi="Times New Roman" w:eastAsia="宋体" w:cs="Times New Roman"/>
                <w:color w:val="auto"/>
                <w:kern w:val="0"/>
                <w:sz w:val="24"/>
                <w:szCs w:val="24"/>
              </w:rPr>
              <w:t>日下发了本项目的备案证明，同意本项目备案并办理相关手续（项目代码2208-141030-89-05-825048）</w:t>
            </w:r>
            <w:r>
              <w:rPr>
                <w:rFonts w:ascii="Times New Roman" w:hAnsi="Times New Roman" w:eastAsia="宋体" w:cs="Times New Roman"/>
                <w:color w:val="auto"/>
                <w:kern w:val="0"/>
                <w:sz w:val="24"/>
                <w:szCs w:val="24"/>
              </w:rPr>
              <w:t>。因此，本项目建设符合生态环境准入清单要求。</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textAlignment w:val="auto"/>
              <w:rPr>
                <w:rFonts w:hint="default"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②行业准入符合性分析</w:t>
            </w:r>
            <w:r>
              <w:rPr>
                <w:rFonts w:hint="default" w:ascii="Times New Roman" w:hAnsi="Times New Roman" w:eastAsia="宋体" w:cs="Times New Roman"/>
                <w:color w:val="auto"/>
                <w:kern w:val="0"/>
                <w:sz w:val="24"/>
                <w:szCs w:val="24"/>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80" w:firstLineChars="200"/>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项目与《建筑防水卷材行业准入条件》（中华人民共和国工业和信息化部2013年第3号）中选址符合性分析见表</w:t>
            </w:r>
            <w:r>
              <w:rPr>
                <w:rFonts w:hint="eastAsia" w:ascii="Times New Roman" w:hAnsi="Times New Roman" w:eastAsia="宋体" w:cs="Times New Roman"/>
                <w:color w:val="auto"/>
                <w:kern w:val="0"/>
                <w:sz w:val="24"/>
                <w:szCs w:val="24"/>
                <w:lang w:val="en-US" w:eastAsia="zh-CN"/>
              </w:rPr>
              <w:t>1-1</w:t>
            </w:r>
            <w:r>
              <w:rPr>
                <w:rFonts w:hint="default" w:ascii="Times New Roman" w:hAnsi="Times New Roman" w:eastAsia="宋体" w:cs="Times New Roman"/>
                <w:color w:val="auto"/>
                <w:kern w:val="0"/>
                <w:sz w:val="24"/>
                <w:szCs w:val="24"/>
              </w:rPr>
              <w:t>。</w:t>
            </w:r>
          </w:p>
          <w:p>
            <w:pPr>
              <w:autoSpaceDE w:val="0"/>
              <w:autoSpaceDN w:val="0"/>
              <w:adjustRightInd w:val="0"/>
              <w:snapToGrid w:val="0"/>
              <w:spacing w:line="46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表1-1  </w:t>
            </w:r>
            <w:r>
              <w:rPr>
                <w:rFonts w:hint="eastAsia" w:ascii="Times New Roman" w:hAnsi="Times New Roman" w:eastAsia="宋体" w:cs="Times New Roman"/>
                <w:color w:val="auto"/>
                <w:sz w:val="24"/>
                <w:szCs w:val="24"/>
              </w:rPr>
              <w:t>项目与行业准入条件中选址要求符合性分析</w:t>
            </w:r>
          </w:p>
          <w:tbl>
            <w:tblPr>
              <w:tblStyle w:val="2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3419"/>
              <w:gridCol w:w="2451"/>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93" w:type="pct"/>
                  <w:gridSpan w:val="2"/>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行业准入条件</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本项目实际情况</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是否符合准入条件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建设条件与生产布局</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kern w:val="0"/>
                      <w:sz w:val="21"/>
                      <w:szCs w:val="21"/>
                      <w:highlight w:val="none"/>
                    </w:rPr>
                    <w:t>新建和改扩建建筑防水卷材项目应符合国家产业政策和产业规划、当地产业规划、</w:t>
                  </w:r>
                  <w:r>
                    <w:rPr>
                      <w:rFonts w:hint="default" w:ascii="Times New Roman" w:hAnsi="Times New Roman" w:eastAsia="宋体" w:cs="Times New Roman"/>
                      <w:b w:val="0"/>
                      <w:bCs w:val="0"/>
                      <w:color w:val="auto"/>
                      <w:sz w:val="21"/>
                      <w:szCs w:val="21"/>
                      <w:highlight w:val="none"/>
                    </w:rPr>
                    <w:t>土地利用总体规划等。</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eastAsia" w:ascii="Times New Roman" w:hAnsi="Times New Roman" w:eastAsia="宋体" w:cs="Times New Roman"/>
                      <w:b w:val="0"/>
                      <w:bCs w:val="0"/>
                      <w:color w:val="auto"/>
                      <w:sz w:val="21"/>
                      <w:szCs w:val="21"/>
                      <w:highlight w:val="none"/>
                      <w:lang w:val="zh-CN" w:eastAsia="zh-CN"/>
                    </w:rPr>
                  </w:pPr>
                  <w:r>
                    <w:rPr>
                      <w:rFonts w:hint="eastAsia" w:ascii="Times New Roman" w:hAnsi="Times New Roman" w:eastAsia="宋体" w:cs="Times New Roman"/>
                      <w:b w:val="0"/>
                      <w:bCs w:val="0"/>
                      <w:color w:val="auto"/>
                      <w:sz w:val="21"/>
                      <w:szCs w:val="21"/>
                      <w:highlight w:val="none"/>
                      <w:lang w:val="en-US" w:eastAsia="zh-CN"/>
                    </w:rPr>
                    <w:t>本项目为新建</w:t>
                  </w:r>
                  <w:r>
                    <w:rPr>
                      <w:rFonts w:hint="default" w:ascii="Times New Roman" w:hAnsi="Times New Roman" w:eastAsia="宋体" w:cs="Times New Roman"/>
                      <w:b w:val="0"/>
                      <w:bCs w:val="0"/>
                      <w:color w:val="auto"/>
                      <w:sz w:val="21"/>
                      <w:szCs w:val="21"/>
                      <w:highlight w:val="none"/>
                      <w:lang w:val="zh-CN"/>
                    </w:rPr>
                    <w:t>项目</w:t>
                  </w:r>
                  <w:r>
                    <w:rPr>
                      <w:rFonts w:hint="eastAsia" w:ascii="Times New Roman" w:hAnsi="Times New Roman" w:eastAsia="宋体" w:cs="Times New Roman"/>
                      <w:b w:val="0"/>
                      <w:bCs w:val="0"/>
                      <w:color w:val="auto"/>
                      <w:sz w:val="21"/>
                      <w:szCs w:val="21"/>
                      <w:highlight w:val="none"/>
                      <w:lang w:val="zh-CN"/>
                    </w:rPr>
                    <w:t>，</w:t>
                  </w:r>
                  <w:r>
                    <w:rPr>
                      <w:rFonts w:hint="eastAsia" w:ascii="Times New Roman" w:hAnsi="Times New Roman" w:eastAsia="宋体" w:cs="Times New Roman"/>
                      <w:b w:val="0"/>
                      <w:bCs w:val="0"/>
                      <w:color w:val="auto"/>
                      <w:sz w:val="21"/>
                      <w:szCs w:val="21"/>
                      <w:highlight w:val="none"/>
                      <w:lang w:val="en-US" w:eastAsia="zh-CN"/>
                    </w:rPr>
                    <w:t>占用建设用地进行建设</w:t>
                  </w:r>
                  <w:r>
                    <w:rPr>
                      <w:rFonts w:hint="default" w:ascii="Times New Roman" w:hAnsi="Times New Roman" w:eastAsia="宋体" w:cs="Times New Roman"/>
                      <w:b w:val="0"/>
                      <w:bCs w:val="0"/>
                      <w:color w:val="auto"/>
                      <w:sz w:val="21"/>
                      <w:szCs w:val="21"/>
                      <w:highlight w:val="none"/>
                      <w:lang w:val="zh-CN"/>
                    </w:rPr>
                    <w:t>，已核发备案证，符合国家产业政策</w:t>
                  </w:r>
                  <w:r>
                    <w:rPr>
                      <w:rFonts w:hint="eastAsia" w:ascii="Times New Roman" w:hAnsi="Times New Roman" w:eastAsia="宋体" w:cs="Times New Roman"/>
                      <w:b w:val="0"/>
                      <w:bCs w:val="0"/>
                      <w:color w:val="auto"/>
                      <w:sz w:val="21"/>
                      <w:szCs w:val="21"/>
                      <w:highlight w:val="none"/>
                      <w:lang w:val="zh-CN"/>
                    </w:rPr>
                    <w:t>、</w:t>
                  </w:r>
                  <w:r>
                    <w:rPr>
                      <w:rFonts w:hint="default" w:ascii="Times New Roman" w:hAnsi="Times New Roman" w:eastAsia="宋体" w:cs="Times New Roman"/>
                      <w:b w:val="0"/>
                      <w:bCs w:val="0"/>
                      <w:color w:val="auto"/>
                      <w:sz w:val="21"/>
                      <w:szCs w:val="21"/>
                      <w:highlight w:val="none"/>
                      <w:lang w:val="zh-CN"/>
                    </w:rPr>
                    <w:t>产业规划</w:t>
                  </w:r>
                  <w:r>
                    <w:rPr>
                      <w:rFonts w:hint="default" w:ascii="Times New Roman" w:hAnsi="Times New Roman" w:eastAsia="宋体" w:cs="Times New Roman"/>
                      <w:b w:val="0"/>
                      <w:bCs w:val="0"/>
                      <w:color w:val="auto"/>
                      <w:sz w:val="21"/>
                      <w:szCs w:val="21"/>
                      <w:highlight w:val="none"/>
                    </w:rPr>
                    <w:t>土</w:t>
                  </w:r>
                  <w:r>
                    <w:rPr>
                      <w:rFonts w:hint="eastAsia" w:ascii="Times New Roman" w:hAnsi="Times New Roman" w:eastAsia="宋体" w:cs="Times New Roman"/>
                      <w:b w:val="0"/>
                      <w:bCs w:val="0"/>
                      <w:color w:val="auto"/>
                      <w:sz w:val="21"/>
                      <w:szCs w:val="21"/>
                      <w:highlight w:val="none"/>
                      <w:lang w:val="en-US" w:eastAsia="zh-CN"/>
                    </w:rPr>
                    <w:t>和</w:t>
                  </w:r>
                  <w:r>
                    <w:rPr>
                      <w:rFonts w:hint="default" w:ascii="Times New Roman" w:hAnsi="Times New Roman" w:eastAsia="宋体" w:cs="Times New Roman"/>
                      <w:b w:val="0"/>
                      <w:bCs w:val="0"/>
                      <w:color w:val="auto"/>
                      <w:sz w:val="21"/>
                      <w:szCs w:val="21"/>
                      <w:highlight w:val="none"/>
                    </w:rPr>
                    <w:t>地利用总体规划等</w:t>
                  </w:r>
                  <w:r>
                    <w:rPr>
                      <w:rFonts w:hint="eastAsia" w:ascii="Times New Roman" w:hAnsi="Times New Roman" w:eastAsia="宋体" w:cs="Times New Roman"/>
                      <w:b w:val="0"/>
                      <w:bCs w:val="0"/>
                      <w:color w:val="auto"/>
                      <w:sz w:val="21"/>
                      <w:szCs w:val="21"/>
                      <w:highlight w:val="none"/>
                      <w:lang w:eastAsia="zh-CN"/>
                    </w:rPr>
                    <w:t>。</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（二）</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rPr>
                    <w:t>严禁在风景名胜区、生态保护区、自然和文化遗产保护区、饮用水源保护区、城市建成区和非工业规划区等区域新建和扩建建筑防水卷材项目</w:t>
                  </w:r>
                  <w:r>
                    <w:rPr>
                      <w:rFonts w:hint="default" w:ascii="Times New Roman" w:hAnsi="Times New Roman" w:eastAsia="宋体" w:cs="Times New Roman"/>
                      <w:b w:val="0"/>
                      <w:bCs w:val="0"/>
                      <w:color w:val="auto"/>
                      <w:sz w:val="21"/>
                      <w:szCs w:val="21"/>
                      <w:highlight w:val="none"/>
                    </w:rPr>
                    <w:t>。</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rPr>
                    <w:t>新建（含迁建）建筑防水卷材项目应进入化工园区或具备相应治污能力的产业集聚区。</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本项目</w:t>
                  </w:r>
                  <w:r>
                    <w:rPr>
                      <w:rFonts w:hint="eastAsia" w:ascii="Times New Roman" w:hAnsi="Times New Roman" w:eastAsia="宋体" w:cs="Times New Roman"/>
                      <w:b w:val="0"/>
                      <w:bCs w:val="0"/>
                      <w:color w:val="auto"/>
                      <w:sz w:val="21"/>
                      <w:szCs w:val="21"/>
                      <w:highlight w:val="none"/>
                      <w:lang w:val="en-US" w:eastAsia="zh-CN"/>
                    </w:rPr>
                    <w:t>位于</w:t>
                  </w:r>
                  <w:r>
                    <w:rPr>
                      <w:rFonts w:hint="default" w:ascii="Times New Roman" w:hAnsi="Times New Roman" w:eastAsia="宋体" w:cs="Times New Roman"/>
                      <w:b w:val="0"/>
                      <w:bCs w:val="0"/>
                      <w:color w:val="auto"/>
                      <w:sz w:val="21"/>
                      <w:szCs w:val="21"/>
                      <w:highlight w:val="none"/>
                      <w:lang w:val="zh-CN"/>
                    </w:rPr>
                    <w:t>大宁产业集聚区的煤层气化工产业园区内</w:t>
                  </w:r>
                  <w:r>
                    <w:rPr>
                      <w:rFonts w:hint="eastAsia" w:ascii="Times New Roman" w:hAnsi="Times New Roman" w:eastAsia="宋体" w:cs="Times New Roman"/>
                      <w:b w:val="0"/>
                      <w:bCs w:val="0"/>
                      <w:color w:val="auto"/>
                      <w:sz w:val="21"/>
                      <w:szCs w:val="21"/>
                      <w:highlight w:val="none"/>
                      <w:lang w:val="zh-CN"/>
                    </w:rPr>
                    <w:t>，</w:t>
                  </w:r>
                  <w:r>
                    <w:rPr>
                      <w:rFonts w:hint="eastAsia" w:ascii="Times New Roman" w:hAnsi="Times New Roman" w:eastAsia="宋体" w:cs="Times New Roman"/>
                      <w:b w:val="0"/>
                      <w:bCs w:val="0"/>
                      <w:color w:val="auto"/>
                      <w:sz w:val="21"/>
                      <w:szCs w:val="21"/>
                      <w:highlight w:val="none"/>
                      <w:lang w:val="en-US" w:eastAsia="zh-CN"/>
                    </w:rPr>
                    <w:t>不涉及相关环境敏感区。</w:t>
                  </w:r>
                  <w:r>
                    <w:rPr>
                      <w:rFonts w:hint="default" w:ascii="Times New Roman" w:hAnsi="Times New Roman" w:eastAsia="宋体" w:cs="Times New Roman"/>
                      <w:b w:val="0"/>
                      <w:bCs w:val="0"/>
                      <w:color w:val="auto"/>
                      <w:kern w:val="0"/>
                      <w:sz w:val="21"/>
                      <w:szCs w:val="21"/>
                      <w:highlight w:val="none"/>
                    </w:rPr>
                    <w:t>企业自行建设废气污染防治</w:t>
                  </w:r>
                  <w:r>
                    <w:rPr>
                      <w:rFonts w:hint="eastAsia" w:ascii="Times New Roman" w:hAnsi="Times New Roman" w:eastAsia="宋体" w:cs="Times New Roman"/>
                      <w:b w:val="0"/>
                      <w:bCs w:val="0"/>
                      <w:color w:val="auto"/>
                      <w:kern w:val="0"/>
                      <w:sz w:val="21"/>
                      <w:szCs w:val="21"/>
                      <w:highlight w:val="none"/>
                      <w:lang w:val="en-US" w:eastAsia="zh-CN"/>
                    </w:rPr>
                    <w:t>设施，本项目无生产废水产生，生活污水回用于厂区洒水抑尘</w:t>
                  </w:r>
                  <w:r>
                    <w:rPr>
                      <w:rFonts w:hint="default" w:ascii="Times New Roman" w:hAnsi="Times New Roman" w:eastAsia="宋体" w:cs="Times New Roman"/>
                      <w:b w:val="0"/>
                      <w:bCs w:val="0"/>
                      <w:color w:val="auto"/>
                      <w:sz w:val="21"/>
                      <w:szCs w:val="21"/>
                      <w:highlight w:val="none"/>
                      <w:lang w:val="zh-CN"/>
                    </w:rPr>
                    <w:t>。</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二、</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生产规模、工艺与装备</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新建改性沥青类（含自粘）防水卷材项目单线产能规模不低于1000万平方米/年（以产品标准中厚度最小的产品、250天/年、16小时/天运行计，下同）</w:t>
                  </w:r>
                </w:p>
                <w:p>
                  <w:pPr>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新建高分子防水卷材（PVC、TPO）项目单线产能规模不低于300万平方米/年。</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lang w:val="en-US" w:eastAsia="zh-CN"/>
                    </w:rPr>
                  </w:pPr>
                  <w:r>
                    <w:rPr>
                      <w:rFonts w:hint="default" w:ascii="Times New Roman" w:hAnsi="Times New Roman" w:eastAsia="宋体" w:cs="Times New Roman"/>
                      <w:b w:val="0"/>
                      <w:bCs w:val="0"/>
                      <w:color w:val="auto"/>
                      <w:kern w:val="0"/>
                      <w:sz w:val="21"/>
                      <w:szCs w:val="21"/>
                      <w:highlight w:val="none"/>
                      <w:lang w:eastAsia="zh-CN"/>
                    </w:rPr>
                    <w:t>本项目为</w:t>
                  </w:r>
                  <w:r>
                    <w:rPr>
                      <w:rFonts w:hint="eastAsia" w:ascii="Times New Roman" w:hAnsi="Times New Roman" w:eastAsia="宋体" w:cs="Times New Roman"/>
                      <w:b w:val="0"/>
                      <w:bCs w:val="0"/>
                      <w:color w:val="auto"/>
                      <w:kern w:val="0"/>
                      <w:sz w:val="21"/>
                      <w:szCs w:val="21"/>
                      <w:highlight w:val="none"/>
                      <w:lang w:val="en-US" w:eastAsia="zh-CN"/>
                    </w:rPr>
                    <w:t>新</w:t>
                  </w:r>
                  <w:r>
                    <w:rPr>
                      <w:rFonts w:hint="default" w:ascii="Times New Roman" w:hAnsi="Times New Roman" w:eastAsia="宋体" w:cs="Times New Roman"/>
                      <w:b w:val="0"/>
                      <w:bCs w:val="0"/>
                      <w:color w:val="auto"/>
                      <w:kern w:val="0"/>
                      <w:sz w:val="21"/>
                      <w:szCs w:val="21"/>
                      <w:highlight w:val="none"/>
                      <w:lang w:eastAsia="zh-CN"/>
                    </w:rPr>
                    <w:t>建项目，本项目年工作时间为</w:t>
                  </w:r>
                  <w:r>
                    <w:rPr>
                      <w:rFonts w:hint="eastAsia" w:ascii="Times New Roman" w:hAnsi="Times New Roman" w:eastAsia="宋体" w:cs="Times New Roman"/>
                      <w:b w:val="0"/>
                      <w:bCs w:val="0"/>
                      <w:color w:val="auto"/>
                      <w:kern w:val="0"/>
                      <w:sz w:val="21"/>
                      <w:szCs w:val="21"/>
                      <w:highlight w:val="none"/>
                      <w:lang w:val="en-US" w:eastAsia="zh-CN"/>
                    </w:rPr>
                    <w:t>250</w:t>
                  </w:r>
                  <w:r>
                    <w:rPr>
                      <w:rFonts w:hint="default" w:ascii="Times New Roman" w:hAnsi="Times New Roman" w:eastAsia="宋体" w:cs="Times New Roman"/>
                      <w:b w:val="0"/>
                      <w:bCs w:val="0"/>
                      <w:color w:val="auto"/>
                      <w:kern w:val="0"/>
                      <w:sz w:val="21"/>
                      <w:szCs w:val="21"/>
                      <w:highlight w:val="none"/>
                      <w:lang w:val="en-US" w:eastAsia="zh-CN"/>
                    </w:rPr>
                    <w:t>天，8h/d，产能</w:t>
                  </w:r>
                  <w:r>
                    <w:rPr>
                      <w:rFonts w:hint="eastAsia" w:ascii="Times New Roman" w:hAnsi="Times New Roman" w:eastAsia="宋体" w:cs="Times New Roman"/>
                      <w:b w:val="0"/>
                      <w:bCs w:val="0"/>
                      <w:color w:val="auto"/>
                      <w:kern w:val="0"/>
                      <w:sz w:val="21"/>
                      <w:szCs w:val="21"/>
                      <w:highlight w:val="none"/>
                      <w:lang w:val="en-US" w:eastAsia="zh-CN"/>
                    </w:rPr>
                    <w:t>18</w:t>
                  </w:r>
                  <w:r>
                    <w:rPr>
                      <w:rFonts w:hint="default" w:ascii="Times New Roman" w:hAnsi="Times New Roman" w:eastAsia="宋体" w:cs="Times New Roman"/>
                      <w:b w:val="0"/>
                      <w:bCs w:val="0"/>
                      <w:color w:val="auto"/>
                      <w:kern w:val="0"/>
                      <w:sz w:val="21"/>
                      <w:szCs w:val="21"/>
                      <w:highlight w:val="none"/>
                      <w:lang w:val="en-US" w:eastAsia="zh-CN"/>
                    </w:rPr>
                    <w:t>00万平米/年，按生产16h计，项目厂能可以达到</w:t>
                  </w:r>
                  <w:r>
                    <w:rPr>
                      <w:rFonts w:hint="default" w:ascii="Times New Roman" w:hAnsi="Times New Roman" w:eastAsia="宋体" w:cs="Times New Roman"/>
                      <w:b w:val="0"/>
                      <w:bCs w:val="0"/>
                      <w:color w:val="auto"/>
                      <w:kern w:val="0"/>
                      <w:sz w:val="21"/>
                      <w:szCs w:val="21"/>
                      <w:highlight w:val="none"/>
                    </w:rPr>
                    <w:t>单线产能规模</w:t>
                  </w:r>
                  <w:r>
                    <w:rPr>
                      <w:rFonts w:hint="eastAsia" w:ascii="Times New Roman" w:hAnsi="Times New Roman" w:eastAsia="宋体" w:cs="Times New Roman"/>
                      <w:b w:val="0"/>
                      <w:bCs w:val="0"/>
                      <w:color w:val="auto"/>
                      <w:kern w:val="0"/>
                      <w:sz w:val="21"/>
                      <w:szCs w:val="21"/>
                      <w:highlight w:val="none"/>
                      <w:lang w:val="en-US" w:eastAsia="zh-CN"/>
                    </w:rPr>
                    <w:t>36</w:t>
                  </w:r>
                  <w:r>
                    <w:rPr>
                      <w:rFonts w:hint="default" w:ascii="Times New Roman" w:hAnsi="Times New Roman" w:eastAsia="宋体" w:cs="Times New Roman"/>
                      <w:b w:val="0"/>
                      <w:bCs w:val="0"/>
                      <w:color w:val="auto"/>
                      <w:kern w:val="0"/>
                      <w:sz w:val="21"/>
                      <w:szCs w:val="21"/>
                      <w:highlight w:val="none"/>
                    </w:rPr>
                    <w:t>00万平方米/年。</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lang w:eastAsia="zh-CN"/>
                    </w:rPr>
                    <w:t>满足</w:t>
                  </w:r>
                  <w:r>
                    <w:rPr>
                      <w:rFonts w:hint="default" w:ascii="Times New Roman" w:hAnsi="Times New Roman" w:eastAsia="宋体" w:cs="Times New Roman"/>
                      <w:b w:val="0"/>
                      <w:bCs w:val="0"/>
                      <w:color w:val="auto"/>
                      <w:kern w:val="0"/>
                      <w:sz w:val="21"/>
                      <w:szCs w:val="21"/>
                      <w:highlight w:val="none"/>
                    </w:rPr>
                    <w:t>新建改性沥青类（含自粘）防水卷材项目单线产能规模1000万平方米/年</w:t>
                  </w:r>
                  <w:r>
                    <w:rPr>
                      <w:rFonts w:hint="default" w:ascii="Times New Roman" w:hAnsi="Times New Roman" w:eastAsia="宋体" w:cs="Times New Roman"/>
                      <w:b w:val="0"/>
                      <w:bCs w:val="0"/>
                      <w:color w:val="auto"/>
                      <w:kern w:val="0"/>
                      <w:sz w:val="21"/>
                      <w:szCs w:val="21"/>
                      <w:highlight w:val="none"/>
                      <w:lang w:eastAsia="zh-CN"/>
                    </w:rPr>
                    <w:t>的要求。</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rPr>
                    <w:t>（二）</w:t>
                  </w:r>
                </w:p>
              </w:tc>
              <w:tc>
                <w:tcPr>
                  <w:tcW w:w="2251" w:type="pct"/>
                  <w:tcBorders>
                    <w:tl2br w:val="nil"/>
                    <w:tr2bl w:val="nil"/>
                  </w:tcBorders>
                  <w:noWrap w:val="0"/>
                  <w:vAlign w:val="center"/>
                </w:tcPr>
                <w:p>
                  <w:pPr>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新建建筑防水卷材项目采用先进的自动化控制系统，生产工艺和关键设备应满足以下基本要求：</w:t>
                  </w:r>
                </w:p>
                <w:p>
                  <w:pPr>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1.改性沥青类（含自粘）防水卷材生产线胶体磨总流量不低于40立方米/小时。</w:t>
                  </w:r>
                </w:p>
                <w:p>
                  <w:pPr>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2.聚氯乙烯（PVC）防水卷材生产线总挤出能力不低于1200千克/小时，热塑性聚烯烃（TPO）防水卷材生产线总挤出能力不低于1000千克/小时。</w:t>
                  </w:r>
                </w:p>
              </w:tc>
              <w:tc>
                <w:tcPr>
                  <w:tcW w:w="1613" w:type="pct"/>
                  <w:tcBorders>
                    <w:tl2br w:val="nil"/>
                    <w:tr2bl w:val="nil"/>
                  </w:tcBorders>
                  <w:noWrap w:val="0"/>
                  <w:vAlign w:val="center"/>
                </w:tcPr>
                <w:p>
                  <w:pPr>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kern w:val="0"/>
                      <w:sz w:val="21"/>
                      <w:szCs w:val="21"/>
                      <w:highlight w:val="none"/>
                    </w:rPr>
                    <w:t>本项目采用先进的自动化控制系统，改性沥青类（含自粘）防水卷材生产线胶体磨总流量40立方米/小时。</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三、</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能源消耗</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防水卷材单位产品能源消耗限额应符合下述规定：</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沥青基防水卷材(有胎)单位产品综合能耗限额不高于0.20千克标煤/平方米</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沥青基防水卷材(无胎)单位产品综合能耗限额不高于0.10千克标煤/平方米</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聚氯乙烯（PVC）防水卷材单位产品综合能耗限额不高于0.08千克标煤/平方米</w:t>
                  </w:r>
                </w:p>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热塑性聚烯烃（TPO）防水卷材单位产品综合能耗限额不高于0.08千克标煤/平方米</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kern w:val="0"/>
                      <w:sz w:val="21"/>
                      <w:szCs w:val="21"/>
                      <w:highlight w:val="none"/>
                    </w:rPr>
                    <w:t>单位产品综合能耗限额不高于0.0</w:t>
                  </w:r>
                  <w:r>
                    <w:rPr>
                      <w:rFonts w:hint="eastAsia" w:ascii="Times New Roman" w:hAnsi="Times New Roman" w:eastAsia="宋体" w:cs="Times New Roman"/>
                      <w:b w:val="0"/>
                      <w:bCs w:val="0"/>
                      <w:color w:val="auto"/>
                      <w:kern w:val="0"/>
                      <w:sz w:val="21"/>
                      <w:szCs w:val="21"/>
                      <w:highlight w:val="none"/>
                      <w:lang w:val="en-US" w:eastAsia="zh-CN"/>
                    </w:rPr>
                    <w:t>4</w:t>
                  </w:r>
                  <w:r>
                    <w:rPr>
                      <w:rFonts w:hint="default" w:ascii="Times New Roman" w:hAnsi="Times New Roman" w:eastAsia="宋体" w:cs="Times New Roman"/>
                      <w:b w:val="0"/>
                      <w:bCs w:val="0"/>
                      <w:color w:val="auto"/>
                      <w:kern w:val="0"/>
                      <w:sz w:val="21"/>
                      <w:szCs w:val="21"/>
                      <w:highlight w:val="none"/>
                    </w:rPr>
                    <w:t>千克标煤/平方米</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rPr>
                    <w:t>（二）</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年耗标准煤5000吨及以上的建筑防水卷材生产企业，应每年提交包括能源消费情况、能源利用效率、节能目标完成情况和节能效益分析、节能措施等内容的能源利用状况报告</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kern w:val="0"/>
                      <w:sz w:val="21"/>
                      <w:szCs w:val="21"/>
                      <w:highlight w:val="none"/>
                    </w:rPr>
                    <w:t>折算后年耗标准煤10</w:t>
                  </w:r>
                  <w:r>
                    <w:rPr>
                      <w:rFonts w:hint="eastAsia" w:ascii="Times New Roman" w:hAnsi="Times New Roman" w:eastAsia="宋体" w:cs="Times New Roman"/>
                      <w:b w:val="0"/>
                      <w:bCs w:val="0"/>
                      <w:color w:val="auto"/>
                      <w:kern w:val="0"/>
                      <w:sz w:val="21"/>
                      <w:szCs w:val="21"/>
                      <w:highlight w:val="none"/>
                      <w:lang w:val="en-US" w:eastAsia="zh-CN"/>
                    </w:rPr>
                    <w:t>63.</w:t>
                  </w:r>
                  <w:r>
                    <w:rPr>
                      <w:rFonts w:hint="default" w:ascii="Times New Roman" w:hAnsi="Times New Roman" w:eastAsia="宋体" w:cs="Times New Roman"/>
                      <w:b w:val="0"/>
                      <w:bCs w:val="0"/>
                      <w:color w:val="auto"/>
                      <w:kern w:val="0"/>
                      <w:sz w:val="21"/>
                      <w:szCs w:val="21"/>
                      <w:highlight w:val="none"/>
                    </w:rPr>
                    <w:t>8吨</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四、</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环境保护</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易产生烟气、粉尘等污染物的原材料在运输、装卸、储存和使用过程中应当采取密闭措施。</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易产生烟气、粉尘等污染物的原材料在运输、装卸、储存和使用过程中采取密闭措施</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（二）</w:t>
                  </w:r>
                </w:p>
              </w:tc>
              <w:tc>
                <w:tcPr>
                  <w:tcW w:w="2251" w:type="pct"/>
                  <w:tcBorders>
                    <w:tl2br w:val="nil"/>
                    <w:tr2bl w:val="nil"/>
                  </w:tcBorders>
                  <w:noWrap w:val="0"/>
                  <w:vAlign w:val="center"/>
                </w:tcPr>
                <w:p>
                  <w:pPr>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改性沥青类（含自粘）防水卷材的沥青搅拌罐、浸油池和涂油池应配置沥青烟气处理装置。排放的气体符合GB 16297《大气污染综合排放标准》或项目所在地环境标准的要求。</w:t>
                  </w:r>
                </w:p>
              </w:tc>
              <w:tc>
                <w:tcPr>
                  <w:tcW w:w="1613" w:type="pct"/>
                  <w:tcBorders>
                    <w:tl2br w:val="nil"/>
                    <w:tr2bl w:val="nil"/>
                  </w:tcBorders>
                  <w:noWrap w:val="0"/>
                  <w:vAlign w:val="center"/>
                </w:tcPr>
                <w:p>
                  <w:pPr>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改性沥青类（含自粘）防水卷材的沥青搅拌罐、浸油池和涂油池配置沥青烟气收集处理装置。排放的气体符合</w:t>
                  </w:r>
                  <w:r>
                    <w:rPr>
                      <w:rFonts w:hint="eastAsia" w:ascii="Times New Roman" w:hAnsi="Times New Roman" w:eastAsia="宋体" w:cs="Times New Roman"/>
                      <w:b w:val="0"/>
                      <w:bCs w:val="0"/>
                      <w:color w:val="auto"/>
                      <w:kern w:val="0"/>
                      <w:sz w:val="21"/>
                      <w:szCs w:val="21"/>
                      <w:highlight w:val="none"/>
                      <w:lang w:val="en-US" w:eastAsia="zh-CN"/>
                    </w:rPr>
                    <w:t>相关</w:t>
                  </w:r>
                  <w:r>
                    <w:rPr>
                      <w:rFonts w:hint="eastAsia" w:ascii="Times New Roman" w:hAnsi="Times New Roman" w:eastAsia="宋体" w:cs="Times New Roman"/>
                      <w:b w:val="0"/>
                      <w:bCs w:val="0"/>
                      <w:color w:val="auto"/>
                      <w:sz w:val="21"/>
                      <w:szCs w:val="21"/>
                      <w:highlight w:val="none"/>
                      <w:lang w:val="en-US" w:eastAsia="zh-CN"/>
                    </w:rPr>
                    <w:t>标准</w:t>
                  </w:r>
                  <w:r>
                    <w:rPr>
                      <w:rFonts w:hint="default" w:ascii="Times New Roman" w:hAnsi="Times New Roman" w:eastAsia="宋体" w:cs="Times New Roman"/>
                      <w:b w:val="0"/>
                      <w:bCs w:val="0"/>
                      <w:color w:val="auto"/>
                      <w:kern w:val="0"/>
                      <w:sz w:val="21"/>
                      <w:szCs w:val="21"/>
                      <w:highlight w:val="none"/>
                    </w:rPr>
                    <w:t>要求</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（三）</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固体废弃物按规定收集、贮存和用于再生产；实施雨污分流、清污分流，冷却水循环使用，生产废水经收集处理后达标排放。</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固体废弃物按规定收集、贮存和用于再生产；</w:t>
                  </w:r>
                  <w:r>
                    <w:rPr>
                      <w:rFonts w:hint="eastAsia" w:ascii="Times New Roman" w:hAnsi="Times New Roman" w:eastAsia="宋体" w:cs="Times New Roman"/>
                      <w:b w:val="0"/>
                      <w:bCs w:val="0"/>
                      <w:color w:val="auto"/>
                      <w:kern w:val="0"/>
                      <w:sz w:val="21"/>
                      <w:szCs w:val="21"/>
                      <w:highlight w:val="none"/>
                      <w:lang w:val="en-US" w:eastAsia="zh-CN"/>
                    </w:rPr>
                    <w:t>生产废水和生活污水均不外排</w:t>
                  </w:r>
                  <w:r>
                    <w:rPr>
                      <w:rFonts w:hint="default" w:ascii="Times New Roman" w:hAnsi="Times New Roman" w:eastAsia="宋体" w:cs="Times New Roman"/>
                      <w:b w:val="0"/>
                      <w:bCs w:val="0"/>
                      <w:color w:val="auto"/>
                      <w:kern w:val="0"/>
                      <w:sz w:val="21"/>
                      <w:szCs w:val="21"/>
                      <w:highlight w:val="none"/>
                    </w:rPr>
                    <w:t>，</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（四）</w:t>
                  </w:r>
                </w:p>
              </w:tc>
              <w:tc>
                <w:tcPr>
                  <w:tcW w:w="2251" w:type="pct"/>
                  <w:tcBorders>
                    <w:tl2br w:val="nil"/>
                    <w:tr2bl w:val="nil"/>
                  </w:tcBorders>
                  <w:noWrap w:val="0"/>
                  <w:vAlign w:val="center"/>
                </w:tcPr>
                <w:p>
                  <w:pPr>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完善噪声防治措施，厂界噪声符合GB 12348《工业企业厂界噪声排放标准》的规定。</w:t>
                  </w:r>
                </w:p>
              </w:tc>
              <w:tc>
                <w:tcPr>
                  <w:tcW w:w="1613" w:type="pct"/>
                  <w:tcBorders>
                    <w:tl2br w:val="nil"/>
                    <w:tr2bl w:val="nil"/>
                  </w:tcBorders>
                  <w:noWrap w:val="0"/>
                  <w:vAlign w:val="center"/>
                </w:tcPr>
                <w:p>
                  <w:pPr>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lang w:eastAsia="zh-CN"/>
                    </w:rPr>
                    <w:t>通过项目设备全部采用低噪声设备、基础减震厂房隔声等措施</w:t>
                  </w:r>
                  <w:r>
                    <w:rPr>
                      <w:rFonts w:hint="default" w:ascii="Times New Roman" w:hAnsi="Times New Roman" w:eastAsia="宋体" w:cs="Times New Roman"/>
                      <w:b w:val="0"/>
                      <w:bCs w:val="0"/>
                      <w:color w:val="auto"/>
                      <w:kern w:val="0"/>
                      <w:sz w:val="21"/>
                      <w:szCs w:val="21"/>
                      <w:highlight w:val="none"/>
                    </w:rPr>
                    <w:t>，厂界噪声符合《工业企业厂界环境噪声排放标准》</w:t>
                  </w:r>
                  <w:r>
                    <w:rPr>
                      <w:rFonts w:hint="default" w:ascii="Times New Roman" w:hAnsi="Times New Roman" w:eastAsia="宋体" w:cs="Times New Roman"/>
                      <w:b w:val="0"/>
                      <w:bCs w:val="0"/>
                      <w:color w:val="auto"/>
                      <w:sz w:val="21"/>
                      <w:szCs w:val="21"/>
                      <w:highlight w:val="none"/>
                    </w:rPr>
                    <w:t>（GB12348-2008）</w:t>
                  </w:r>
                  <w:r>
                    <w:rPr>
                      <w:rFonts w:hint="default" w:ascii="Times New Roman" w:hAnsi="Times New Roman" w:eastAsia="宋体" w:cs="Times New Roman"/>
                      <w:b w:val="0"/>
                      <w:bCs w:val="0"/>
                      <w:color w:val="auto"/>
                      <w:kern w:val="0"/>
                      <w:sz w:val="21"/>
                      <w:szCs w:val="21"/>
                      <w:highlight w:val="none"/>
                    </w:rPr>
                    <w:t>的规定。</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（五）</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采取清洁生产技术，开展清洁生产审核。建立环境管理体系，制定环境突发事件应急预案。</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采取清洁生产技术，建立环境管理体系，制定环境突发事件应急预案。</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（六）</w:t>
                  </w:r>
                </w:p>
              </w:tc>
              <w:tc>
                <w:tcPr>
                  <w:tcW w:w="2251" w:type="pct"/>
                  <w:tcBorders>
                    <w:tl2br w:val="nil"/>
                    <w:tr2bl w:val="nil"/>
                  </w:tcBorders>
                  <w:noWrap w:val="0"/>
                  <w:vAlign w:val="center"/>
                </w:tcPr>
                <w:p>
                  <w:pPr>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配套建设的环境保护设施应与主体工程同时设计、同时施工、同时投入使用。</w:t>
                  </w:r>
                </w:p>
              </w:tc>
              <w:tc>
                <w:tcPr>
                  <w:tcW w:w="1613" w:type="pct"/>
                  <w:tcBorders>
                    <w:tl2br w:val="nil"/>
                    <w:tr2bl w:val="nil"/>
                  </w:tcBorders>
                  <w:noWrap w:val="0"/>
                  <w:vAlign w:val="center"/>
                </w:tcPr>
                <w:p>
                  <w:pPr>
                    <w:spacing w:line="240" w:lineRule="auto"/>
                    <w:ind w:firstLine="0" w:firstLineChars="0"/>
                    <w:rPr>
                      <w:rFonts w:hint="eastAsia" w:ascii="Times New Roman" w:hAnsi="Times New Roman" w:eastAsia="宋体" w:cs="Times New Roman"/>
                      <w:b w:val="0"/>
                      <w:bCs w:val="0"/>
                      <w:color w:val="auto"/>
                      <w:kern w:val="0"/>
                      <w:sz w:val="21"/>
                      <w:szCs w:val="21"/>
                      <w:highlight w:val="none"/>
                      <w:lang w:eastAsia="zh-CN"/>
                    </w:rPr>
                  </w:pPr>
                  <w:r>
                    <w:rPr>
                      <w:rFonts w:hint="default" w:ascii="Times New Roman" w:hAnsi="Times New Roman" w:eastAsia="宋体" w:cs="Times New Roman"/>
                      <w:b w:val="0"/>
                      <w:bCs w:val="0"/>
                      <w:color w:val="auto"/>
                      <w:kern w:val="0"/>
                      <w:sz w:val="21"/>
                      <w:szCs w:val="21"/>
                      <w:highlight w:val="none"/>
                    </w:rPr>
                    <w:t>严格履行环境保护“三同时”制度</w:t>
                  </w:r>
                  <w:r>
                    <w:rPr>
                      <w:rFonts w:hint="eastAsia" w:ascii="Times New Roman" w:hAnsi="Times New Roman" w:eastAsia="宋体" w:cs="Times New Roman"/>
                      <w:b w:val="0"/>
                      <w:bCs w:val="0"/>
                      <w:color w:val="auto"/>
                      <w:kern w:val="0"/>
                      <w:sz w:val="21"/>
                      <w:szCs w:val="21"/>
                      <w:highlight w:val="none"/>
                      <w:lang w:eastAsia="zh-CN"/>
                    </w:rPr>
                    <w:t>。</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五、</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产品质量</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防水卷材企业按照JC/T 1072《防水卷材生产企业质量管理规程》健全管理制度。</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eastAsia" w:ascii="Times New Roman" w:hAnsi="Times New Roman" w:eastAsia="宋体" w:cs="Times New Roman"/>
                      <w:b w:val="0"/>
                      <w:bCs w:val="0"/>
                      <w:color w:val="auto"/>
                      <w:sz w:val="21"/>
                      <w:szCs w:val="21"/>
                      <w:highlight w:val="none"/>
                      <w:lang w:val="zh-CN" w:eastAsia="zh-CN"/>
                    </w:rPr>
                  </w:pPr>
                  <w:r>
                    <w:rPr>
                      <w:rFonts w:hint="default" w:ascii="Times New Roman" w:hAnsi="Times New Roman" w:eastAsia="宋体" w:cs="Times New Roman"/>
                      <w:b w:val="0"/>
                      <w:bCs w:val="0"/>
                      <w:color w:val="auto"/>
                      <w:kern w:val="0"/>
                      <w:sz w:val="21"/>
                      <w:szCs w:val="21"/>
                      <w:highlight w:val="none"/>
                    </w:rPr>
                    <w:t>防水卷材企业按照《防水卷材生产企业质量管理规程》（JC/T1072-2</w:t>
                  </w:r>
                  <w:r>
                    <w:rPr>
                      <w:rFonts w:hint="eastAsia" w:ascii="Times New Roman" w:hAnsi="Times New Roman" w:eastAsia="宋体" w:cs="Times New Roman"/>
                      <w:b w:val="0"/>
                      <w:bCs w:val="0"/>
                      <w:color w:val="auto"/>
                      <w:kern w:val="0"/>
                      <w:sz w:val="21"/>
                      <w:szCs w:val="21"/>
                      <w:highlight w:val="none"/>
                      <w:lang w:val="en-US" w:eastAsia="zh-CN"/>
                    </w:rPr>
                    <w:t>016</w:t>
                  </w:r>
                  <w:r>
                    <w:rPr>
                      <w:rFonts w:hint="default" w:ascii="Times New Roman" w:hAnsi="Times New Roman" w:eastAsia="宋体" w:cs="Times New Roman"/>
                      <w:b w:val="0"/>
                      <w:bCs w:val="0"/>
                      <w:color w:val="auto"/>
                      <w:kern w:val="0"/>
                      <w:sz w:val="21"/>
                      <w:szCs w:val="21"/>
                      <w:highlight w:val="none"/>
                    </w:rPr>
                    <w:t>）健全管理制度</w:t>
                  </w:r>
                  <w:r>
                    <w:rPr>
                      <w:rFonts w:hint="eastAsia" w:ascii="Times New Roman" w:hAnsi="Times New Roman" w:eastAsia="宋体" w:cs="Times New Roman"/>
                      <w:b w:val="0"/>
                      <w:bCs w:val="0"/>
                      <w:color w:val="auto"/>
                      <w:kern w:val="0"/>
                      <w:sz w:val="21"/>
                      <w:szCs w:val="21"/>
                      <w:highlight w:val="none"/>
                      <w:lang w:eastAsia="zh-CN"/>
                    </w:rPr>
                    <w:t>。</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（二）</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产品质量符合相应的国家标准或行业标准。</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rPr>
                    <w:t>产品质量符合相应的国家标准或行业标准。</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（三）</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具备防水卷材成品检验和原材料检验能力，建立质量管理体系、产品质量对比验证和内部抽查制度。建立产品出库台账和可追溯制度。</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kern w:val="0"/>
                      <w:sz w:val="21"/>
                      <w:szCs w:val="21"/>
                      <w:highlight w:val="none"/>
                    </w:rPr>
                    <w:t>设立研发部门对卷材成品检验和原材料检验，建立质量管理体系、产品质量对比验证和内部抽查制度。建立产品出库台账和可追溯制度。</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六、</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安全生产、职业卫生和社会责任</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（一）</w:t>
                  </w:r>
                </w:p>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至</w:t>
                  </w:r>
                </w:p>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（五）</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kern w:val="0"/>
                      <w:sz w:val="21"/>
                      <w:szCs w:val="21"/>
                      <w:highlight w:val="none"/>
                    </w:rPr>
                  </w:pPr>
                  <w:r>
                    <w:rPr>
                      <w:rFonts w:hint="default" w:ascii="Times New Roman" w:hAnsi="Times New Roman" w:eastAsia="宋体" w:cs="Times New Roman"/>
                      <w:b w:val="0"/>
                      <w:bCs w:val="0"/>
                      <w:color w:val="auto"/>
                      <w:kern w:val="0"/>
                      <w:sz w:val="21"/>
                      <w:szCs w:val="21"/>
                      <w:highlight w:val="none"/>
                    </w:rPr>
                    <w:t>建立健全安全生产责任制、职业病防治责任制，制订完备的安全生产规章制度和操作规程，配备符合规定的职业病防治设施。新建和改扩建项目的安全生产设施和职业病防护设施应与主体工程同时设计、同时施工和同时投入使用。有重大危险源检测、评估、监控措施和应急预案。不偷漏税款，不拖欠工资，按期足额缴纳养老保险、医疗保险、工伤保险、失业保险、生育保险和住房公积金。建立职业健康安全管理体系。</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kern w:val="0"/>
                      <w:sz w:val="21"/>
                      <w:szCs w:val="21"/>
                      <w:highlight w:val="none"/>
                    </w:rPr>
                    <w:t>建立健全安全生产责任制、职业病防治责任制，制订完备的安全生产规章制度和操作规程，配备符合规定的职业病防治设施。安全生产设施和职业病防护设施与主体工程同时设计、同时施工和同时投入使用。应急预案制订中。企业无不良信息。建立职业健康安全管理体系。</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42"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七、</w:t>
                  </w:r>
                </w:p>
              </w:tc>
              <w:tc>
                <w:tcPr>
                  <w:tcW w:w="2251"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监督管理（略）</w:t>
                  </w:r>
                </w:p>
              </w:tc>
              <w:tc>
                <w:tcPr>
                  <w:tcW w:w="1613" w:type="pct"/>
                  <w:tcBorders>
                    <w:tl2br w:val="nil"/>
                    <w:tr2bl w:val="nil"/>
                  </w:tcBorders>
                  <w:noWrap w:val="0"/>
                  <w:vAlign w:val="center"/>
                </w:tcPr>
                <w:p>
                  <w:pPr>
                    <w:autoSpaceDE w:val="0"/>
                    <w:autoSpaceDN w:val="0"/>
                    <w:adjustRightInd w:val="0"/>
                    <w:snapToGrid w:val="0"/>
                    <w:spacing w:line="240" w:lineRule="auto"/>
                    <w:ind w:firstLine="0" w:firstLineChars="0"/>
                    <w:rPr>
                      <w:rFonts w:hint="default" w:ascii="Times New Roman" w:hAnsi="Times New Roman" w:eastAsia="宋体" w:cs="Times New Roman"/>
                      <w:b w:val="0"/>
                      <w:bCs w:val="0"/>
                      <w:color w:val="auto"/>
                      <w:sz w:val="21"/>
                      <w:szCs w:val="21"/>
                      <w:highlight w:val="none"/>
                      <w:lang w:val="zh-CN"/>
                    </w:rPr>
                  </w:pPr>
                  <w:r>
                    <w:rPr>
                      <w:rFonts w:hint="default" w:ascii="Times New Roman" w:hAnsi="Times New Roman" w:eastAsia="宋体" w:cs="Times New Roman"/>
                      <w:b w:val="0"/>
                      <w:bCs w:val="0"/>
                      <w:color w:val="auto"/>
                      <w:sz w:val="21"/>
                      <w:szCs w:val="21"/>
                      <w:highlight w:val="none"/>
                      <w:lang w:val="zh-CN"/>
                    </w:rPr>
                    <w:t>与本次评价无关，此处不再分析</w:t>
                  </w:r>
                </w:p>
              </w:tc>
              <w:tc>
                <w:tcPr>
                  <w:tcW w:w="592" w:type="pct"/>
                  <w:tcBorders>
                    <w:tl2br w:val="nil"/>
                    <w:tr2bl w:val="nil"/>
                  </w:tcBorders>
                  <w:noWrap w:val="0"/>
                  <w:vAlign w:val="center"/>
                </w:tcPr>
                <w:p>
                  <w:pPr>
                    <w:autoSpaceDE w:val="0"/>
                    <w:autoSpaceDN w:val="0"/>
                    <w:adjustRightInd w:val="0"/>
                    <w:snapToGrid w:val="0"/>
                    <w:spacing w:line="240" w:lineRule="auto"/>
                    <w:ind w:firstLine="0" w:firstLine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r>
          </w:tbl>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综上所述</w:t>
            </w:r>
            <w:r>
              <w:rPr>
                <w:rFonts w:ascii="Times New Roman" w:hAnsi="Times New Roman" w:eastAsia="宋体" w:cs="Times New Roman"/>
                <w:color w:val="auto"/>
                <w:kern w:val="0"/>
                <w:sz w:val="24"/>
                <w:szCs w:val="24"/>
              </w:rPr>
              <w:t>，本项目的建设符合“三线一单”的要求。</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与《关于实施“三线一单”生态环境分区管控的意见》（晋政发[2020]26号）符合性分析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2020年12月31日，山西省人民政府印发了《山西省“三线一单”生态环境分区管控实施方案》（晋政发[2020]26号）。本项目建设地点位于临汾市大宁县昕水镇，属于“晋政发[2020]26号”中的重点管控单元，与晋政发[2020]26号文件的符合性分析见表1-</w:t>
            </w:r>
            <w:r>
              <w:rPr>
                <w:rFonts w:hint="eastAsia" w:ascii="Times New Roman" w:hAnsi="Times New Roman" w:eastAsia="宋体" w:cs="Times New Roman"/>
                <w:color w:val="auto"/>
                <w:kern w:val="0"/>
                <w:sz w:val="24"/>
                <w:szCs w:val="24"/>
                <w:lang w:val="en-US" w:eastAsia="zh-CN"/>
              </w:rPr>
              <w:t>2</w:t>
            </w:r>
            <w:r>
              <w:rPr>
                <w:rFonts w:hint="eastAsia" w:ascii="Times New Roman" w:hAnsi="Times New Roman" w:eastAsia="宋体" w:cs="Times New Roman"/>
                <w:color w:val="auto"/>
                <w:kern w:val="0"/>
                <w:sz w:val="24"/>
                <w:szCs w:val="24"/>
              </w:rPr>
              <w:t>，山西省生态环境管控单元图见附图</w:t>
            </w:r>
            <w:r>
              <w:rPr>
                <w:rFonts w:hint="eastAsia" w:ascii="Times New Roman" w:hAnsi="Times New Roman" w:eastAsia="宋体" w:cs="Times New Roman"/>
                <w:color w:val="auto"/>
                <w:kern w:val="0"/>
                <w:sz w:val="24"/>
                <w:szCs w:val="24"/>
                <w:lang w:val="en-US" w:eastAsia="zh-CN"/>
              </w:rPr>
              <w:t>4</w:t>
            </w:r>
            <w:r>
              <w:rPr>
                <w:rFonts w:hint="eastAsia" w:ascii="Times New Roman" w:hAnsi="Times New Roman" w:eastAsia="宋体" w:cs="Times New Roman"/>
                <w:color w:val="auto"/>
                <w:kern w:val="0"/>
                <w:sz w:val="24"/>
                <w:szCs w:val="24"/>
              </w:rPr>
              <w:t>。</w:t>
            </w:r>
          </w:p>
          <w:p>
            <w:pPr>
              <w:autoSpaceDE w:val="0"/>
              <w:autoSpaceDN w:val="0"/>
              <w:adjustRightInd w:val="0"/>
              <w:snapToGrid w:val="0"/>
              <w:spacing w:line="46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表1-</w:t>
            </w:r>
            <w:r>
              <w:rPr>
                <w:rFonts w:hint="eastAsia" w:ascii="Times New Roman" w:hAnsi="Times New Roman" w:eastAsia="宋体" w:cs="Times New Roman"/>
                <w:color w:val="auto"/>
                <w:sz w:val="24"/>
                <w:szCs w:val="24"/>
                <w:lang w:val="en-US" w:eastAsia="zh-CN"/>
              </w:rPr>
              <w:t>2</w:t>
            </w:r>
            <w:r>
              <w:rPr>
                <w:rFonts w:ascii="Times New Roman" w:hAnsi="Times New Roman" w:eastAsia="宋体" w:cs="Times New Roman"/>
                <w:color w:val="auto"/>
                <w:sz w:val="24"/>
                <w:szCs w:val="24"/>
              </w:rPr>
              <w:t xml:space="preserve">  项目与</w:t>
            </w:r>
            <w:bookmarkStart w:id="2" w:name="_Hlk76044413"/>
            <w:r>
              <w:rPr>
                <w:rFonts w:ascii="Times New Roman" w:hAnsi="Times New Roman" w:eastAsia="宋体" w:cs="Times New Roman"/>
                <w:color w:val="auto"/>
                <w:sz w:val="24"/>
                <w:szCs w:val="24"/>
              </w:rPr>
              <w:t>晋政发[2020]26号</w:t>
            </w:r>
            <w:bookmarkEnd w:id="2"/>
            <w:r>
              <w:rPr>
                <w:rFonts w:ascii="Times New Roman" w:hAnsi="Times New Roman" w:eastAsia="宋体" w:cs="Times New Roman"/>
                <w:color w:val="auto"/>
                <w:sz w:val="24"/>
                <w:szCs w:val="24"/>
              </w:rPr>
              <w:t>的符合性分析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4816"/>
              <w:gridCol w:w="1533"/>
              <w:gridCol w:w="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adjustRightInd w:val="0"/>
                    <w:snapToGrid w:val="0"/>
                    <w:spacing w:line="240" w:lineRule="exact"/>
                    <w:jc w:val="center"/>
                    <w:rPr>
                      <w:rFonts w:ascii="Times New Roman" w:hAnsi="Times New Roman" w:eastAsia="宋体" w:cs="Times New Roman"/>
                      <w:color w:val="auto"/>
                      <w:szCs w:val="21"/>
                    </w:rPr>
                  </w:pPr>
                  <w:bookmarkStart w:id="3" w:name="_Hlk76044444"/>
                  <w:r>
                    <w:rPr>
                      <w:rFonts w:ascii="Times New Roman" w:hAnsi="Times New Roman" w:eastAsia="宋体" w:cs="Times New Roman"/>
                      <w:color w:val="auto"/>
                      <w:szCs w:val="21"/>
                    </w:rPr>
                    <w:t>管控单元</w:t>
                  </w:r>
                </w:p>
              </w:tc>
              <w:tc>
                <w:tcPr>
                  <w:tcW w:w="3169"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1009"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409"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重点管控单元</w:t>
                  </w:r>
                </w:p>
              </w:tc>
              <w:tc>
                <w:tcPr>
                  <w:tcW w:w="3169" w:type="pct"/>
                  <w:vAlign w:val="center"/>
                </w:tcPr>
                <w:p>
                  <w:pPr>
                    <w:adjustRightInd w:val="0"/>
                    <w:snapToGrid w:val="0"/>
                    <w:spacing w:line="240" w:lineRule="exact"/>
                    <w:rPr>
                      <w:rFonts w:ascii="Times New Roman" w:hAnsi="Times New Roman" w:eastAsia="宋体" w:cs="Times New Roman"/>
                      <w:color w:val="auto"/>
                      <w:szCs w:val="21"/>
                    </w:rPr>
                  </w:pPr>
                  <w:r>
                    <w:rPr>
                      <w:rFonts w:hint="eastAsia" w:ascii="Times New Roman" w:hAnsi="Times New Roman" w:eastAsia="宋体" w:cs="Times New Roman"/>
                      <w:color w:val="auto"/>
                      <w:szCs w:val="21"/>
                    </w:rPr>
                    <w:t>依法禁止或限制大规模、高强度的工业和城镇开发建设，</w:t>
                  </w:r>
                  <w:r>
                    <w:rPr>
                      <w:rFonts w:ascii="Times New Roman" w:hAnsi="Times New Roman" w:eastAsia="宋体" w:cs="Times New Roman"/>
                      <w:color w:val="auto"/>
                      <w:szCs w:val="21"/>
                    </w:rPr>
                    <w:t>在功能受损的优先保护单元优先开展生态保护修复活</w:t>
                  </w:r>
                  <w:r>
                    <w:rPr>
                      <w:rFonts w:hint="eastAsia" w:ascii="Times New Roman" w:hAnsi="Times New Roman" w:eastAsia="宋体" w:cs="Times New Roman"/>
                      <w:color w:val="auto"/>
                      <w:szCs w:val="21"/>
                    </w:rPr>
                    <w:t>动，</w:t>
                  </w:r>
                  <w:r>
                    <w:rPr>
                      <w:rFonts w:ascii="Times New Roman" w:hAnsi="Times New Roman" w:eastAsia="宋体" w:cs="Times New Roman"/>
                      <w:color w:val="auto"/>
                      <w:szCs w:val="21"/>
                    </w:rPr>
                    <w:t>恢复生态系统服务功能。加强太行山、吕梁山和沿黄水土流失</w:t>
                  </w:r>
                  <w:r>
                    <w:rPr>
                      <w:rFonts w:hint="eastAsia" w:ascii="Times New Roman" w:hAnsi="Times New Roman" w:eastAsia="宋体" w:cs="Times New Roman"/>
                      <w:color w:val="auto"/>
                      <w:szCs w:val="21"/>
                    </w:rPr>
                    <w:t>生态脆弱区域生态保护红线和重要生态空间的保护，</w:t>
                  </w:r>
                  <w:r>
                    <w:rPr>
                      <w:rFonts w:ascii="Times New Roman" w:hAnsi="Times New Roman" w:eastAsia="宋体" w:cs="Times New Roman"/>
                      <w:color w:val="auto"/>
                      <w:szCs w:val="21"/>
                    </w:rPr>
                    <w:t>依法禁止或</w:t>
                  </w:r>
                  <w:r>
                    <w:rPr>
                      <w:rFonts w:hint="eastAsia" w:ascii="Times New Roman" w:hAnsi="Times New Roman" w:eastAsia="宋体" w:cs="Times New Roman"/>
                      <w:color w:val="auto"/>
                      <w:szCs w:val="21"/>
                    </w:rPr>
                    <w:t>限制大规模开发，</w:t>
                  </w:r>
                  <w:r>
                    <w:rPr>
                      <w:rFonts w:ascii="Times New Roman" w:hAnsi="Times New Roman" w:eastAsia="宋体" w:cs="Times New Roman"/>
                      <w:color w:val="auto"/>
                      <w:szCs w:val="21"/>
                    </w:rPr>
                    <w:t>严格矿山开采等产业准入</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加强矿区的生态治理</w:t>
                  </w:r>
                  <w:r>
                    <w:rPr>
                      <w:rFonts w:hint="eastAsia" w:ascii="Times New Roman" w:hAnsi="Times New Roman" w:eastAsia="宋体" w:cs="Times New Roman"/>
                      <w:color w:val="auto"/>
                      <w:szCs w:val="21"/>
                    </w:rPr>
                    <w:t>与修复，</w:t>
                  </w:r>
                  <w:r>
                    <w:rPr>
                      <w:rFonts w:ascii="Times New Roman" w:hAnsi="Times New Roman" w:eastAsia="宋体" w:cs="Times New Roman"/>
                      <w:color w:val="auto"/>
                      <w:szCs w:val="21"/>
                    </w:rPr>
                    <w:t>提高水源涵养能力</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保护森林生态系统</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有效减少泥沙入</w:t>
                  </w:r>
                  <w:r>
                    <w:rPr>
                      <w:rFonts w:hint="eastAsia" w:ascii="Times New Roman" w:hAnsi="Times New Roman" w:eastAsia="宋体" w:cs="Times New Roman"/>
                      <w:color w:val="auto"/>
                      <w:szCs w:val="21"/>
                    </w:rPr>
                    <w:t>河。在汾河、桑干河、大清河、滹沱河、漳河、沁河和涑水河等河流谷地，</w:t>
                  </w:r>
                  <w:r>
                    <w:rPr>
                      <w:rFonts w:ascii="Times New Roman" w:hAnsi="Times New Roman" w:eastAsia="宋体" w:cs="Times New Roman"/>
                      <w:color w:val="auto"/>
                      <w:szCs w:val="21"/>
                    </w:rPr>
                    <w:t>晋阳湖、漳泽湖、云竹湖、盐湖、伍姓湖等“五湖”生态保护与</w:t>
                  </w:r>
                  <w:r>
                    <w:rPr>
                      <w:rFonts w:hint="eastAsia" w:ascii="Times New Roman" w:hAnsi="Times New Roman" w:eastAsia="宋体" w:cs="Times New Roman"/>
                      <w:color w:val="auto"/>
                      <w:szCs w:val="21"/>
                    </w:rPr>
                    <w:t>修复区域，“黄河、长城、太行”旅游产业布局区以及人居环境敏感区，</w:t>
                  </w:r>
                  <w:r>
                    <w:rPr>
                      <w:rFonts w:ascii="Times New Roman" w:hAnsi="Times New Roman" w:eastAsia="宋体" w:cs="Times New Roman"/>
                      <w:color w:val="auto"/>
                      <w:szCs w:val="21"/>
                    </w:rPr>
                    <w:t>严控重污染行业产能规模</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推进产业布局与生态空间协调发</w:t>
                  </w:r>
                  <w:r>
                    <w:rPr>
                      <w:rFonts w:hint="eastAsia" w:ascii="Times New Roman" w:hAnsi="Times New Roman" w:eastAsia="宋体" w:cs="Times New Roman"/>
                      <w:color w:val="auto"/>
                      <w:szCs w:val="21"/>
                    </w:rPr>
                    <w:t>展。</w:t>
                  </w:r>
                </w:p>
              </w:tc>
              <w:tc>
                <w:tcPr>
                  <w:tcW w:w="1009"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本项目废气、废水、噪声、固废均采取了合理的处置措施，污染物能做到达标排放</w:t>
                  </w:r>
                  <w:r>
                    <w:rPr>
                      <w:rFonts w:hint="eastAsia" w:ascii="Times New Roman" w:hAnsi="Times New Roman" w:eastAsia="宋体" w:cs="Times New Roman"/>
                      <w:color w:val="auto"/>
                      <w:szCs w:val="21"/>
                    </w:rPr>
                    <w:t>不属于</w:t>
                  </w:r>
                  <w:r>
                    <w:rPr>
                      <w:rFonts w:ascii="Times New Roman" w:hAnsi="Times New Roman" w:eastAsia="宋体" w:cs="Times New Roman"/>
                      <w:color w:val="auto"/>
                      <w:szCs w:val="21"/>
                    </w:rPr>
                    <w:t>两高</w:t>
                  </w:r>
                  <w:r>
                    <w:rPr>
                      <w:rFonts w:hint="eastAsia" w:ascii="Times New Roman" w:hAnsi="Times New Roman" w:eastAsia="宋体" w:cs="Times New Roman"/>
                      <w:color w:val="auto"/>
                      <w:szCs w:val="21"/>
                    </w:rPr>
                    <w:t>及重污染行业</w:t>
                  </w:r>
                  <w:r>
                    <w:rPr>
                      <w:rFonts w:ascii="Times New Roman" w:hAnsi="Times New Roman" w:eastAsia="宋体" w:cs="Times New Roman"/>
                      <w:color w:val="auto"/>
                      <w:szCs w:val="21"/>
                    </w:rPr>
                    <w:t>。</w:t>
                  </w:r>
                </w:p>
              </w:tc>
              <w:tc>
                <w:tcPr>
                  <w:tcW w:w="409" w:type="pct"/>
                  <w:vAlign w:val="center"/>
                </w:tcPr>
                <w:p>
                  <w:pPr>
                    <w:adjustRightInd w:val="0"/>
                    <w:snapToGrid w:val="0"/>
                    <w:spacing w:line="24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bookmarkEnd w:id="3"/>
          </w:tbl>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与《临汾市“三线一单”生态环境分区管控实施方案》（长政发[2021]21号）符合性分析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2021年6月30日，临汾市人民政府下发了关于印发《临汾市“三线一单”生态环境分区管控实施方案》的通知（临政发〔2021〕10号），要求“实施生态保护红线、环境质量底线、资源利用上线和生态环境准入清单（以下简称‘三线一单’）生态环境分区管控”。</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本项目位于山西省临汾市大宁县</w:t>
            </w:r>
            <w:r>
              <w:rPr>
                <w:rFonts w:hint="eastAsia" w:ascii="Times New Roman" w:hAnsi="Times New Roman" w:eastAsia="宋体" w:cs="Times New Roman"/>
                <w:color w:val="auto"/>
                <w:kern w:val="0"/>
                <w:sz w:val="24"/>
                <w:szCs w:val="24"/>
                <w:lang w:val="en-US" w:eastAsia="zh-CN"/>
              </w:rPr>
              <w:t>曲娥</w:t>
            </w:r>
            <w:r>
              <w:rPr>
                <w:rFonts w:hint="eastAsia" w:ascii="Times New Roman" w:hAnsi="Times New Roman" w:eastAsia="宋体" w:cs="Times New Roman"/>
                <w:color w:val="auto"/>
                <w:kern w:val="0"/>
                <w:sz w:val="24"/>
                <w:szCs w:val="24"/>
              </w:rPr>
              <w:t>镇，属于重点管控单元，其生态环境准入清单为：进一步优化空间布局，加强污染物排放控制和环境风险防控，不断提升资源能源利用效率，解决生态环境质量不达标、生态环境风险高等问题，实现减污降碳协同效应。临汾市生态环境管控单元图见附图</w:t>
            </w:r>
            <w:r>
              <w:rPr>
                <w:rFonts w:hint="eastAsia" w:ascii="Times New Roman" w:hAnsi="Times New Roman" w:eastAsia="宋体" w:cs="Times New Roman"/>
                <w:color w:val="auto"/>
                <w:kern w:val="0"/>
                <w:sz w:val="24"/>
                <w:szCs w:val="24"/>
                <w:lang w:val="en-US" w:eastAsia="zh-CN"/>
              </w:rPr>
              <w:t>5</w:t>
            </w:r>
            <w:r>
              <w:rPr>
                <w:rFonts w:hint="eastAsia" w:ascii="Times New Roman" w:hAnsi="Times New Roman" w:eastAsia="宋体" w:cs="Times New Roman"/>
                <w:color w:val="auto"/>
                <w:kern w:val="0"/>
                <w:sz w:val="24"/>
                <w:szCs w:val="24"/>
              </w:rPr>
              <w:t>。具体如下：</w:t>
            </w:r>
          </w:p>
          <w:p>
            <w:pPr>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表1-</w:t>
            </w:r>
            <w:r>
              <w:rPr>
                <w:rFonts w:hint="eastAsia" w:ascii="Times New Roman" w:hAnsi="Times New Roman" w:eastAsia="宋体" w:cs="Times New Roman"/>
                <w:color w:val="auto"/>
                <w:sz w:val="24"/>
                <w:szCs w:val="32"/>
                <w:lang w:val="en-US" w:eastAsia="zh-CN"/>
              </w:rPr>
              <w:t>3</w:t>
            </w:r>
            <w:r>
              <w:rPr>
                <w:rFonts w:ascii="Times New Roman" w:hAnsi="Times New Roman" w:eastAsia="宋体" w:cs="Times New Roman"/>
                <w:color w:val="auto"/>
                <w:sz w:val="24"/>
                <w:szCs w:val="32"/>
              </w:rPr>
              <w:t xml:space="preserve"> 本项目与“</w:t>
            </w:r>
            <w:r>
              <w:rPr>
                <w:rFonts w:hint="eastAsia" w:ascii="Times New Roman" w:hAnsi="Times New Roman" w:eastAsia="宋体" w:cs="Times New Roman"/>
                <w:color w:val="auto"/>
                <w:sz w:val="24"/>
                <w:szCs w:val="32"/>
              </w:rPr>
              <w:t>临汾</w:t>
            </w:r>
            <w:r>
              <w:rPr>
                <w:rFonts w:ascii="Times New Roman" w:hAnsi="Times New Roman" w:eastAsia="宋体" w:cs="Times New Roman"/>
                <w:color w:val="auto"/>
                <w:sz w:val="24"/>
                <w:szCs w:val="32"/>
              </w:rPr>
              <w:t>市生态环境总体准入管控要求”对照表</w:t>
            </w:r>
          </w:p>
          <w:tbl>
            <w:tblPr>
              <w:tblStyle w:val="26"/>
              <w:tblW w:w="7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395"/>
              <w:gridCol w:w="4526"/>
              <w:gridCol w:w="1429"/>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736" w:type="dxa"/>
                  <w:gridSpan w:val="2"/>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管控类别</w:t>
                  </w:r>
                </w:p>
              </w:tc>
              <w:tc>
                <w:tcPr>
                  <w:tcW w:w="4526"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管控要求</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本项目具体情况</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gridSpan w:val="2"/>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空间布局约束</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1、遏制“两高”项目盲目扩张。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pPr>
                    <w:pStyle w:val="6"/>
                    <w:ind w:firstLine="0" w:firstLineChars="0"/>
                    <w:rPr>
                      <w:color w:val="auto"/>
                    </w:rPr>
                  </w:pPr>
                  <w:r>
                    <w:rPr>
                      <w:color w:val="auto"/>
                    </w:rPr>
                    <w:t>2、新建“两高”项目应按照《关于加强重点行业建设项目区域削减措施监督管理的通知》要求，依据区域环境质量改善目标,制定配套区域污染物削减方案，采取有效的污染物区域削减措施,腾出足够的环境容量。</w:t>
                  </w:r>
                </w:p>
                <w:p>
                  <w:pPr>
                    <w:pStyle w:val="6"/>
                    <w:ind w:firstLine="0" w:firstLineChars="0"/>
                    <w:rPr>
                      <w:color w:val="auto"/>
                    </w:rPr>
                  </w:pPr>
                  <w:r>
                    <w:rPr>
                      <w:color w:val="auto"/>
                    </w:rPr>
                    <w:t>3、新建、扩建“两高”项目应采用先进适用的工艺技术和装备，单位产品物耗、能耗、水耗等达到清洁生产先进水平，依法制定并严格落实防治土壤与地下水污染的措施。</w:t>
                  </w:r>
                </w:p>
                <w:p>
                  <w:pPr>
                    <w:pStyle w:val="6"/>
                    <w:ind w:firstLine="0" w:firstLineChars="0"/>
                    <w:rPr>
                      <w:color w:val="auto"/>
                    </w:rPr>
                  </w:pPr>
                  <w:r>
                    <w:rPr>
                      <w:color w:val="auto"/>
                    </w:rPr>
                    <w:t>4、优化焦化钢铁企业布局。汾河谷地平川区域焦化企业按照“退城入园、退川入谷”的原则，钢铁企业按照“入园入区，集聚发展”的要求，实施关小上大、转型升级、布局调整。</w:t>
                  </w:r>
                </w:p>
                <w:p>
                  <w:pPr>
                    <w:pStyle w:val="6"/>
                    <w:ind w:firstLine="0" w:firstLineChars="0"/>
                    <w:rPr>
                      <w:color w:val="auto"/>
                    </w:rPr>
                  </w:pPr>
                  <w:r>
                    <w:rPr>
                      <w:color w:val="auto"/>
                    </w:rPr>
                    <w:t>5、市区城市规划区155平方公里区域范围内禁止建设洗选煤企业；高铁、高速沿线两侧1公里范围内不得新建洗选煤企业。</w:t>
                  </w:r>
                </w:p>
                <w:p>
                  <w:pPr>
                    <w:pStyle w:val="6"/>
                    <w:ind w:firstLine="0" w:firstLineChars="0"/>
                    <w:rPr>
                      <w:color w:val="auto"/>
                    </w:rPr>
                  </w:pPr>
                  <w:r>
                    <w:rPr>
                      <w:color w:val="auto"/>
                    </w:rPr>
                    <w:t>6、对洗选煤企业项目建设审批手续不全的、违规占用基本农田、在自然保护区、风景名胜区、集中式饮用水水源保护区、泉域重点保护区、湿地公园、森林公园、山西省永久性生态公益林等依法划定需特别保护的环境敏感区范围内的项目予以取缔关闭。</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w:t>
                  </w:r>
                  <w:r>
                    <w:rPr>
                      <w:rFonts w:hint="eastAsia" w:ascii="Times New Roman" w:hAnsi="Times New Roman" w:eastAsia="宋体" w:cs="Times New Roman"/>
                      <w:color w:val="auto"/>
                      <w:kern w:val="0"/>
                      <w:szCs w:val="21"/>
                    </w:rPr>
                    <w:t>占地范围不涉及环境敏感区</w:t>
                  </w:r>
                  <w:r>
                    <w:rPr>
                      <w:rFonts w:ascii="Times New Roman" w:hAnsi="Times New Roman" w:eastAsia="宋体" w:cs="Times New Roman"/>
                      <w:color w:val="auto"/>
                      <w:kern w:val="0"/>
                      <w:szCs w:val="21"/>
                    </w:rPr>
                    <w:t>，不属于</w:t>
                  </w:r>
                  <w:r>
                    <w:rPr>
                      <w:rFonts w:hint="eastAsia" w:ascii="Times New Roman" w:hAnsi="Times New Roman" w:eastAsia="宋体" w:cs="Times New Roman"/>
                      <w:color w:val="auto"/>
                      <w:kern w:val="0"/>
                      <w:szCs w:val="21"/>
                    </w:rPr>
                    <w:t>“两高、焦化钢铁、洗选煤”行业范畴</w:t>
                  </w:r>
                  <w:r>
                    <w:rPr>
                      <w:rFonts w:ascii="Times New Roman" w:hAnsi="Times New Roman" w:eastAsia="宋体" w:cs="Times New Roman"/>
                      <w:color w:val="auto"/>
                      <w:kern w:val="0"/>
                      <w:szCs w:val="21"/>
                    </w:rPr>
                    <w:t>。</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gridSpan w:val="2"/>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污染物排放管控</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1、定期通报降尘量监测结果，降尘量最高值高于9吨/月·平方公里的市县要开展降尘专项整治。</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2、2021年10月底前，全面完成钢铁企业在产设备超低排放改造。</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3、焦化行业超低排放改造于2023年底前全部完成。</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4、年货运量150万吨以上工业企业公路运输的车辆要全部达到国五及以上标准，其中位于市区规划区的钢铁等企业，进出厂大宗物料2021年10月1日前要全部采用铁路或管道、管状带式输送机等清洁方式运输，公路运输采用国六排放标准及以上的汽车或新能源车辆。</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本项目采取严格大气环境防治措施，可有效减少污染物的排放</w:t>
                  </w:r>
                  <w:r>
                    <w:rPr>
                      <w:rFonts w:hint="eastAsia" w:ascii="Times New Roman" w:hAnsi="Times New Roman" w:eastAsia="宋体" w:cs="Times New Roman"/>
                      <w:color w:val="auto"/>
                      <w:kern w:val="0"/>
                      <w:szCs w:val="21"/>
                    </w:rPr>
                    <w:t>，无废水外排，污染物均可达标排放</w:t>
                  </w:r>
                  <w:r>
                    <w:rPr>
                      <w:rFonts w:ascii="Times New Roman" w:hAnsi="Times New Roman" w:eastAsia="宋体" w:cs="Times New Roman"/>
                      <w:color w:val="auto"/>
                      <w:kern w:val="0"/>
                      <w:szCs w:val="21"/>
                    </w:rPr>
                    <w:t>。</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gridSpan w:val="2"/>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环境风险防控</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1、项目防护距离应符合相关国家标准或规范要求。装置外部安全防护距离要符合《危险化学品生产、储存装置个人可接受风险标准和社会可接受风险标准》要求。</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2、在环境风险防控重点区域如居民集中区、医院和学校附近、重要水源涵养生态功能区等，以及因环境污染导致环境质量不能稳定达标的区域内，禁止新建或扩建可能引发环境风险的项目。</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3、加强汾河、沁河等流域及饮用水水源地水环境风险防控工作，确定重点水环境风险源清单，建立应急物资储备库及保障机制。</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w:t>
                  </w:r>
                  <w:r>
                    <w:rPr>
                      <w:rFonts w:hint="eastAsia" w:ascii="Times New Roman" w:hAnsi="Times New Roman" w:eastAsia="宋体" w:cs="Times New Roman"/>
                      <w:color w:val="auto"/>
                      <w:kern w:val="0"/>
                      <w:szCs w:val="21"/>
                    </w:rPr>
                    <w:t>无防护距离要求，一般</w:t>
                  </w:r>
                  <w:r>
                    <w:rPr>
                      <w:rFonts w:hint="eastAsia" w:ascii="Times New Roman" w:hAnsi="Times New Roman" w:eastAsia="宋体" w:cs="Times New Roman"/>
                      <w:color w:val="auto"/>
                      <w:szCs w:val="21"/>
                    </w:rPr>
                    <w:t>工业固体废物全部进行综合利用，危险废物暂存于危险废物暂存间，由有资质单位进行处置</w:t>
                  </w:r>
                  <w:r>
                    <w:rPr>
                      <w:rFonts w:ascii="Times New Roman" w:hAnsi="Times New Roman" w:eastAsia="宋体" w:cs="Times New Roman"/>
                      <w:color w:val="auto"/>
                      <w:kern w:val="0"/>
                      <w:szCs w:val="21"/>
                    </w:rPr>
                    <w:t>。</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 w:type="dxa"/>
                  <w:vMerge w:val="restart"/>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资源利用效率</w:t>
                  </w:r>
                </w:p>
              </w:tc>
              <w:tc>
                <w:tcPr>
                  <w:tcW w:w="3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水资源利用</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1、水资源利用上线严格落实“十四五”相关目标指标。</w:t>
                  </w:r>
                </w:p>
                <w:p>
                  <w:pPr>
                    <w:autoSpaceDE w:val="0"/>
                    <w:autoSpaceDN w:val="0"/>
                    <w:adjustRightInd w:val="0"/>
                    <w:snapToGrid w:val="0"/>
                    <w:rPr>
                      <w:rFonts w:ascii="Times New Roman" w:hAnsi="Times New Roman" w:eastAsia="宋体" w:cs="Times New Roman"/>
                      <w:color w:val="auto"/>
                      <w:szCs w:val="21"/>
                    </w:rPr>
                  </w:pPr>
                  <w:r>
                    <w:rPr>
                      <w:rFonts w:ascii="Times New Roman" w:hAnsi="Times New Roman" w:eastAsia="宋体" w:cs="Times New Roman"/>
                      <w:color w:val="auto"/>
                    </w:rPr>
                    <w:t>2、实施最严格水资源管控，加强岩溶泉域水资源的保护和管理。</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本项目用水量较小，</w:t>
                  </w:r>
                  <w:r>
                    <w:rPr>
                      <w:rFonts w:hint="eastAsia" w:ascii="Times New Roman" w:hAnsi="Times New Roman" w:eastAsia="宋体" w:cs="Times New Roman"/>
                      <w:color w:val="auto"/>
                      <w:kern w:val="0"/>
                      <w:szCs w:val="21"/>
                      <w:lang w:val="en-US" w:eastAsia="zh-CN"/>
                    </w:rPr>
                    <w:t>无生产废水产生，</w:t>
                  </w:r>
                  <w:r>
                    <w:rPr>
                      <w:rFonts w:ascii="Times New Roman" w:hAnsi="Times New Roman" w:eastAsia="宋体" w:cs="Times New Roman"/>
                      <w:color w:val="auto"/>
                      <w:kern w:val="0"/>
                      <w:szCs w:val="21"/>
                    </w:rPr>
                    <w:t>生活污水不外排</w:t>
                  </w:r>
                  <w:r>
                    <w:rPr>
                      <w:rFonts w:hint="eastAsia" w:ascii="Times New Roman" w:hAnsi="Times New Roman" w:eastAsia="宋体" w:cs="Times New Roman"/>
                      <w:color w:val="auto"/>
                      <w:kern w:val="0"/>
                      <w:szCs w:val="21"/>
                    </w:rPr>
                    <w:t>。</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 w:type="dxa"/>
                  <w:vMerge w:val="continue"/>
                  <w:vAlign w:val="center"/>
                </w:tcPr>
                <w:p>
                  <w:pPr>
                    <w:autoSpaceDE w:val="0"/>
                    <w:autoSpaceDN w:val="0"/>
                    <w:adjustRightInd w:val="0"/>
                    <w:snapToGrid w:val="0"/>
                    <w:jc w:val="center"/>
                    <w:rPr>
                      <w:rFonts w:ascii="Times New Roman" w:hAnsi="Times New Roman" w:eastAsia="宋体" w:cs="Times New Roman"/>
                      <w:color w:val="auto"/>
                      <w:kern w:val="0"/>
                      <w:szCs w:val="21"/>
                    </w:rPr>
                  </w:pPr>
                </w:p>
              </w:tc>
              <w:tc>
                <w:tcPr>
                  <w:tcW w:w="3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能源利用</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hint="eastAsia" w:ascii="Times New Roman" w:hAnsi="Times New Roman" w:eastAsia="宋体" w:cs="Times New Roman"/>
                      <w:color w:val="auto"/>
                    </w:rPr>
                    <w:t>1、煤矿企业主要污染物达标排放率达到100%。</w:t>
                  </w:r>
                </w:p>
                <w:p>
                  <w:pPr>
                    <w:autoSpaceDE w:val="0"/>
                    <w:autoSpaceDN w:val="0"/>
                    <w:adjustRightInd w:val="0"/>
                    <w:snapToGrid w:val="0"/>
                    <w:rPr>
                      <w:rFonts w:ascii="Times New Roman" w:hAnsi="Times New Roman" w:eastAsia="宋体" w:cs="Times New Roman"/>
                      <w:color w:val="auto"/>
                      <w:szCs w:val="21"/>
                    </w:rPr>
                  </w:pPr>
                  <w:r>
                    <w:rPr>
                      <w:rFonts w:hint="eastAsia" w:ascii="Times New Roman" w:hAnsi="Times New Roman" w:eastAsia="宋体" w:cs="Times New Roman"/>
                      <w:color w:val="auto"/>
                    </w:rPr>
                    <w:t>2、保持煤炭消费总量负增长，积极推进碳达峰碳中和目标愿景。</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本项目不涉及</w:t>
                  </w:r>
                  <w:r>
                    <w:rPr>
                      <w:rFonts w:hint="eastAsia" w:ascii="Times New Roman" w:hAnsi="Times New Roman" w:eastAsia="宋体" w:cs="Times New Roman"/>
                      <w:color w:val="auto"/>
                      <w:kern w:val="0"/>
                      <w:szCs w:val="21"/>
                    </w:rPr>
                    <w:t>。</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1" w:type="dxa"/>
                  <w:vMerge w:val="continue"/>
                  <w:vAlign w:val="center"/>
                </w:tcPr>
                <w:p>
                  <w:pPr>
                    <w:autoSpaceDE w:val="0"/>
                    <w:autoSpaceDN w:val="0"/>
                    <w:adjustRightInd w:val="0"/>
                    <w:snapToGrid w:val="0"/>
                    <w:jc w:val="center"/>
                    <w:rPr>
                      <w:rFonts w:ascii="Times New Roman" w:hAnsi="Times New Roman" w:eastAsia="宋体" w:cs="Times New Roman"/>
                      <w:color w:val="auto"/>
                      <w:kern w:val="0"/>
                      <w:szCs w:val="21"/>
                    </w:rPr>
                  </w:pPr>
                </w:p>
              </w:tc>
              <w:tc>
                <w:tcPr>
                  <w:tcW w:w="3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土地资源利用</w:t>
                  </w:r>
                </w:p>
              </w:tc>
              <w:tc>
                <w:tcPr>
                  <w:tcW w:w="4526" w:type="dxa"/>
                  <w:vAlign w:val="center"/>
                </w:tcPr>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1、土地资源利用上线严格落实国土空间规划和“十四五”相关目标指标。</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2、严守耕地红线，坚决遏制耕地“非农化”，防止“非粮化”。</w:t>
                  </w:r>
                </w:p>
                <w:p>
                  <w:pPr>
                    <w:autoSpaceDE w:val="0"/>
                    <w:autoSpaceDN w:val="0"/>
                    <w:adjustRightInd w:val="0"/>
                    <w:snapToGrid w:val="0"/>
                    <w:rPr>
                      <w:rFonts w:ascii="Times New Roman" w:hAnsi="Times New Roman" w:eastAsia="宋体" w:cs="Times New Roman"/>
                      <w:color w:val="auto"/>
                    </w:rPr>
                  </w:pPr>
                  <w:r>
                    <w:rPr>
                      <w:rFonts w:ascii="Times New Roman" w:hAnsi="Times New Roman" w:eastAsia="宋体" w:cs="Times New Roman"/>
                      <w:color w:val="auto"/>
                    </w:rPr>
                    <w:t>3、以黄河干流沿岸县(市、区)为重点，全面实行在墀面修建软捻田、螈面缓坡地建果园、陡坡耕地全面退耕造林并实行封禁、沟底打坝造地建设高标准基本农田的水土保持治理模式，促进黄河流域生态保护和高质量发展。</w:t>
                  </w:r>
                </w:p>
                <w:p>
                  <w:pPr>
                    <w:autoSpaceDE w:val="0"/>
                    <w:autoSpaceDN w:val="0"/>
                    <w:adjustRightInd w:val="0"/>
                    <w:snapToGrid w:val="0"/>
                    <w:rPr>
                      <w:rFonts w:ascii="Times New Roman" w:hAnsi="Times New Roman" w:eastAsia="宋体" w:cs="Times New Roman"/>
                      <w:color w:val="auto"/>
                      <w:szCs w:val="21"/>
                    </w:rPr>
                  </w:pPr>
                  <w:r>
                    <w:rPr>
                      <w:rFonts w:ascii="Times New Roman" w:hAnsi="Times New Roman" w:eastAsia="宋体" w:cs="Times New Roman"/>
                      <w:color w:val="auto"/>
                    </w:rPr>
                    <w:t>4、开展黄河流域历史遗留矿山生态修复项目，推动矿山生态恢复治理示范工程建设。</w:t>
                  </w:r>
                </w:p>
              </w:tc>
              <w:tc>
                <w:tcPr>
                  <w:tcW w:w="1429"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rPr>
                    <w:t>本项目</w:t>
                  </w:r>
                  <w:r>
                    <w:rPr>
                      <w:rFonts w:hint="eastAsia" w:ascii="Times New Roman" w:hAnsi="Times New Roman" w:eastAsia="宋体" w:cs="Times New Roman"/>
                      <w:color w:val="auto"/>
                      <w:kern w:val="0"/>
                      <w:szCs w:val="21"/>
                      <w:lang w:val="en-US" w:eastAsia="zh-CN"/>
                    </w:rPr>
                    <w:t>距</w:t>
                  </w:r>
                  <w:r>
                    <w:rPr>
                      <w:rFonts w:hint="eastAsia" w:ascii="Times New Roman" w:hAnsi="Times New Roman" w:eastAsia="宋体" w:cs="Times New Roman"/>
                      <w:color w:val="auto"/>
                      <w:kern w:val="0"/>
                      <w:szCs w:val="21"/>
                    </w:rPr>
                    <w:t>昕水河约0.1</w:t>
                  </w:r>
                  <w:r>
                    <w:rPr>
                      <w:rFonts w:hint="eastAsia" w:ascii="Times New Roman" w:hAnsi="Times New Roman" w:eastAsia="宋体" w:cs="Times New Roman"/>
                      <w:color w:val="auto"/>
                      <w:kern w:val="0"/>
                      <w:szCs w:val="21"/>
                      <w:lang w:val="en-US" w:eastAsia="zh-CN"/>
                    </w:rPr>
                    <w:t>0</w:t>
                  </w:r>
                  <w:r>
                    <w:rPr>
                      <w:rFonts w:hint="eastAsia" w:ascii="Times New Roman" w:hAnsi="Times New Roman" w:eastAsia="宋体" w:cs="Times New Roman"/>
                      <w:color w:val="auto"/>
                      <w:kern w:val="0"/>
                      <w:szCs w:val="21"/>
                    </w:rPr>
                    <w:t>km</w:t>
                  </w:r>
                  <w:r>
                    <w:rPr>
                      <w:rFonts w:hint="eastAsia" w:ascii="Times New Roman" w:hAnsi="Times New Roman" w:eastAsia="宋体" w:cs="Times New Roman"/>
                      <w:color w:val="auto"/>
                      <w:kern w:val="0"/>
                      <w:szCs w:val="21"/>
                      <w:lang w:eastAsia="zh-CN"/>
                    </w:rPr>
                    <w:t>，</w:t>
                  </w:r>
                  <w:r>
                    <w:rPr>
                      <w:rFonts w:hint="eastAsia" w:ascii="Times New Roman" w:hAnsi="Times New Roman" w:eastAsia="宋体" w:cs="Times New Roman"/>
                      <w:color w:val="auto"/>
                      <w:kern w:val="0"/>
                      <w:szCs w:val="21"/>
                      <w:lang w:val="en-US" w:eastAsia="zh-CN"/>
                    </w:rPr>
                    <w:t>不在其保护红线范围内，且利用建设用地进行</w:t>
                  </w:r>
                  <w:r>
                    <w:rPr>
                      <w:rFonts w:hint="eastAsia" w:ascii="Times New Roman" w:hAnsi="Times New Roman" w:eastAsia="宋体" w:cs="Times New Roman"/>
                      <w:color w:val="auto"/>
                      <w:kern w:val="0"/>
                      <w:szCs w:val="21"/>
                    </w:rPr>
                    <w:t>建设，不涉及耕地。</w:t>
                  </w:r>
                </w:p>
              </w:tc>
              <w:tc>
                <w:tcPr>
                  <w:tcW w:w="895" w:type="dxa"/>
                  <w:vAlign w:val="center"/>
                </w:tcPr>
                <w:p>
                  <w:pPr>
                    <w:autoSpaceDE w:val="0"/>
                    <w:autoSpaceDN w:val="0"/>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符合</w:t>
                  </w:r>
                </w:p>
              </w:tc>
            </w:tr>
          </w:tbl>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、与《山西省主体功能区规划》</w:t>
            </w:r>
            <w:r>
              <w:rPr>
                <w:rFonts w:hint="eastAsia" w:ascii="Times New Roman" w:hAnsi="Times New Roman" w:eastAsia="宋体" w:cs="Times New Roman"/>
                <w:color w:val="auto"/>
                <w:kern w:val="0"/>
                <w:sz w:val="24"/>
                <w:szCs w:val="24"/>
              </w:rPr>
              <w:t>（晋政发[2014]9号）</w:t>
            </w:r>
            <w:r>
              <w:rPr>
                <w:rFonts w:ascii="Times New Roman" w:hAnsi="Times New Roman" w:eastAsia="宋体" w:cs="Times New Roman"/>
                <w:color w:val="auto"/>
                <w:kern w:val="0"/>
                <w:sz w:val="24"/>
                <w:szCs w:val="24"/>
              </w:rPr>
              <w:t>的符合性分析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根据《山西省主体功能区规划》，项目所处区域位于大宁县，属于国家级限制开发区域中的“重点生态功能区”。</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功能定位：黄河中游干流水土流失控制的核心区域，黄河中下游生态安全保障的关键区域，黄土高原水土流失治理的重点区域。</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发展方向：开展小流域综合治理，促进生态系统恢复；加强基本农田保护，发展旱作节水农业；建立优质农产品生产与加工基地；在重点规划和建设资源环境承载能力相对较强的县城所在镇和部分重点镇（乡）实施点状开发；构建生态廊道；严格控制开发强度；最大限度地维护生态系统的稳定性和完整性。</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本项目为</w:t>
            </w:r>
            <w:r>
              <w:rPr>
                <w:rFonts w:hint="eastAsia" w:ascii="Times New Roman" w:hAnsi="Times New Roman" w:eastAsia="宋体" w:cs="Times New Roman"/>
                <w:color w:val="auto"/>
                <w:kern w:val="0"/>
                <w:sz w:val="24"/>
                <w:szCs w:val="24"/>
                <w:lang w:val="en-US" w:eastAsia="zh-CN"/>
              </w:rPr>
              <w:t>防水卷材</w:t>
            </w:r>
            <w:r>
              <w:rPr>
                <w:rFonts w:hint="eastAsia" w:ascii="Times New Roman" w:hAnsi="Times New Roman" w:eastAsia="宋体" w:cs="Times New Roman"/>
                <w:color w:val="auto"/>
                <w:kern w:val="0"/>
                <w:sz w:val="24"/>
                <w:szCs w:val="24"/>
              </w:rPr>
              <w:t>生产建设项目</w:t>
            </w:r>
            <w:r>
              <w:rPr>
                <w:rFonts w:ascii="Times New Roman" w:hAnsi="Times New Roman" w:eastAsia="宋体" w:cs="Times New Roman"/>
                <w:color w:val="auto"/>
                <w:kern w:val="0"/>
                <w:sz w:val="24"/>
                <w:szCs w:val="24"/>
              </w:rPr>
              <w:t>，各污染源粉尘通过采取严格的防治措施，污染物可以达标排放；项目运营期无生产废水、生活污水外排；沉淀池、地面等均进行硬化防渗可以避免对地下水造成污染；项目产生的固废可实现综合利用和合理处置；不会对当地生态和水环境产生不利影响，不违背山西省主体功能区规划要求。本项目与《山西省主体功能区划》位置关系见附图</w:t>
            </w:r>
            <w:r>
              <w:rPr>
                <w:rFonts w:hint="eastAsia" w:ascii="Times New Roman" w:hAnsi="Times New Roman" w:eastAsia="宋体" w:cs="Times New Roman"/>
                <w:color w:val="auto"/>
                <w:kern w:val="0"/>
                <w:sz w:val="24"/>
                <w:szCs w:val="24"/>
                <w:lang w:val="en-US" w:eastAsia="zh-CN"/>
              </w:rPr>
              <w:t>6</w:t>
            </w:r>
            <w:r>
              <w:rPr>
                <w:rFonts w:ascii="Times New Roman" w:hAnsi="Times New Roman" w:eastAsia="宋体" w:cs="Times New Roman"/>
                <w:color w:val="auto"/>
                <w:kern w:val="0"/>
                <w:sz w:val="24"/>
                <w:szCs w:val="24"/>
              </w:rPr>
              <w:t>。</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、与《</w:t>
            </w:r>
            <w:bookmarkStart w:id="4" w:name="_Hlk100953767"/>
            <w:r>
              <w:rPr>
                <w:rFonts w:hint="eastAsia" w:ascii="Times New Roman" w:hAnsi="Times New Roman" w:eastAsia="宋体" w:cs="Times New Roman"/>
                <w:color w:val="auto"/>
                <w:kern w:val="0"/>
                <w:sz w:val="24"/>
                <w:szCs w:val="24"/>
              </w:rPr>
              <w:t>大宁</w:t>
            </w:r>
            <w:r>
              <w:rPr>
                <w:rFonts w:ascii="Times New Roman" w:hAnsi="Times New Roman" w:eastAsia="宋体" w:cs="Times New Roman"/>
                <w:color w:val="auto"/>
                <w:kern w:val="0"/>
                <w:sz w:val="24"/>
                <w:szCs w:val="24"/>
              </w:rPr>
              <w:t>县生态功能区划》</w:t>
            </w:r>
            <w:r>
              <w:rPr>
                <w:rFonts w:hint="eastAsia" w:ascii="Times New Roman" w:hAnsi="Times New Roman" w:eastAsia="宋体" w:cs="Times New Roman"/>
                <w:color w:val="auto"/>
                <w:kern w:val="0"/>
                <w:sz w:val="24"/>
                <w:szCs w:val="24"/>
              </w:rPr>
              <w:t>和</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大宁</w:t>
            </w:r>
            <w:r>
              <w:rPr>
                <w:rFonts w:ascii="Times New Roman" w:hAnsi="Times New Roman" w:eastAsia="宋体" w:cs="Times New Roman"/>
                <w:color w:val="auto"/>
                <w:kern w:val="0"/>
                <w:sz w:val="24"/>
                <w:szCs w:val="24"/>
              </w:rPr>
              <w:t>县生态</w:t>
            </w:r>
            <w:r>
              <w:rPr>
                <w:rFonts w:hint="eastAsia" w:ascii="Times New Roman" w:hAnsi="Times New Roman" w:eastAsia="宋体" w:cs="Times New Roman"/>
                <w:color w:val="auto"/>
                <w:kern w:val="0"/>
                <w:sz w:val="24"/>
                <w:szCs w:val="24"/>
              </w:rPr>
              <w:t>经济</w:t>
            </w:r>
            <w:r>
              <w:rPr>
                <w:rFonts w:ascii="Times New Roman" w:hAnsi="Times New Roman" w:eastAsia="宋体" w:cs="Times New Roman"/>
                <w:color w:val="auto"/>
                <w:kern w:val="0"/>
                <w:sz w:val="24"/>
                <w:szCs w:val="24"/>
              </w:rPr>
              <w:t>区划</w:t>
            </w:r>
            <w:bookmarkEnd w:id="4"/>
            <w:r>
              <w:rPr>
                <w:rFonts w:ascii="Times New Roman" w:hAnsi="Times New Roman" w:eastAsia="宋体" w:cs="Times New Roman"/>
                <w:color w:val="auto"/>
                <w:kern w:val="0"/>
                <w:sz w:val="24"/>
                <w:szCs w:val="24"/>
              </w:rPr>
              <w:t>》符合性分析</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根据《大宁县生态功能区划》，项目区生态功能区划属于“I-C徐家垛东、昕水河北山地水土保持与农产品提供生态功能小区”（相对位置见附图</w:t>
            </w:r>
            <w:r>
              <w:rPr>
                <w:rFonts w:hint="eastAsia" w:ascii="Times New Roman" w:hAnsi="Times New Roman" w:eastAsia="宋体" w:cs="Times New Roman"/>
                <w:color w:val="auto"/>
                <w:kern w:val="0"/>
                <w:sz w:val="24"/>
                <w:szCs w:val="24"/>
                <w:lang w:val="en-US" w:eastAsia="zh-CN"/>
              </w:rPr>
              <w:t>7</w:t>
            </w:r>
            <w:r>
              <w:rPr>
                <w:rFonts w:hint="eastAsia" w:ascii="Times New Roman" w:hAnsi="Times New Roman" w:eastAsia="宋体" w:cs="Times New Roman"/>
                <w:color w:val="auto"/>
                <w:kern w:val="0"/>
                <w:sz w:val="24"/>
                <w:szCs w:val="24"/>
              </w:rPr>
              <w:t>），根据《大宁县生态经济区划》，项目区生态经济区划属于</w:t>
            </w:r>
            <w:r>
              <w:rPr>
                <w:rFonts w:hint="eastAsia"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lang w:val="en-US" w:eastAsia="zh-CN"/>
              </w:rPr>
              <w:t>Ⅱ</w:t>
            </w:r>
            <w:r>
              <w:rPr>
                <w:rFonts w:hint="eastAsia" w:ascii="Times New Roman" w:hAnsi="Times New Roman" w:eastAsia="宋体" w:cs="Times New Roman"/>
                <w:color w:val="auto"/>
                <w:kern w:val="0"/>
                <w:sz w:val="24"/>
                <w:szCs w:val="24"/>
              </w:rPr>
              <w:t>C曲峨镇瓜果粮草畜生态经济区</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（相对位置见附图</w:t>
            </w:r>
            <w:r>
              <w:rPr>
                <w:rFonts w:hint="eastAsia" w:ascii="Times New Roman" w:hAnsi="Times New Roman" w:eastAsia="宋体" w:cs="Times New Roman"/>
                <w:color w:val="auto"/>
                <w:kern w:val="0"/>
                <w:sz w:val="24"/>
                <w:szCs w:val="24"/>
                <w:lang w:val="en-US" w:eastAsia="zh-CN"/>
              </w:rPr>
              <w:t>8</w:t>
            </w:r>
            <w:r>
              <w:rPr>
                <w:rFonts w:hint="eastAsia" w:ascii="Times New Roman" w:hAnsi="Times New Roman" w:eastAsia="宋体" w:cs="Times New Roman"/>
                <w:color w:val="auto"/>
                <w:kern w:val="0"/>
                <w:sz w:val="24"/>
                <w:szCs w:val="24"/>
              </w:rPr>
              <w:t>）。</w:t>
            </w:r>
          </w:p>
          <w:p>
            <w:pPr>
              <w:autoSpaceDE w:val="0"/>
              <w:autoSpaceDN w:val="0"/>
              <w:adjustRightInd w:val="0"/>
              <w:snapToGrid w:val="0"/>
              <w:spacing w:line="460" w:lineRule="exact"/>
              <w:ind w:firstLine="480" w:firstLineChars="200"/>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主要</w:t>
            </w:r>
            <w:r>
              <w:rPr>
                <w:rFonts w:hint="eastAsia" w:ascii="Times New Roman" w:hAnsi="Times New Roman" w:eastAsia="宋体" w:cs="Times New Roman"/>
                <w:color w:val="auto"/>
                <w:kern w:val="0"/>
                <w:sz w:val="24"/>
                <w:szCs w:val="24"/>
              </w:rPr>
              <w:t>保护措施及发展方向为：按照综合治理的原则，强化水土保持执法行为，制止各种破坏水土资源和植被的行为，加快退耕还林种草速度，防治水土流失；发展以旱作为主的生态农业。</w:t>
            </w:r>
          </w:p>
          <w:p>
            <w:pPr>
              <w:autoSpaceDE w:val="0"/>
              <w:autoSpaceDN w:val="0"/>
              <w:adjustRightInd w:val="0"/>
              <w:snapToGrid w:val="0"/>
              <w:spacing w:line="460" w:lineRule="exact"/>
              <w:ind w:firstLine="480" w:firstLineChars="200"/>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rPr>
              <w:t>主要</w:t>
            </w:r>
            <w:r>
              <w:rPr>
                <w:rFonts w:hint="eastAsia" w:ascii="Times New Roman" w:hAnsi="Times New Roman" w:eastAsia="宋体" w:cs="Times New Roman"/>
                <w:color w:val="auto"/>
                <w:kern w:val="0"/>
                <w:sz w:val="24"/>
                <w:szCs w:val="24"/>
                <w:lang w:val="en-US" w:eastAsia="zh-CN"/>
              </w:rPr>
              <w:t>生态环境保护要求</w:t>
            </w:r>
            <w:r>
              <w:rPr>
                <w:rFonts w:hint="eastAsia" w:ascii="Times New Roman" w:hAnsi="Times New Roman" w:eastAsia="宋体" w:cs="Times New Roman"/>
                <w:color w:val="auto"/>
                <w:kern w:val="0"/>
                <w:sz w:val="24"/>
                <w:szCs w:val="24"/>
              </w:rPr>
              <w:t>是：加大水土流失的治理力度，大力实施退耕还林工程，提高植被覆盖率；减少化肥、农药、农膜的使用，减轻农业面源污染；对生产、生活废弃物做到科学处理</w:t>
            </w:r>
            <w:r>
              <w:rPr>
                <w:rFonts w:hint="eastAsia" w:ascii="Times New Roman" w:hAnsi="Times New Roman" w:eastAsia="宋体" w:cs="Times New Roman"/>
                <w:color w:val="auto"/>
                <w:kern w:val="0"/>
                <w:sz w:val="24"/>
                <w:szCs w:val="24"/>
                <w:lang w:eastAsia="zh-CN"/>
              </w:rPr>
              <w:t>。</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主要生态建设目标：</w:t>
            </w:r>
            <w:r>
              <w:rPr>
                <w:rFonts w:hint="eastAsia" w:ascii="Times New Roman" w:hAnsi="Times New Roman" w:eastAsia="宋体" w:cs="Times New Roman"/>
                <w:color w:val="auto"/>
                <w:kern w:val="0"/>
                <w:sz w:val="24"/>
                <w:szCs w:val="24"/>
              </w:rPr>
              <w:t>强化水土保持执法行为，禁止乱砍乱伐，提高植被覆盖率，提高水土保持能力，营造良好的生态系统；发展以西瓜等旱作为主的生态农业；加大农业产业结构调整力度，着力构筑特色农业，建立特色农产品基地；因地制宜发展生态林、经济林、薪炭林或草坡。</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本项目</w:t>
            </w:r>
            <w:r>
              <w:rPr>
                <w:rFonts w:hint="eastAsia" w:ascii="Times New Roman" w:hAnsi="Times New Roman" w:eastAsia="宋体" w:cs="Times New Roman"/>
                <w:color w:val="auto"/>
                <w:kern w:val="0"/>
                <w:sz w:val="24"/>
                <w:szCs w:val="24"/>
              </w:rPr>
              <w:t>占用</w:t>
            </w:r>
            <w:r>
              <w:rPr>
                <w:rFonts w:hint="eastAsia" w:ascii="Times New Roman" w:hAnsi="Times New Roman" w:eastAsia="宋体" w:cs="Times New Roman"/>
                <w:color w:val="auto"/>
                <w:kern w:val="0"/>
                <w:sz w:val="24"/>
                <w:szCs w:val="24"/>
                <w:lang w:val="en-US" w:eastAsia="zh-CN"/>
              </w:rPr>
              <w:t>建设</w:t>
            </w:r>
            <w:r>
              <w:rPr>
                <w:rFonts w:hint="eastAsia" w:ascii="Times New Roman" w:hAnsi="Times New Roman" w:eastAsia="宋体" w:cs="Times New Roman"/>
                <w:color w:val="auto"/>
                <w:kern w:val="0"/>
                <w:sz w:val="24"/>
                <w:szCs w:val="24"/>
              </w:rPr>
              <w:t>用地进行建设，并且</w:t>
            </w:r>
            <w:r>
              <w:rPr>
                <w:rFonts w:ascii="Times New Roman" w:hAnsi="Times New Roman" w:eastAsia="宋体" w:cs="Times New Roman"/>
                <w:color w:val="auto"/>
                <w:kern w:val="0"/>
                <w:sz w:val="24"/>
                <w:szCs w:val="24"/>
              </w:rPr>
              <w:t>废气污染源采取了较为有效地控制措施，不会对当地生态环境造成不利影响；无生产、生活废水外排，并且各水池均采取了防渗处理，不会对水体环境造成不利影响；固体废物可得到综合利用和合理处置</w:t>
            </w:r>
            <w:r>
              <w:rPr>
                <w:rFonts w:hint="eastAsia" w:ascii="Times New Roman" w:hAnsi="Times New Roman" w:eastAsia="宋体" w:cs="Times New Roman"/>
                <w:color w:val="auto"/>
                <w:kern w:val="0"/>
                <w:sz w:val="24"/>
                <w:szCs w:val="24"/>
              </w:rPr>
              <w:t>。由此可见，本项目的建设符合大宁县生态经济区划和大宁县生态功能区划的要求。</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与大宁县水源地规划符合性</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①城镇集中供水水源地</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sz w:val="24"/>
                <w:szCs w:val="32"/>
              </w:rPr>
              <w:t>大宁县城镇水源地为大宁县县城水源地，该水源地位于大宁县城区，水源地中心位置为东经110.744°，北纬36.462°。大宁县县城水源地属于地下水型水源地，地下水开采类型为裂隙潜水，日供水量0.1万m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水源地现有自来水供水井3眼，1#水源井位于城区中部、2#水源井位于城区西部昕水河下游，3#井现位于城市东部小冯村的昕水河河滩地。供水方式为通过水泵抽水，通过暗管进入蓄水池后进行过滤、消毒，供给用户。</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本项目不在上述水源地保护范围内，距离大宁县县城水源地二级保护区范围</w:t>
            </w:r>
            <w:r>
              <w:rPr>
                <w:rFonts w:hint="eastAsia" w:ascii="Times New Roman" w:hAnsi="Times New Roman" w:eastAsia="宋体" w:cs="Times New Roman"/>
                <w:color w:val="auto"/>
                <w:kern w:val="0"/>
                <w:sz w:val="24"/>
                <w:szCs w:val="24"/>
                <w:lang w:val="en-US" w:eastAsia="zh-CN"/>
              </w:rPr>
              <w:t>西</w:t>
            </w:r>
            <w:r>
              <w:rPr>
                <w:rFonts w:hint="eastAsia" w:ascii="Times New Roman" w:hAnsi="Times New Roman" w:eastAsia="宋体" w:cs="Times New Roman"/>
                <w:color w:val="auto"/>
                <w:kern w:val="0"/>
                <w:sz w:val="24"/>
                <w:szCs w:val="24"/>
              </w:rPr>
              <w:t>侧边界</w:t>
            </w:r>
            <w:r>
              <w:rPr>
                <w:rFonts w:hint="eastAsia" w:ascii="Times New Roman" w:hAnsi="Times New Roman" w:eastAsia="宋体" w:cs="Times New Roman"/>
                <w:color w:val="auto"/>
                <w:kern w:val="0"/>
                <w:sz w:val="24"/>
                <w:szCs w:val="24"/>
                <w:lang w:val="en-US" w:eastAsia="zh-CN"/>
              </w:rPr>
              <w:t>8.5</w:t>
            </w:r>
            <w:r>
              <w:rPr>
                <w:rFonts w:hint="eastAsia" w:ascii="Times New Roman" w:hAnsi="Times New Roman" w:eastAsia="宋体" w:cs="Times New Roman"/>
                <w:color w:val="auto"/>
                <w:kern w:val="0"/>
                <w:sz w:val="24"/>
                <w:szCs w:val="24"/>
              </w:rPr>
              <w:t>km</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sz w:val="24"/>
                <w:szCs w:val="32"/>
              </w:rPr>
              <w:t>大宁县</w:t>
            </w:r>
            <w:r>
              <w:rPr>
                <w:rFonts w:hint="eastAsia" w:ascii="Times New Roman" w:hAnsi="Times New Roman" w:eastAsia="宋体" w:cs="Times New Roman"/>
                <w:color w:val="auto"/>
                <w:sz w:val="24"/>
                <w:szCs w:val="32"/>
                <w:lang w:val="en-US" w:eastAsia="zh-CN"/>
              </w:rPr>
              <w:t>城镇</w:t>
            </w:r>
            <w:r>
              <w:rPr>
                <w:rFonts w:hint="eastAsia" w:ascii="Times New Roman" w:hAnsi="Times New Roman" w:eastAsia="宋体" w:cs="Times New Roman"/>
                <w:color w:val="auto"/>
                <w:sz w:val="24"/>
                <w:szCs w:val="32"/>
              </w:rPr>
              <w:t>水源地</w:t>
            </w:r>
            <w:r>
              <w:rPr>
                <w:rFonts w:hint="eastAsia" w:ascii="Times New Roman" w:hAnsi="Times New Roman" w:eastAsia="宋体" w:cs="Times New Roman"/>
                <w:color w:val="auto"/>
                <w:sz w:val="24"/>
                <w:szCs w:val="32"/>
                <w:lang w:val="en-US" w:eastAsia="zh-CN"/>
              </w:rPr>
              <w:t>保护范围</w:t>
            </w:r>
            <w:r>
              <w:rPr>
                <w:rFonts w:hint="eastAsia" w:ascii="Times New Roman" w:hAnsi="Times New Roman" w:eastAsia="宋体" w:cs="Times New Roman"/>
                <w:color w:val="auto"/>
                <w:sz w:val="24"/>
                <w:szCs w:val="32"/>
              </w:rPr>
              <w:t>图</w:t>
            </w:r>
            <w:r>
              <w:rPr>
                <w:rFonts w:hint="eastAsia" w:ascii="Times New Roman" w:hAnsi="Times New Roman" w:eastAsia="宋体" w:cs="Times New Roman"/>
                <w:color w:val="auto"/>
                <w:sz w:val="24"/>
                <w:szCs w:val="32"/>
                <w:lang w:val="en-US" w:eastAsia="zh-CN"/>
              </w:rPr>
              <w:t>见</w:t>
            </w:r>
            <w:r>
              <w:rPr>
                <w:rFonts w:hint="eastAsia" w:ascii="Times New Roman" w:hAnsi="Times New Roman" w:eastAsia="宋体" w:cs="Times New Roman"/>
                <w:color w:val="auto"/>
                <w:sz w:val="24"/>
                <w:szCs w:val="32"/>
              </w:rPr>
              <w:t>附图</w:t>
            </w:r>
            <w:r>
              <w:rPr>
                <w:rFonts w:hint="eastAsia" w:ascii="Times New Roman" w:hAnsi="Times New Roman" w:eastAsia="宋体" w:cs="Times New Roman"/>
                <w:color w:val="auto"/>
                <w:sz w:val="24"/>
                <w:szCs w:val="32"/>
                <w:lang w:val="en-US" w:eastAsia="zh-CN"/>
              </w:rPr>
              <w:t>9。</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②乡镇集中供水水源地</w:t>
            </w:r>
          </w:p>
          <w:p>
            <w:pPr>
              <w:autoSpaceDE w:val="0"/>
              <w:autoSpaceDN w:val="0"/>
              <w:adjustRightInd w:val="0"/>
              <w:snapToGrid w:val="0"/>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sz w:val="24"/>
                <w:szCs w:val="32"/>
              </w:rPr>
              <w:t>大宁县乡镇集中式饮用水水源地共计5处，分别为太古乡集中式饮用水水源地、太德乡集中式饮用水水源地、徐家垛乡集中式饮用水水源地、曲峨镇集中式饮用水水源地、三多乡集中式饮用水水源地。</w:t>
            </w:r>
          </w:p>
          <w:p>
            <w:pPr>
              <w:autoSpaceDE w:val="0"/>
              <w:autoSpaceDN w:val="0"/>
              <w:adjustRightInd w:val="0"/>
              <w:snapToGrid w:val="0"/>
              <w:spacing w:line="460" w:lineRule="exact"/>
              <w:ind w:firstLine="480" w:firstLineChars="200"/>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rPr>
              <w:t>本项目不在上述水源地保护范围内，距离本项目最近的乡镇水源地为</w:t>
            </w:r>
            <w:r>
              <w:rPr>
                <w:rFonts w:hint="eastAsia" w:ascii="Times New Roman" w:hAnsi="Times New Roman" w:eastAsia="宋体" w:cs="Times New Roman"/>
                <w:color w:val="auto"/>
                <w:kern w:val="0"/>
                <w:sz w:val="24"/>
                <w:szCs w:val="24"/>
                <w:lang w:val="en-US" w:eastAsia="zh-CN"/>
              </w:rPr>
              <w:t>西北</w:t>
            </w:r>
            <w:r>
              <w:rPr>
                <w:rFonts w:hint="eastAsia" w:ascii="Times New Roman" w:hAnsi="Times New Roman" w:eastAsia="宋体" w:cs="Times New Roman"/>
                <w:color w:val="auto"/>
                <w:kern w:val="0"/>
                <w:sz w:val="24"/>
                <w:szCs w:val="24"/>
              </w:rPr>
              <w:t>约</w:t>
            </w:r>
            <w:r>
              <w:rPr>
                <w:rFonts w:hint="eastAsia" w:ascii="Times New Roman" w:hAnsi="Times New Roman" w:eastAsia="宋体" w:cs="Times New Roman"/>
                <w:color w:val="auto"/>
                <w:kern w:val="0"/>
                <w:sz w:val="24"/>
                <w:szCs w:val="24"/>
                <w:lang w:val="en-US" w:eastAsia="zh-CN"/>
              </w:rPr>
              <w:t>3.6</w:t>
            </w:r>
            <w:r>
              <w:rPr>
                <w:rFonts w:hint="eastAsia" w:ascii="Times New Roman" w:hAnsi="Times New Roman" w:eastAsia="宋体" w:cs="Times New Roman"/>
                <w:color w:val="auto"/>
                <w:kern w:val="0"/>
                <w:sz w:val="24"/>
                <w:szCs w:val="24"/>
              </w:rPr>
              <w:t>km的</w:t>
            </w:r>
            <w:r>
              <w:rPr>
                <w:rFonts w:hint="eastAsia" w:ascii="Times New Roman" w:hAnsi="Times New Roman" w:eastAsia="宋体" w:cs="Times New Roman"/>
                <w:color w:val="auto"/>
                <w:sz w:val="24"/>
                <w:szCs w:val="32"/>
              </w:rPr>
              <w:t>曲峨镇集中式饮用水水源地。大宁县乡镇水源地</w:t>
            </w:r>
            <w:r>
              <w:rPr>
                <w:rFonts w:hint="eastAsia" w:ascii="Times New Roman" w:hAnsi="Times New Roman" w:eastAsia="宋体" w:cs="Times New Roman"/>
                <w:color w:val="auto"/>
                <w:sz w:val="24"/>
                <w:szCs w:val="32"/>
                <w:lang w:val="en-US" w:eastAsia="zh-CN"/>
              </w:rPr>
              <w:t>分布</w:t>
            </w:r>
            <w:r>
              <w:rPr>
                <w:rFonts w:hint="eastAsia" w:ascii="Times New Roman" w:hAnsi="Times New Roman" w:eastAsia="宋体" w:cs="Times New Roman"/>
                <w:color w:val="auto"/>
                <w:sz w:val="24"/>
                <w:szCs w:val="32"/>
              </w:rPr>
              <w:t>图</w:t>
            </w:r>
            <w:r>
              <w:rPr>
                <w:rFonts w:hint="eastAsia" w:ascii="Times New Roman" w:hAnsi="Times New Roman" w:eastAsia="宋体" w:cs="Times New Roman"/>
                <w:color w:val="auto"/>
                <w:sz w:val="24"/>
                <w:szCs w:val="32"/>
                <w:lang w:val="en-US" w:eastAsia="zh-CN"/>
              </w:rPr>
              <w:t>见</w:t>
            </w:r>
            <w:r>
              <w:rPr>
                <w:rFonts w:hint="eastAsia" w:ascii="Times New Roman" w:hAnsi="Times New Roman" w:eastAsia="宋体" w:cs="Times New Roman"/>
                <w:color w:val="auto"/>
                <w:sz w:val="24"/>
                <w:szCs w:val="32"/>
              </w:rPr>
              <w:t>附图</w:t>
            </w:r>
            <w:r>
              <w:rPr>
                <w:rFonts w:hint="eastAsia" w:ascii="Times New Roman" w:hAnsi="Times New Roman" w:eastAsia="宋体" w:cs="Times New Roman"/>
                <w:color w:val="auto"/>
                <w:sz w:val="24"/>
                <w:szCs w:val="32"/>
                <w:lang w:val="en-US" w:eastAsia="zh-CN"/>
              </w:rPr>
              <w:t>10。</w:t>
            </w:r>
          </w:p>
          <w:p>
            <w:pPr>
              <w:autoSpaceDE w:val="0"/>
              <w:autoSpaceDN w:val="0"/>
              <w:adjustRightInd w:val="0"/>
              <w:snapToGrid w:val="0"/>
              <w:spacing w:line="460" w:lineRule="exact"/>
              <w:ind w:firstLine="480" w:firstLineChars="200"/>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8、与《山西省黄河（汾河）流域水污染治理攻坚方案》（晋政办发[2020]19号）符合性分析</w:t>
            </w:r>
          </w:p>
          <w:p>
            <w:pPr>
              <w:autoSpaceDE w:val="0"/>
              <w:autoSpaceDN w:val="0"/>
              <w:adjustRightInd w:val="0"/>
              <w:snapToGrid w:val="0"/>
              <w:spacing w:line="460" w:lineRule="exact"/>
              <w:ind w:firstLine="480" w:firstLineChars="200"/>
              <w:rPr>
                <w:rFonts w:hint="eastAsia" w:ascii="Times New Roman" w:hAnsi="Times New Roman" w:eastAsia="宋体" w:cs="Times New Roman"/>
                <w:color w:val="auto"/>
                <w:kern w:val="0"/>
                <w:sz w:val="24"/>
                <w:szCs w:val="24"/>
                <w:lang w:eastAsia="zh-CN"/>
              </w:rPr>
            </w:pPr>
            <w:r>
              <w:rPr>
                <w:rFonts w:hint="eastAsia" w:ascii="Times New Roman" w:hAnsi="Times New Roman" w:eastAsia="宋体" w:cs="Times New Roman"/>
                <w:color w:val="auto"/>
                <w:kern w:val="0"/>
                <w:sz w:val="24"/>
                <w:szCs w:val="24"/>
              </w:rPr>
              <w:t>《山西省黄河（汾河）流域水污染治理攻坚方案》（晋政办发[2020]19号）要求：“汾河及入黄主要支流沿岸堤外50米、其支流堤外30米范围内实施植树种草增绿，建设绿色生态廊道，改善断面水质，保护河流生态空间”</w:t>
            </w:r>
            <w:r>
              <w:rPr>
                <w:rFonts w:hint="eastAsia" w:ascii="Times New Roman" w:hAnsi="Times New Roman" w:eastAsia="宋体" w:cs="Times New Roman"/>
                <w:color w:val="auto"/>
                <w:kern w:val="0"/>
                <w:sz w:val="24"/>
                <w:szCs w:val="24"/>
                <w:lang w:eastAsia="zh-CN"/>
              </w:rPr>
              <w:t>。</w:t>
            </w:r>
          </w:p>
          <w:p>
            <w:pPr>
              <w:autoSpaceDE w:val="0"/>
              <w:autoSpaceDN w:val="0"/>
              <w:adjustRightInd w:val="0"/>
              <w:snapToGrid w:val="0"/>
              <w:spacing w:line="460" w:lineRule="exact"/>
              <w:ind w:firstLine="480" w:firstLineChars="200"/>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昕水河岸线保护与利用规划（2020-2030年）</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昕水河</w:t>
            </w:r>
            <w:r>
              <w:rPr>
                <w:rFonts w:hint="eastAsia" w:ascii="Times New Roman" w:hAnsi="Times New Roman" w:eastAsia="宋体" w:cs="Times New Roman"/>
                <w:color w:val="auto"/>
                <w:kern w:val="0"/>
                <w:sz w:val="24"/>
                <w:szCs w:val="24"/>
                <w:lang w:eastAsia="zh-CN"/>
              </w:rPr>
              <w:t>河道管理范围边界线为“现有堤防背水坡坡脚向外水平延伸20~30m处”，</w:t>
            </w:r>
            <w:r>
              <w:rPr>
                <w:rFonts w:hint="eastAsia" w:ascii="Times New Roman" w:hAnsi="Times New Roman" w:eastAsia="宋体" w:cs="Times New Roman"/>
                <w:color w:val="auto"/>
                <w:kern w:val="0"/>
                <w:sz w:val="24"/>
                <w:szCs w:val="24"/>
                <w:lang w:val="en-US" w:eastAsia="zh-CN"/>
              </w:rPr>
              <w:t>结合本项目勘查定界图（附图11）可知，</w:t>
            </w:r>
            <w:r>
              <w:rPr>
                <w:rFonts w:hint="eastAsia" w:ascii="Times New Roman" w:hAnsi="Times New Roman" w:eastAsia="宋体" w:cs="Times New Roman"/>
                <w:color w:val="auto"/>
                <w:kern w:val="0"/>
                <w:sz w:val="24"/>
                <w:szCs w:val="24"/>
              </w:rPr>
              <w:t>本项目</w:t>
            </w:r>
            <w:r>
              <w:rPr>
                <w:rFonts w:hint="eastAsia" w:ascii="Times New Roman" w:hAnsi="Times New Roman" w:eastAsia="宋体" w:cs="Times New Roman"/>
                <w:color w:val="auto"/>
                <w:kern w:val="0"/>
                <w:sz w:val="24"/>
                <w:szCs w:val="24"/>
                <w:lang w:val="en-US" w:eastAsia="zh-CN"/>
              </w:rPr>
              <w:t>南</w:t>
            </w:r>
            <w:r>
              <w:rPr>
                <w:rFonts w:hint="eastAsia" w:ascii="Times New Roman" w:hAnsi="Times New Roman" w:eastAsia="宋体" w:cs="Times New Roman"/>
                <w:color w:val="auto"/>
                <w:kern w:val="0"/>
                <w:sz w:val="24"/>
                <w:szCs w:val="24"/>
              </w:rPr>
              <w:t>距昕水河</w:t>
            </w:r>
            <w:r>
              <w:rPr>
                <w:rFonts w:hint="eastAsia" w:ascii="Times New Roman" w:hAnsi="Times New Roman" w:eastAsia="宋体" w:cs="Times New Roman"/>
                <w:color w:val="auto"/>
                <w:kern w:val="0"/>
                <w:sz w:val="24"/>
                <w:szCs w:val="24"/>
                <w:lang w:eastAsia="zh-CN"/>
              </w:rPr>
              <w:t>河道管理范围边界线</w:t>
            </w:r>
            <w:r>
              <w:rPr>
                <w:rFonts w:hint="eastAsia" w:ascii="Times New Roman" w:hAnsi="Times New Roman" w:eastAsia="宋体" w:cs="Times New Roman"/>
                <w:color w:val="auto"/>
                <w:kern w:val="0"/>
                <w:sz w:val="24"/>
                <w:szCs w:val="24"/>
              </w:rPr>
              <w:t>约0.1</w:t>
            </w:r>
            <w:r>
              <w:rPr>
                <w:rFonts w:hint="eastAsia" w:ascii="Times New Roman" w:hAnsi="Times New Roman" w:eastAsia="宋体" w:cs="Times New Roman"/>
                <w:color w:val="auto"/>
                <w:kern w:val="0"/>
                <w:sz w:val="24"/>
                <w:szCs w:val="24"/>
                <w:lang w:val="en-US" w:eastAsia="zh-CN"/>
              </w:rPr>
              <w:t>0</w:t>
            </w:r>
            <w:r>
              <w:rPr>
                <w:rFonts w:hint="eastAsia" w:ascii="Times New Roman" w:hAnsi="Times New Roman" w:eastAsia="宋体" w:cs="Times New Roman"/>
                <w:color w:val="auto"/>
                <w:kern w:val="0"/>
                <w:sz w:val="24"/>
                <w:szCs w:val="24"/>
              </w:rPr>
              <w:t>km，满足</w:t>
            </w:r>
            <w:r>
              <w:rPr>
                <w:rFonts w:hint="eastAsia" w:ascii="Times New Roman" w:hAnsi="Times New Roman" w:eastAsia="宋体" w:cs="Times New Roman"/>
                <w:color w:val="auto"/>
                <w:kern w:val="0"/>
                <w:sz w:val="24"/>
                <w:szCs w:val="24"/>
                <w:lang w:val="en-US" w:eastAsia="zh-CN"/>
              </w:rPr>
              <w:t>5</w:t>
            </w:r>
            <w:r>
              <w:rPr>
                <w:rFonts w:hint="eastAsia" w:ascii="Times New Roman" w:hAnsi="Times New Roman" w:eastAsia="宋体" w:cs="Times New Roman"/>
                <w:color w:val="auto"/>
                <w:kern w:val="0"/>
                <w:sz w:val="24"/>
                <w:szCs w:val="24"/>
              </w:rPr>
              <w:t>0米管控</w:t>
            </w:r>
            <w:r>
              <w:rPr>
                <w:rFonts w:hint="eastAsia" w:ascii="Times New Roman" w:hAnsi="Times New Roman" w:eastAsia="宋体" w:cs="Times New Roman"/>
                <w:color w:val="auto"/>
                <w:kern w:val="0"/>
                <w:sz w:val="24"/>
                <w:szCs w:val="24"/>
                <w:lang w:val="en-US" w:eastAsia="zh-CN"/>
              </w:rPr>
              <w:t>距离</w:t>
            </w:r>
            <w:r>
              <w:rPr>
                <w:rFonts w:hint="eastAsia" w:ascii="Times New Roman" w:hAnsi="Times New Roman" w:eastAsia="宋体" w:cs="Times New Roman"/>
                <w:color w:val="auto"/>
                <w:kern w:val="0"/>
                <w:sz w:val="24"/>
                <w:szCs w:val="24"/>
              </w:rPr>
              <w:t>要求</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不违背上述文件要求。</w:t>
            </w:r>
          </w:p>
          <w:p>
            <w:pPr>
              <w:autoSpaceDE w:val="0"/>
              <w:autoSpaceDN w:val="0"/>
              <w:adjustRightInd w:val="0"/>
              <w:snapToGrid w:val="0"/>
              <w:spacing w:line="460" w:lineRule="exact"/>
              <w:ind w:firstLine="480" w:firstLineChars="200"/>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9</w:t>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与《关于“十四五”推进沿黄重点地区工业项目入园及严控高污染、高耗水、高耗能项目的通知》（晋发改工业发[2021]404号文）符合性分析</w:t>
            </w:r>
          </w:p>
          <w:p>
            <w:pPr>
              <w:pStyle w:val="16"/>
              <w:keepNext w:val="0"/>
              <w:keepLines w:val="0"/>
              <w:pageBreakBefore w:val="0"/>
              <w:widowControl w:val="0"/>
              <w:kinsoku/>
              <w:wordWrap/>
              <w:overflowPunct/>
              <w:topLinePunct w:val="0"/>
              <w:bidi w:val="0"/>
              <w:adjustRightInd w:val="0"/>
              <w:snapToGrid/>
              <w:spacing w:line="460" w:lineRule="exact"/>
              <w:jc w:val="center"/>
              <w:textAlignment w:val="auto"/>
              <w:rPr>
                <w:rFonts w:ascii="Times New Roman" w:hAnsi="Times New Roman" w:eastAsia="宋体" w:cs="Times New Roman"/>
                <w:color w:val="auto"/>
                <w:kern w:val="2"/>
                <w:sz w:val="24"/>
                <w:szCs w:val="32"/>
                <w:lang w:val="en-US" w:eastAsia="zh-CN" w:bidi="ar-SA"/>
              </w:rPr>
            </w:pPr>
            <w:r>
              <w:rPr>
                <w:rFonts w:ascii="Times New Roman" w:hAnsi="Times New Roman" w:eastAsia="宋体" w:cs="Times New Roman"/>
                <w:color w:val="auto"/>
                <w:kern w:val="2"/>
                <w:sz w:val="24"/>
                <w:szCs w:val="32"/>
                <w:lang w:val="en-US" w:eastAsia="zh-CN" w:bidi="ar-SA"/>
              </w:rPr>
              <w:t>表1-</w:t>
            </w:r>
            <w:r>
              <w:rPr>
                <w:rFonts w:hint="eastAsia" w:ascii="Times New Roman" w:hAnsi="Times New Roman" w:eastAsia="宋体" w:cs="Times New Roman"/>
                <w:color w:val="auto"/>
                <w:kern w:val="2"/>
                <w:sz w:val="24"/>
                <w:szCs w:val="32"/>
                <w:lang w:val="en-US" w:eastAsia="zh-CN" w:bidi="ar-SA"/>
              </w:rPr>
              <w:t>4</w:t>
            </w:r>
            <w:r>
              <w:rPr>
                <w:rFonts w:ascii="Times New Roman" w:hAnsi="Times New Roman" w:eastAsia="宋体" w:cs="Times New Roman"/>
                <w:color w:val="auto"/>
                <w:kern w:val="2"/>
                <w:sz w:val="24"/>
                <w:szCs w:val="32"/>
                <w:lang w:val="en-US" w:eastAsia="zh-CN" w:bidi="ar-SA"/>
              </w:rPr>
              <w:t xml:space="preserve"> 建设项目与</w:t>
            </w:r>
            <w:r>
              <w:rPr>
                <w:rFonts w:hint="eastAsia" w:ascii="Times New Roman" w:hAnsi="Times New Roman" w:eastAsia="宋体" w:cs="Times New Roman"/>
                <w:color w:val="auto"/>
                <w:kern w:val="2"/>
                <w:sz w:val="24"/>
                <w:szCs w:val="32"/>
                <w:lang w:val="en-US" w:eastAsia="zh-CN" w:bidi="ar-SA"/>
              </w:rPr>
              <w:t>“</w:t>
            </w:r>
            <w:r>
              <w:rPr>
                <w:rFonts w:hint="eastAsia" w:ascii="Times New Roman" w:hAnsi="Times New Roman" w:eastAsia="宋体" w:cs="Times New Roman"/>
                <w:color w:val="auto"/>
                <w:kern w:val="0"/>
                <w:sz w:val="24"/>
                <w:szCs w:val="24"/>
                <w:lang w:val="en-US" w:eastAsia="zh-CN"/>
              </w:rPr>
              <w:t>晋发改工业发[2021]404 号文</w:t>
            </w:r>
            <w:r>
              <w:rPr>
                <w:rFonts w:hint="eastAsia" w:ascii="Times New Roman" w:hAnsi="Times New Roman" w:eastAsia="宋体" w:cs="Times New Roman"/>
                <w:color w:val="auto"/>
                <w:kern w:val="2"/>
                <w:sz w:val="24"/>
                <w:szCs w:val="32"/>
                <w:lang w:val="en-US" w:eastAsia="zh-CN" w:bidi="ar-SA"/>
              </w:rPr>
              <w:t>”</w:t>
            </w:r>
            <w:r>
              <w:rPr>
                <w:rFonts w:ascii="Times New Roman" w:hAnsi="Times New Roman" w:eastAsia="宋体" w:cs="Times New Roman"/>
                <w:color w:val="auto"/>
                <w:kern w:val="2"/>
                <w:sz w:val="24"/>
                <w:szCs w:val="32"/>
                <w:lang w:val="en-US" w:eastAsia="zh-CN" w:bidi="ar-SA"/>
              </w:rPr>
              <w:t>的符合性</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4282"/>
              <w:gridCol w:w="1962"/>
              <w:gridCol w:w="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序号</w:t>
                  </w:r>
                </w:p>
              </w:tc>
              <w:tc>
                <w:tcPr>
                  <w:tcW w:w="2817"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文件</w:t>
                  </w:r>
                  <w:r>
                    <w:rPr>
                      <w:rFonts w:ascii="Times New Roman" w:hAnsi="Times New Roman" w:eastAsia="宋体" w:cs="Times New Roman"/>
                      <w:color w:val="auto"/>
                      <w:szCs w:val="21"/>
                    </w:rPr>
                    <w:t>要求</w:t>
                  </w:r>
                </w:p>
              </w:tc>
              <w:tc>
                <w:tcPr>
                  <w:tcW w:w="1290"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478"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2817"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对不符合产业政策、“三线一单”生态环境分区管控方案、规划环评以及能耗、水耗等有关要求的工业项目，一律不得批准或备案。</w:t>
                  </w:r>
                </w:p>
              </w:tc>
              <w:tc>
                <w:tcPr>
                  <w:tcW w:w="1290"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本项目为鼓励类项目，</w:t>
                  </w:r>
                  <w:r>
                    <w:rPr>
                      <w:rFonts w:hint="eastAsia" w:ascii="Times New Roman" w:hAnsi="Times New Roman" w:eastAsia="宋体" w:cs="Times New Roman"/>
                      <w:color w:val="auto"/>
                      <w:szCs w:val="21"/>
                    </w:rPr>
                    <w:t>符合产业政策</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符合山西省和临汾市</w:t>
                  </w:r>
                  <w:r>
                    <w:rPr>
                      <w:rFonts w:hint="eastAsia" w:ascii="Times New Roman" w:hAnsi="Times New Roman" w:eastAsia="宋体" w:cs="Times New Roman"/>
                      <w:color w:val="auto"/>
                      <w:szCs w:val="21"/>
                    </w:rPr>
                    <w:t>“三线一单”生态环境分区管控方案</w:t>
                  </w:r>
                  <w:r>
                    <w:rPr>
                      <w:rFonts w:hint="eastAsia" w:ascii="Times New Roman" w:hAnsi="Times New Roman" w:eastAsia="宋体" w:cs="Times New Roman"/>
                      <w:color w:val="auto"/>
                      <w:szCs w:val="21"/>
                      <w:lang w:val="en-US" w:eastAsia="zh-CN"/>
                    </w:rPr>
                    <w:t>要求</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不属于高耗能、高耗水项目</w:t>
                  </w:r>
                </w:p>
              </w:tc>
              <w:tc>
                <w:tcPr>
                  <w:tcW w:w="478"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w:t>
                  </w:r>
                </w:p>
              </w:tc>
              <w:tc>
                <w:tcPr>
                  <w:tcW w:w="2817"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“十四五”时期沿黄重点地区拟建的工业项目，一律按要求进入合规工业园区。</w:t>
                  </w:r>
                </w:p>
              </w:tc>
              <w:tc>
                <w:tcPr>
                  <w:tcW w:w="1290"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本项目位于大宁产业集聚区内</w:t>
                  </w:r>
                </w:p>
              </w:tc>
              <w:tc>
                <w:tcPr>
                  <w:tcW w:w="478"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2817"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对现有已备案但尚未开工的拟建高污染、高耗水、高耗能项目要一律重新进行评估，确有必要建设且符合相关行业要求的方可继续推进。</w:t>
                  </w:r>
                </w:p>
              </w:tc>
              <w:tc>
                <w:tcPr>
                  <w:tcW w:w="1290"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本项目不属于高污染、高耗能、高耗水项目</w:t>
                  </w:r>
                </w:p>
              </w:tc>
              <w:tc>
                <w:tcPr>
                  <w:tcW w:w="478" w:type="pct"/>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szCs w:val="21"/>
                    </w:rPr>
                  </w:pPr>
                  <w:r>
                    <w:rPr>
                      <w:rFonts w:ascii="Times New Roman" w:hAnsi="Times New Roman" w:eastAsia="宋体" w:cs="Times New Roman"/>
                      <w:color w:val="auto"/>
                      <w:szCs w:val="21"/>
                    </w:rPr>
                    <w:t>符合</w:t>
                  </w:r>
                </w:p>
              </w:tc>
            </w:tr>
          </w:tbl>
          <w:p>
            <w:pPr>
              <w:autoSpaceDE w:val="0"/>
              <w:autoSpaceDN w:val="0"/>
              <w:adjustRightInd w:val="0"/>
              <w:snapToGrid w:val="0"/>
              <w:spacing w:line="460" w:lineRule="exact"/>
              <w:ind w:firstLine="420" w:firstLineChars="200"/>
              <w:jc w:val="left"/>
              <w:rPr>
                <w:rFonts w:ascii="Times New Roman" w:hAnsi="Times New Roman" w:eastAsia="宋体" w:cs="Times New Roman"/>
                <w:color w:val="auto"/>
                <w:kern w:val="0"/>
                <w:szCs w:val="21"/>
              </w:rPr>
            </w:pPr>
          </w:p>
        </w:tc>
      </w:tr>
    </w:tbl>
    <w:p>
      <w:pPr>
        <w:spacing w:line="360" w:lineRule="auto"/>
        <w:outlineLvl w:val="0"/>
        <w:rPr>
          <w:rFonts w:ascii="Times New Roman" w:hAnsi="Times New Roman" w:eastAsia="黑体" w:cs="Times New Roman"/>
          <w:color w:val="auto"/>
          <w:sz w:val="30"/>
          <w:szCs w:val="24"/>
        </w:rPr>
        <w:sectPr>
          <w:footerReference r:id="rId7" w:type="default"/>
          <w:footerReference r:id="rId8" w:type="even"/>
          <w:pgSz w:w="11906" w:h="16838"/>
          <w:pgMar w:top="1417" w:right="1531" w:bottom="1701" w:left="1531" w:header="851" w:footer="1077" w:gutter="0"/>
          <w:pgBorders>
            <w:top w:val="none" w:sz="0" w:space="0"/>
            <w:left w:val="none" w:sz="0" w:space="0"/>
            <w:bottom w:val="none" w:sz="0" w:space="0"/>
            <w:right w:val="none" w:sz="0" w:space="0"/>
          </w:pgBorders>
          <w:pgNumType w:fmt="numberInDash" w:start="1"/>
          <w:cols w:space="720" w:num="1"/>
          <w:docGrid w:linePitch="312" w:charSpace="0"/>
        </w:sectPr>
      </w:pPr>
    </w:p>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bookmarkStart w:id="5" w:name="_Toc100886266"/>
      <w:r>
        <w:rPr>
          <w:rFonts w:ascii="Times New Roman" w:hAnsi="Times New Roman" w:eastAsia="黑体" w:cs="Times New Roman"/>
          <w:snapToGrid w:val="0"/>
          <w:color w:val="auto"/>
          <w:kern w:val="0"/>
          <w:sz w:val="30"/>
          <w:szCs w:val="30"/>
        </w:rPr>
        <w:t>二、建设项目工程分析</w:t>
      </w:r>
      <w:bookmarkEnd w:id="5"/>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9"/>
        <w:gridCol w:w="82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78" w:hRule="atLeast"/>
          <w:jc w:val="center"/>
        </w:trPr>
        <w:tc>
          <w:tcPr>
            <w:tcW w:w="779" w:type="dxa"/>
            <w:vAlign w:val="center"/>
          </w:tcPr>
          <w:p>
            <w:pPr>
              <w:widowControl/>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 w:val="24"/>
                <w:szCs w:val="24"/>
              </w:rPr>
              <w:t>建设内容</w:t>
            </w:r>
          </w:p>
        </w:tc>
        <w:tc>
          <w:tcPr>
            <w:tcW w:w="8205" w:type="dxa"/>
          </w:tcPr>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1、项目背景</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本项目为</w:t>
            </w:r>
            <w:r>
              <w:rPr>
                <w:rFonts w:hint="eastAsia" w:ascii="Times New Roman" w:hAnsi="Times New Roman" w:eastAsia="宋体" w:cs="Times New Roman"/>
                <w:color w:val="auto"/>
                <w:sz w:val="24"/>
                <w:szCs w:val="32"/>
                <w:lang w:val="en-US" w:eastAsia="zh-CN"/>
              </w:rPr>
              <w:t>防水卷材</w:t>
            </w:r>
            <w:r>
              <w:rPr>
                <w:rFonts w:hint="eastAsia" w:ascii="Times New Roman" w:hAnsi="Times New Roman" w:eastAsia="宋体" w:cs="Times New Roman"/>
                <w:color w:val="auto"/>
                <w:sz w:val="24"/>
                <w:szCs w:val="32"/>
              </w:rPr>
              <w:t>生产建设项目，属于《国民经济行业分类》（GB/T4754-2017）中的“C3033防水建筑材料制造”，对照《建设项目环境影响评价分类管理名录》（2021年版），该项目类别为“二十七、非金属矿物制品业30”，第5</w:t>
            </w:r>
            <w:r>
              <w:rPr>
                <w:rFonts w:hint="eastAsia" w:ascii="Times New Roman" w:hAnsi="Times New Roman" w:eastAsia="宋体" w:cs="Times New Roman"/>
                <w:color w:val="auto"/>
                <w:sz w:val="24"/>
                <w:szCs w:val="32"/>
                <w:lang w:val="en-US" w:eastAsia="zh-CN"/>
              </w:rPr>
              <w:t>6</w:t>
            </w:r>
            <w:r>
              <w:rPr>
                <w:rFonts w:hint="eastAsia" w:ascii="Times New Roman" w:hAnsi="Times New Roman" w:eastAsia="宋体" w:cs="Times New Roman"/>
                <w:color w:val="auto"/>
                <w:sz w:val="24"/>
                <w:szCs w:val="32"/>
              </w:rPr>
              <w:t>条“砖瓦、石材等建筑材料制造</w:t>
            </w:r>
            <w:r>
              <w:rPr>
                <w:rFonts w:hint="eastAsia" w:ascii="Times New Roman" w:hAnsi="Times New Roman" w:eastAsia="宋体" w:cs="Times New Roman"/>
                <w:color w:val="auto"/>
                <w:sz w:val="24"/>
                <w:szCs w:val="32"/>
                <w:lang w:val="en-US" w:eastAsia="zh-CN"/>
              </w:rPr>
              <w:t>303</w:t>
            </w:r>
            <w:r>
              <w:rPr>
                <w:rFonts w:hint="eastAsia" w:ascii="Times New Roman" w:hAnsi="Times New Roman" w:eastAsia="宋体" w:cs="Times New Roman"/>
                <w:color w:val="auto"/>
                <w:sz w:val="24"/>
                <w:szCs w:val="32"/>
              </w:rPr>
              <w:t>”名录中规定“防水建筑材料制造；其他建筑材料制造”应编制环境影响评价报告表。</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2</w:t>
            </w:r>
            <w:r>
              <w:rPr>
                <w:rFonts w:ascii="Times New Roman" w:hAnsi="Times New Roman" w:eastAsia="宋体" w:cs="Times New Roman"/>
                <w:color w:val="auto"/>
                <w:sz w:val="24"/>
                <w:szCs w:val="32"/>
              </w:rPr>
              <w:t>、建设内容</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本项目占地</w:t>
            </w:r>
            <w:r>
              <w:rPr>
                <w:rFonts w:hint="eastAsia" w:ascii="Times New Roman" w:hAnsi="Times New Roman" w:eastAsia="宋体" w:cs="Times New Roman"/>
                <w:color w:val="auto"/>
                <w:sz w:val="24"/>
                <w:szCs w:val="32"/>
                <w:lang w:val="en-US" w:eastAsia="zh-CN"/>
              </w:rPr>
              <w:t>10000</w:t>
            </w:r>
            <w:r>
              <w:rPr>
                <w:rFonts w:ascii="Times New Roman" w:hAnsi="Times New Roman" w:eastAsia="宋体" w:cs="Times New Roman"/>
                <w:color w:val="auto"/>
                <w:sz w:val="24"/>
                <w:szCs w:val="32"/>
              </w:rPr>
              <w:t>平方米，建设</w:t>
            </w:r>
            <w:r>
              <w:rPr>
                <w:rFonts w:hint="eastAsia" w:ascii="Times New Roman" w:hAnsi="Times New Roman" w:eastAsia="宋体" w:cs="Times New Roman"/>
                <w:color w:val="auto"/>
                <w:sz w:val="24"/>
                <w:szCs w:val="32"/>
                <w:lang w:val="en-US" w:eastAsia="zh-CN"/>
              </w:rPr>
              <w:t>1</w:t>
            </w:r>
            <w:r>
              <w:rPr>
                <w:rFonts w:hint="eastAsia" w:ascii="Times New Roman" w:hAnsi="Times New Roman" w:eastAsia="宋体" w:cs="Times New Roman"/>
                <w:color w:val="auto"/>
                <w:sz w:val="24"/>
                <w:szCs w:val="32"/>
              </w:rPr>
              <w:t>条</w:t>
            </w:r>
            <w:r>
              <w:rPr>
                <w:rFonts w:hint="eastAsia" w:ascii="Times New Roman" w:hAnsi="Times New Roman" w:eastAsia="宋体" w:cs="Times New Roman"/>
                <w:color w:val="auto"/>
                <w:sz w:val="24"/>
                <w:szCs w:val="32"/>
                <w:lang w:val="en-US" w:eastAsia="zh-CN"/>
              </w:rPr>
              <w:t>防水卷材</w:t>
            </w:r>
            <w:r>
              <w:rPr>
                <w:rFonts w:ascii="Times New Roman" w:hAnsi="Times New Roman" w:eastAsia="宋体" w:cs="Times New Roman"/>
                <w:color w:val="auto"/>
                <w:sz w:val="24"/>
                <w:szCs w:val="32"/>
              </w:rPr>
              <w:t>生产线</w:t>
            </w:r>
            <w:r>
              <w:rPr>
                <w:rFonts w:hint="eastAsia" w:ascii="Times New Roman" w:hAnsi="Times New Roman" w:eastAsia="宋体" w:cs="Times New Roman"/>
                <w:color w:val="auto"/>
                <w:sz w:val="24"/>
                <w:szCs w:val="32"/>
              </w:rPr>
              <w:t>和配套的辅助、</w:t>
            </w:r>
            <w:r>
              <w:rPr>
                <w:rFonts w:hint="eastAsia" w:ascii="Times New Roman" w:hAnsi="Times New Roman" w:eastAsia="宋体" w:cs="Times New Roman"/>
                <w:color w:val="auto"/>
                <w:sz w:val="24"/>
                <w:szCs w:val="32"/>
                <w:lang w:val="en-US" w:eastAsia="zh-CN"/>
              </w:rPr>
              <w:t>储运、</w:t>
            </w:r>
            <w:r>
              <w:rPr>
                <w:rFonts w:hint="eastAsia" w:ascii="Times New Roman" w:hAnsi="Times New Roman" w:eastAsia="宋体" w:cs="Times New Roman"/>
                <w:color w:val="auto"/>
                <w:sz w:val="24"/>
                <w:szCs w:val="32"/>
              </w:rPr>
              <w:t>环保工程等</w:t>
            </w:r>
            <w:r>
              <w:rPr>
                <w:rFonts w:ascii="Times New Roman" w:hAnsi="Times New Roman" w:eastAsia="宋体" w:cs="Times New Roman"/>
                <w:color w:val="auto"/>
                <w:sz w:val="24"/>
                <w:szCs w:val="32"/>
              </w:rPr>
              <w:t>。</w:t>
            </w:r>
            <w:r>
              <w:rPr>
                <w:rFonts w:hint="eastAsia" w:ascii="Times New Roman" w:hAnsi="Times New Roman" w:eastAsia="宋体" w:cs="Times New Roman"/>
                <w:color w:val="auto"/>
                <w:sz w:val="24"/>
                <w:szCs w:val="32"/>
              </w:rPr>
              <w:t>年产</w:t>
            </w:r>
            <w:r>
              <w:rPr>
                <w:rFonts w:hint="eastAsia" w:ascii="Times New Roman" w:hAnsi="Times New Roman" w:eastAsia="宋体" w:cs="Times New Roman"/>
                <w:color w:val="auto"/>
                <w:sz w:val="24"/>
                <w:szCs w:val="32"/>
                <w:lang w:val="en-US" w:eastAsia="zh-CN"/>
              </w:rPr>
              <w:t>180</w:t>
            </w:r>
            <w:r>
              <w:rPr>
                <w:rFonts w:hint="eastAsia" w:ascii="Times New Roman" w:hAnsi="Times New Roman" w:eastAsia="宋体" w:cs="Times New Roman"/>
                <w:color w:val="auto"/>
                <w:sz w:val="24"/>
                <w:szCs w:val="32"/>
              </w:rPr>
              <w:t>万</w:t>
            </w:r>
            <w:r>
              <w:rPr>
                <w:rFonts w:hint="eastAsia" w:ascii="Times New Roman" w:hAnsi="Times New Roman" w:eastAsia="宋体" w:cs="Times New Roman"/>
                <w:color w:val="auto"/>
                <w:sz w:val="24"/>
                <w:szCs w:val="32"/>
                <w:lang w:val="en-US" w:eastAsia="zh-CN"/>
              </w:rPr>
              <w:t>件SBS</w:t>
            </w:r>
            <w:r>
              <w:rPr>
                <w:rFonts w:hint="eastAsia" w:ascii="Times New Roman" w:hAnsi="Times New Roman" w:eastAsia="宋体" w:cs="Times New Roman"/>
                <w:color w:val="auto"/>
                <w:sz w:val="24"/>
                <w:szCs w:val="32"/>
              </w:rPr>
              <w:t>防水卷材。</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项目建设内容一览表见表2-1。</w:t>
            </w:r>
          </w:p>
          <w:p>
            <w:pPr>
              <w:widowControl/>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表2-1   项目建设内容一览表</w:t>
            </w:r>
          </w:p>
          <w:tbl>
            <w:tblPr>
              <w:tblStyle w:val="26"/>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468"/>
              <w:gridCol w:w="1387"/>
              <w:gridCol w:w="4878"/>
              <w:gridCol w:w="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tblHeader/>
                <w:jc w:val="center"/>
              </w:trPr>
              <w:tc>
                <w:tcPr>
                  <w:tcW w:w="7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名称</w:t>
                  </w: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项目组成</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建设内容</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主体工程</w:t>
                  </w: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生产车间</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1座，彩钢结构，占地面积4000m</w:t>
                  </w:r>
                  <w:r>
                    <w:rPr>
                      <w:rFonts w:hint="default" w:ascii="Times New Roman" w:hAnsi="Times New Roman" w:eastAsia="宋体" w:cs="Times New Roman"/>
                      <w:b w:val="0"/>
                      <w:bCs/>
                      <w:color w:val="auto"/>
                      <w:sz w:val="21"/>
                      <w:szCs w:val="21"/>
                      <w:highlight w:val="none"/>
                      <w:vertAlign w:val="superscript"/>
                      <w:lang w:val="en-US" w:eastAsia="zh-CN"/>
                    </w:rPr>
                    <w:t>2</w:t>
                  </w:r>
                  <w:r>
                    <w:rPr>
                      <w:rFonts w:hint="default" w:ascii="Times New Roman" w:hAnsi="Times New Roman" w:eastAsia="宋体" w:cs="Times New Roman"/>
                      <w:b w:val="0"/>
                      <w:bCs/>
                      <w:color w:val="auto"/>
                      <w:sz w:val="21"/>
                      <w:szCs w:val="21"/>
                      <w:highlight w:val="none"/>
                      <w:lang w:val="en-US" w:eastAsia="zh-CN"/>
                    </w:rPr>
                    <w:t>（80m</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5</w:t>
                  </w:r>
                  <w:r>
                    <w:rPr>
                      <w:rFonts w:hint="default" w:ascii="Times New Roman" w:hAnsi="Times New Roman" w:eastAsia="宋体" w:cs="Times New Roman"/>
                      <w:b w:val="0"/>
                      <w:bCs/>
                      <w:color w:val="auto"/>
                      <w:sz w:val="21"/>
                      <w:szCs w:val="21"/>
                    </w:rPr>
                    <w:t>0m</w:t>
                  </w:r>
                  <w:r>
                    <w:rPr>
                      <w:rFonts w:hint="default" w:ascii="Times New Roman" w:hAnsi="Times New Roman" w:eastAsia="宋体" w:cs="Times New Roman"/>
                      <w:b w:val="0"/>
                      <w:bCs/>
                      <w:color w:val="auto"/>
                      <w:sz w:val="21"/>
                      <w:szCs w:val="21"/>
                      <w:highlight w:val="none"/>
                      <w:lang w:val="en-US" w:eastAsia="zh-CN"/>
                    </w:rPr>
                    <w:t>），车间内布设1条防水卷材生产线，并划分有生产区、原料区、成品区</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辅助</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工程</w:t>
                  </w: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办公</w:t>
                  </w:r>
                  <w:r>
                    <w:rPr>
                      <w:rFonts w:hint="default" w:ascii="Times New Roman" w:hAnsi="Times New Roman" w:eastAsia="宋体" w:cs="Times New Roman"/>
                      <w:b w:val="0"/>
                      <w:bCs/>
                      <w:color w:val="auto"/>
                      <w:sz w:val="21"/>
                      <w:szCs w:val="21"/>
                      <w:highlight w:val="none"/>
                      <w:lang w:val="en-US" w:eastAsia="zh-CN"/>
                    </w:rPr>
                    <w:t>区</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1座，砖混结构，占地面积125m</w:t>
                  </w:r>
                  <w:r>
                    <w:rPr>
                      <w:rFonts w:hint="default" w:ascii="Times New Roman" w:hAnsi="Times New Roman" w:eastAsia="宋体" w:cs="Times New Roman"/>
                      <w:b w:val="0"/>
                      <w:bCs/>
                      <w:color w:val="auto"/>
                      <w:sz w:val="21"/>
                      <w:szCs w:val="21"/>
                      <w:highlight w:val="none"/>
                      <w:vertAlign w:val="superscript"/>
                      <w:lang w:val="en-US" w:eastAsia="zh-CN"/>
                    </w:rPr>
                    <w:t>2</w:t>
                  </w:r>
                  <w:r>
                    <w:rPr>
                      <w:rFonts w:hint="default" w:ascii="Times New Roman" w:hAnsi="Times New Roman" w:eastAsia="宋体" w:cs="Times New Roman"/>
                      <w:b w:val="0"/>
                      <w:bCs/>
                      <w:color w:val="auto"/>
                      <w:sz w:val="21"/>
                      <w:szCs w:val="21"/>
                      <w:highlight w:val="none"/>
                      <w:lang w:val="en-US" w:eastAsia="zh-CN"/>
                    </w:rPr>
                    <w:t>（25m</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5</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highlight w:val="none"/>
                      <w:lang w:val="en-US" w:eastAsia="zh-CN"/>
                    </w:rPr>
                    <w:t>）</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rPr>
                    <w:t>锅炉房</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rPr>
                    <w:t>1座，彩钢结构，占地面积</w:t>
                  </w:r>
                  <w:r>
                    <w:rPr>
                      <w:rFonts w:hint="default" w:ascii="Times New Roman" w:hAnsi="Times New Roman" w:eastAsia="宋体" w:cs="Times New Roman"/>
                      <w:b w:val="0"/>
                      <w:bCs/>
                      <w:color w:val="auto"/>
                      <w:sz w:val="21"/>
                      <w:szCs w:val="21"/>
                      <w:lang w:val="en-US" w:eastAsia="zh-CN"/>
                    </w:rPr>
                    <w:t>50</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vertAlign w:val="superscript"/>
                    </w:rPr>
                    <w:t>2</w:t>
                  </w:r>
                  <w:r>
                    <w:rPr>
                      <w:rFonts w:hint="default" w:ascii="Times New Roman" w:hAnsi="Times New Roman" w:eastAsia="宋体" w:cs="Times New Roman"/>
                      <w:b w:val="0"/>
                      <w:bCs/>
                      <w:color w:val="auto"/>
                      <w:sz w:val="21"/>
                      <w:szCs w:val="21"/>
                    </w:rPr>
                    <w:t>（</w:t>
                  </w:r>
                  <w:r>
                    <w:rPr>
                      <w:rFonts w:hint="default" w:ascii="Times New Roman" w:hAnsi="Times New Roman" w:eastAsia="宋体" w:cs="Times New Roman"/>
                      <w:b w:val="0"/>
                      <w:bCs/>
                      <w:color w:val="auto"/>
                      <w:sz w:val="21"/>
                      <w:szCs w:val="21"/>
                      <w:lang w:val="en-US" w:eastAsia="zh-CN"/>
                    </w:rPr>
                    <w:t>10</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lang w:val="en-US" w:eastAsia="zh-CN"/>
                    </w:rPr>
                    <w:t>5</w:t>
                  </w:r>
                  <w:r>
                    <w:rPr>
                      <w:rFonts w:hint="default" w:ascii="Times New Roman" w:hAnsi="Times New Roman" w:eastAsia="宋体" w:cs="Times New Roman"/>
                      <w:b w:val="0"/>
                      <w:bCs/>
                      <w:color w:val="auto"/>
                      <w:sz w:val="21"/>
                      <w:szCs w:val="21"/>
                    </w:rPr>
                    <w:t>m），存放1台</w:t>
                  </w:r>
                  <w:r>
                    <w:rPr>
                      <w:rFonts w:hint="default" w:ascii="Times New Roman" w:hAnsi="Times New Roman" w:eastAsia="宋体" w:cs="Times New Roman"/>
                      <w:b w:val="0"/>
                      <w:bCs/>
                      <w:color w:val="auto"/>
                      <w:kern w:val="0"/>
                      <w:sz w:val="21"/>
                      <w:szCs w:val="21"/>
                    </w:rPr>
                    <w:t>导热油炉</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公用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工程</w:t>
                  </w: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供水</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项目用水取自大宁产业集聚区自来水管网</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供电</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项目用电由大宁产业集聚区供电管网提供</w:t>
                  </w:r>
                  <w:r>
                    <w:rPr>
                      <w:rFonts w:hint="eastAsia" w:ascii="Times New Roman" w:hAnsi="Times New Roman" w:eastAsia="宋体" w:cs="Times New Roman"/>
                      <w:b w:val="0"/>
                      <w:bCs/>
                      <w:color w:val="auto"/>
                      <w:kern w:val="2"/>
                      <w:sz w:val="21"/>
                      <w:szCs w:val="21"/>
                      <w:highlight w:val="none"/>
                      <w:lang w:val="en-US" w:eastAsia="zh-CN" w:bidi="ar-SA"/>
                    </w:rPr>
                    <w:t>，厂区设施1台1200KVA变压器</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供暖</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项目冬季</w:t>
                  </w:r>
                  <w:r>
                    <w:rPr>
                      <w:rFonts w:hint="eastAsia" w:ascii="Times New Roman" w:hAnsi="Times New Roman" w:eastAsia="宋体" w:cs="Times New Roman"/>
                      <w:b w:val="0"/>
                      <w:bCs/>
                      <w:color w:val="auto"/>
                      <w:kern w:val="2"/>
                      <w:sz w:val="21"/>
                      <w:szCs w:val="21"/>
                      <w:highlight w:val="none"/>
                      <w:lang w:val="en-US" w:eastAsia="zh-CN" w:bidi="ar-SA"/>
                    </w:rPr>
                    <w:t>车间不采暖</w:t>
                  </w:r>
                  <w:r>
                    <w:rPr>
                      <w:rFonts w:hint="default" w:ascii="Times New Roman" w:hAnsi="Times New Roman" w:eastAsia="宋体" w:cs="Times New Roman"/>
                      <w:b w:val="0"/>
                      <w:bCs/>
                      <w:color w:val="auto"/>
                      <w:kern w:val="2"/>
                      <w:sz w:val="21"/>
                      <w:szCs w:val="21"/>
                      <w:highlight w:val="none"/>
                      <w:lang w:val="en-US" w:eastAsia="zh-CN" w:bidi="ar-SA"/>
                    </w:rPr>
                    <w:t>，办公区采用空调供暖</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供气</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kern w:val="2"/>
                      <w:sz w:val="21"/>
                      <w:szCs w:val="21"/>
                      <w:highlight w:val="none"/>
                      <w:lang w:val="en-US" w:eastAsia="zh-CN" w:bidi="ar-SA"/>
                    </w:rPr>
                    <w:t>项目用气取自大宁产业集聚区天然气管网</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供热</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生产供热由1台</w:t>
                  </w:r>
                  <w:r>
                    <w:rPr>
                      <w:rFonts w:hint="eastAsia" w:ascii="Times New Roman" w:hAnsi="Times New Roman" w:eastAsia="宋体" w:cs="Times New Roman"/>
                      <w:color w:val="auto"/>
                      <w:kern w:val="0"/>
                      <w:szCs w:val="21"/>
                      <w:lang w:val="en-US" w:eastAsia="zh-CN"/>
                    </w:rPr>
                    <w:t>15</w:t>
                  </w:r>
                  <w:r>
                    <w:rPr>
                      <w:rFonts w:ascii="Times New Roman" w:hAnsi="Times New Roman" w:eastAsia="宋体" w:cs="Times New Roman"/>
                      <w:color w:val="auto"/>
                      <w:kern w:val="0"/>
                      <w:szCs w:val="21"/>
                    </w:rPr>
                    <w:t>0万大卡</w:t>
                  </w:r>
                  <w:r>
                    <w:rPr>
                      <w:rFonts w:hint="eastAsia" w:ascii="Times New Roman" w:hAnsi="Times New Roman" w:eastAsia="宋体" w:cs="Times New Roman"/>
                      <w:color w:val="auto"/>
                      <w:kern w:val="0"/>
                      <w:szCs w:val="21"/>
                      <w:lang w:eastAsia="zh-CN"/>
                    </w:rPr>
                    <w:t>的</w:t>
                  </w:r>
                  <w:r>
                    <w:rPr>
                      <w:rFonts w:hint="eastAsia" w:ascii="Times New Roman" w:hAnsi="Times New Roman" w:eastAsia="宋体" w:cs="Times New Roman"/>
                      <w:color w:val="auto"/>
                      <w:kern w:val="0"/>
                      <w:szCs w:val="21"/>
                      <w:lang w:val="en-US" w:eastAsia="zh-CN"/>
                    </w:rPr>
                    <w:t>导热油炉提供</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储运</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工程</w:t>
                  </w: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原料</w:t>
                  </w:r>
                  <w:r>
                    <w:rPr>
                      <w:rFonts w:hint="default" w:ascii="Times New Roman" w:hAnsi="Times New Roman" w:eastAsia="宋体" w:cs="Times New Roman"/>
                      <w:b w:val="0"/>
                      <w:bCs/>
                      <w:color w:val="auto"/>
                      <w:sz w:val="21"/>
                      <w:szCs w:val="21"/>
                      <w:highlight w:val="none"/>
                      <w:lang w:val="en-US" w:eastAsia="zh-CN"/>
                    </w:rPr>
                    <w:t>区</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kern w:val="2"/>
                      <w:sz w:val="21"/>
                      <w:szCs w:val="21"/>
                      <w:highlight w:val="none"/>
                      <w:lang w:val="en-US" w:eastAsia="zh-CN" w:bidi="ar-SA"/>
                    </w:rPr>
                    <w:t>设置在生产车间</w:t>
                  </w:r>
                  <w:r>
                    <w:rPr>
                      <w:rFonts w:hint="eastAsia" w:ascii="Times New Roman" w:hAnsi="Times New Roman" w:eastAsia="宋体" w:cs="Times New Roman"/>
                      <w:b w:val="0"/>
                      <w:bCs/>
                      <w:color w:val="auto"/>
                      <w:kern w:val="2"/>
                      <w:sz w:val="21"/>
                      <w:szCs w:val="21"/>
                      <w:highlight w:val="none"/>
                      <w:lang w:val="en-US" w:eastAsia="zh-CN" w:bidi="ar-SA"/>
                    </w:rPr>
                    <w:t>内的</w:t>
                  </w:r>
                  <w:r>
                    <w:rPr>
                      <w:rFonts w:hint="default" w:ascii="Times New Roman" w:hAnsi="Times New Roman" w:eastAsia="宋体" w:cs="Times New Roman"/>
                      <w:b w:val="0"/>
                      <w:bCs/>
                      <w:color w:val="auto"/>
                      <w:kern w:val="2"/>
                      <w:sz w:val="21"/>
                      <w:szCs w:val="21"/>
                      <w:highlight w:val="none"/>
                      <w:lang w:val="en-US" w:eastAsia="zh-CN" w:bidi="ar-SA"/>
                    </w:rPr>
                    <w:t>西侧，占地面积</w:t>
                  </w:r>
                  <w:r>
                    <w:rPr>
                      <w:rFonts w:hint="default" w:ascii="Times New Roman" w:hAnsi="Times New Roman" w:eastAsia="宋体" w:cs="Times New Roman"/>
                      <w:b w:val="0"/>
                      <w:bCs/>
                      <w:color w:val="auto"/>
                      <w:sz w:val="21"/>
                      <w:szCs w:val="21"/>
                      <w:highlight w:val="none"/>
                      <w:lang w:val="en-US" w:eastAsia="zh-CN"/>
                    </w:rPr>
                    <w:t>1000m</w:t>
                  </w:r>
                  <w:r>
                    <w:rPr>
                      <w:rFonts w:hint="default" w:ascii="Times New Roman" w:hAnsi="Times New Roman" w:eastAsia="宋体" w:cs="Times New Roman"/>
                      <w:b w:val="0"/>
                      <w:bCs/>
                      <w:color w:val="auto"/>
                      <w:sz w:val="21"/>
                      <w:szCs w:val="21"/>
                      <w:highlight w:val="none"/>
                      <w:vertAlign w:val="superscript"/>
                      <w:lang w:val="en-US" w:eastAsia="zh-CN"/>
                    </w:rPr>
                    <w:t>2</w:t>
                  </w:r>
                  <w:r>
                    <w:rPr>
                      <w:rFonts w:hint="default" w:ascii="Times New Roman" w:hAnsi="Times New Roman" w:eastAsia="宋体" w:cs="Times New Roman"/>
                      <w:b w:val="0"/>
                      <w:bCs/>
                      <w:color w:val="auto"/>
                      <w:sz w:val="21"/>
                      <w:szCs w:val="21"/>
                      <w:highlight w:val="none"/>
                      <w:vertAlign w:val="baseline"/>
                      <w:lang w:val="en-US" w:eastAsia="zh-CN"/>
                    </w:rPr>
                    <w:t>，存放胎基、聚乙烯膜等</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成品堆放区</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default" w:ascii="Times New Roman" w:hAnsi="Times New Roman" w:eastAsia="宋体" w:cs="Times New Roman"/>
                      <w:b w:val="0"/>
                      <w:bCs/>
                      <w:color w:val="auto"/>
                      <w:kern w:val="2"/>
                      <w:sz w:val="21"/>
                      <w:szCs w:val="21"/>
                      <w:highlight w:val="none"/>
                      <w:lang w:val="en-US" w:eastAsia="zh-CN" w:bidi="ar-SA"/>
                    </w:rPr>
                    <w:t>设置在生产车间</w:t>
                  </w:r>
                  <w:r>
                    <w:rPr>
                      <w:rFonts w:hint="eastAsia" w:ascii="Times New Roman" w:hAnsi="Times New Roman" w:eastAsia="宋体" w:cs="Times New Roman"/>
                      <w:b w:val="0"/>
                      <w:bCs/>
                      <w:color w:val="auto"/>
                      <w:kern w:val="2"/>
                      <w:sz w:val="21"/>
                      <w:szCs w:val="21"/>
                      <w:highlight w:val="none"/>
                      <w:lang w:val="en-US" w:eastAsia="zh-CN" w:bidi="ar-SA"/>
                    </w:rPr>
                    <w:t>内的</w:t>
                  </w:r>
                  <w:r>
                    <w:rPr>
                      <w:rFonts w:hint="default" w:ascii="Times New Roman" w:hAnsi="Times New Roman" w:eastAsia="宋体" w:cs="Times New Roman"/>
                      <w:b w:val="0"/>
                      <w:bCs/>
                      <w:color w:val="auto"/>
                      <w:kern w:val="2"/>
                      <w:sz w:val="21"/>
                      <w:szCs w:val="21"/>
                      <w:highlight w:val="none"/>
                      <w:lang w:val="en-US" w:eastAsia="zh-CN" w:bidi="ar-SA"/>
                    </w:rPr>
                    <w:t>东侧，占地面积</w:t>
                  </w:r>
                  <w:r>
                    <w:rPr>
                      <w:rFonts w:hint="default" w:ascii="Times New Roman" w:hAnsi="Times New Roman" w:eastAsia="宋体" w:cs="Times New Roman"/>
                      <w:b w:val="0"/>
                      <w:bCs/>
                      <w:color w:val="auto"/>
                      <w:sz w:val="21"/>
                      <w:szCs w:val="21"/>
                      <w:highlight w:val="none"/>
                      <w:lang w:val="en-US" w:eastAsia="zh-CN"/>
                    </w:rPr>
                    <w:t>2000m</w:t>
                  </w:r>
                  <w:r>
                    <w:rPr>
                      <w:rFonts w:hint="default" w:ascii="Times New Roman" w:hAnsi="Times New Roman" w:eastAsia="宋体" w:cs="Times New Roman"/>
                      <w:b w:val="0"/>
                      <w:bCs/>
                      <w:color w:val="auto"/>
                      <w:sz w:val="21"/>
                      <w:szCs w:val="21"/>
                      <w:highlight w:val="none"/>
                      <w:vertAlign w:val="superscript"/>
                      <w:lang w:val="en-US" w:eastAsia="zh-CN"/>
                    </w:rPr>
                    <w:t>2</w:t>
                  </w:r>
                  <w:r>
                    <w:rPr>
                      <w:rFonts w:hint="default" w:ascii="Times New Roman" w:hAnsi="Times New Roman" w:eastAsia="宋体" w:cs="Times New Roman"/>
                      <w:b w:val="0"/>
                      <w:bCs/>
                      <w:color w:val="auto"/>
                      <w:sz w:val="21"/>
                      <w:szCs w:val="21"/>
                      <w:highlight w:val="none"/>
                      <w:vertAlign w:val="baseline"/>
                      <w:lang w:val="en-US" w:eastAsia="zh-CN"/>
                    </w:rPr>
                    <w:t>，存放防水卷材</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沥青</w:t>
                  </w:r>
                  <w:r>
                    <w:rPr>
                      <w:rFonts w:hint="default" w:ascii="Times New Roman" w:hAnsi="Times New Roman" w:eastAsia="宋体" w:cs="Times New Roman"/>
                      <w:b w:val="0"/>
                      <w:bCs/>
                      <w:color w:val="auto"/>
                      <w:sz w:val="21"/>
                      <w:szCs w:val="21"/>
                      <w:highlight w:val="none"/>
                      <w:lang w:eastAsia="zh-CN"/>
                    </w:rPr>
                    <w:t>供给</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kern w:val="2"/>
                      <w:sz w:val="21"/>
                      <w:szCs w:val="21"/>
                      <w:highlight w:val="none"/>
                      <w:lang w:val="en-US" w:eastAsia="zh-CN" w:bidi="ar-SA"/>
                    </w:rPr>
                    <w:t>设置</w:t>
                  </w:r>
                  <w:r>
                    <w:rPr>
                      <w:rFonts w:hint="default" w:ascii="Times New Roman" w:hAnsi="Times New Roman" w:eastAsia="宋体" w:cs="Times New Roman"/>
                      <w:b w:val="0"/>
                      <w:bCs/>
                      <w:color w:val="auto"/>
                      <w:sz w:val="21"/>
                      <w:szCs w:val="21"/>
                      <w:highlight w:val="none"/>
                      <w:lang w:val="en-US" w:eastAsia="zh-CN"/>
                    </w:rPr>
                    <w:t>1座200m</w:t>
                  </w:r>
                  <w:r>
                    <w:rPr>
                      <w:rFonts w:hint="default" w:ascii="Times New Roman" w:hAnsi="Times New Roman"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vertAlign w:val="baseline"/>
                      <w:lang w:val="en-US" w:eastAsia="zh-CN"/>
                    </w:rPr>
                    <w:t>的沥青储罐</w:t>
                  </w:r>
                  <w:r>
                    <w:rPr>
                      <w:rFonts w:hint="eastAsia" w:ascii="Times New Roman" w:hAnsi="Times New Roman" w:eastAsia="宋体" w:cs="Times New Roman"/>
                      <w:b w:val="0"/>
                      <w:bCs/>
                      <w:color w:val="auto"/>
                      <w:sz w:val="21"/>
                      <w:szCs w:val="21"/>
                      <w:highlight w:val="none"/>
                      <w:vertAlign w:val="baseline"/>
                      <w:lang w:val="en-US" w:eastAsia="zh-CN"/>
                    </w:rPr>
                    <w:t>，</w:t>
                  </w:r>
                  <w:r>
                    <w:rPr>
                      <w:rFonts w:hint="eastAsia" w:ascii="Times New Roman" w:hAnsi="Times New Roman" w:eastAsia="宋体" w:cs="Times New Roman"/>
                      <w:b w:val="0"/>
                      <w:bCs/>
                      <w:color w:val="auto"/>
                      <w:kern w:val="2"/>
                      <w:sz w:val="21"/>
                      <w:szCs w:val="21"/>
                      <w:highlight w:val="none"/>
                      <w:lang w:val="en-US" w:eastAsia="zh-CN" w:bidi="ar-SA"/>
                    </w:rPr>
                    <w:t>位于</w:t>
                  </w:r>
                  <w:r>
                    <w:rPr>
                      <w:rFonts w:hint="default" w:ascii="Times New Roman" w:hAnsi="Times New Roman" w:eastAsia="宋体" w:cs="Times New Roman"/>
                      <w:b w:val="0"/>
                      <w:bCs/>
                      <w:color w:val="auto"/>
                      <w:kern w:val="2"/>
                      <w:sz w:val="21"/>
                      <w:szCs w:val="21"/>
                      <w:highlight w:val="none"/>
                      <w:lang w:val="en-US" w:eastAsia="zh-CN" w:bidi="ar-SA"/>
                    </w:rPr>
                    <w:t>生产车间</w:t>
                  </w:r>
                  <w:r>
                    <w:rPr>
                      <w:rFonts w:hint="eastAsia" w:ascii="Times New Roman" w:hAnsi="Times New Roman" w:eastAsia="宋体" w:cs="Times New Roman"/>
                      <w:b w:val="0"/>
                      <w:bCs/>
                      <w:color w:val="auto"/>
                      <w:kern w:val="2"/>
                      <w:sz w:val="21"/>
                      <w:szCs w:val="21"/>
                      <w:highlight w:val="none"/>
                      <w:lang w:val="en-US" w:eastAsia="zh-CN" w:bidi="ar-SA"/>
                    </w:rPr>
                    <w:t>南</w:t>
                  </w:r>
                  <w:r>
                    <w:rPr>
                      <w:rFonts w:hint="default" w:ascii="Times New Roman" w:hAnsi="Times New Roman" w:eastAsia="宋体" w:cs="Times New Roman"/>
                      <w:b w:val="0"/>
                      <w:bCs/>
                      <w:color w:val="auto"/>
                      <w:kern w:val="2"/>
                      <w:sz w:val="21"/>
                      <w:szCs w:val="21"/>
                      <w:highlight w:val="none"/>
                      <w:lang w:val="en-US" w:eastAsia="zh-CN" w:bidi="ar-SA"/>
                    </w:rPr>
                    <w:t>侧</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粉料供给</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设置1座100m</w:t>
                  </w:r>
                  <w:r>
                    <w:rPr>
                      <w:rFonts w:hint="default" w:ascii="Times New Roman" w:hAnsi="Times New Roman"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vertAlign w:val="baseline"/>
                      <w:lang w:val="en-US" w:eastAsia="zh-CN"/>
                    </w:rPr>
                    <w:t>的橡胶粉储罐和1座100</w:t>
                  </w:r>
                  <w:r>
                    <w:rPr>
                      <w:rFonts w:hint="default" w:ascii="Times New Roman" w:hAnsi="Times New Roman" w:eastAsia="宋体" w:cs="Times New Roman"/>
                      <w:b w:val="0"/>
                      <w:bCs/>
                      <w:color w:val="auto"/>
                      <w:sz w:val="21"/>
                      <w:szCs w:val="21"/>
                      <w:highlight w:val="none"/>
                      <w:lang w:val="en-US" w:eastAsia="zh-CN"/>
                    </w:rPr>
                    <w:t>m</w:t>
                  </w:r>
                  <w:r>
                    <w:rPr>
                      <w:rFonts w:hint="default" w:ascii="Times New Roman" w:hAnsi="Times New Roman"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vertAlign w:val="baseline"/>
                      <w:lang w:val="en-US" w:eastAsia="zh-CN"/>
                    </w:rPr>
                    <w:t>的滑石粉储罐</w:t>
                  </w:r>
                  <w:r>
                    <w:rPr>
                      <w:rFonts w:hint="eastAsia" w:ascii="Times New Roman" w:hAnsi="Times New Roman" w:eastAsia="宋体" w:cs="Times New Roman"/>
                      <w:b w:val="0"/>
                      <w:bCs/>
                      <w:color w:val="auto"/>
                      <w:sz w:val="21"/>
                      <w:szCs w:val="21"/>
                      <w:highlight w:val="none"/>
                      <w:vertAlign w:val="baseline"/>
                      <w:lang w:val="en-US" w:eastAsia="zh-CN"/>
                    </w:rPr>
                    <w:t>，</w:t>
                  </w:r>
                  <w:r>
                    <w:rPr>
                      <w:rFonts w:hint="eastAsia" w:ascii="Times New Roman" w:hAnsi="Times New Roman" w:eastAsia="宋体" w:cs="Times New Roman"/>
                      <w:b w:val="0"/>
                      <w:bCs/>
                      <w:color w:val="auto"/>
                      <w:kern w:val="2"/>
                      <w:sz w:val="21"/>
                      <w:szCs w:val="21"/>
                      <w:highlight w:val="none"/>
                      <w:lang w:val="en-US" w:eastAsia="zh-CN" w:bidi="ar-SA"/>
                    </w:rPr>
                    <w:t>位于</w:t>
                  </w:r>
                  <w:r>
                    <w:rPr>
                      <w:rFonts w:hint="default" w:ascii="Times New Roman" w:hAnsi="Times New Roman" w:eastAsia="宋体" w:cs="Times New Roman"/>
                      <w:b w:val="0"/>
                      <w:bCs/>
                      <w:color w:val="auto"/>
                      <w:kern w:val="2"/>
                      <w:sz w:val="21"/>
                      <w:szCs w:val="21"/>
                      <w:highlight w:val="none"/>
                      <w:lang w:val="en-US" w:eastAsia="zh-CN" w:bidi="ar-SA"/>
                    </w:rPr>
                    <w:t>生产车间</w:t>
                  </w:r>
                  <w:r>
                    <w:rPr>
                      <w:rFonts w:hint="eastAsia" w:ascii="Times New Roman" w:hAnsi="Times New Roman" w:eastAsia="宋体" w:cs="Times New Roman"/>
                      <w:b w:val="0"/>
                      <w:bCs/>
                      <w:color w:val="auto"/>
                      <w:kern w:val="2"/>
                      <w:sz w:val="21"/>
                      <w:szCs w:val="21"/>
                      <w:highlight w:val="none"/>
                      <w:lang w:val="en-US" w:eastAsia="zh-CN" w:bidi="ar-SA"/>
                    </w:rPr>
                    <w:t>南</w:t>
                  </w:r>
                  <w:r>
                    <w:rPr>
                      <w:rFonts w:hint="default" w:ascii="Times New Roman" w:hAnsi="Times New Roman" w:eastAsia="宋体" w:cs="Times New Roman"/>
                      <w:b w:val="0"/>
                      <w:bCs/>
                      <w:color w:val="auto"/>
                      <w:kern w:val="2"/>
                      <w:sz w:val="21"/>
                      <w:szCs w:val="21"/>
                      <w:highlight w:val="none"/>
                      <w:lang w:val="en-US" w:eastAsia="zh-CN" w:bidi="ar-SA"/>
                    </w:rPr>
                    <w:t>侧</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橡胶油供给</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设置1座50m</w:t>
                  </w:r>
                  <w:r>
                    <w:rPr>
                      <w:rFonts w:hint="default" w:ascii="Times New Roman" w:hAnsi="Times New Roman"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vertAlign w:val="baseline"/>
                      <w:lang w:val="en-US" w:eastAsia="zh-CN"/>
                    </w:rPr>
                    <w:t>的橡胶油储罐</w:t>
                  </w:r>
                  <w:r>
                    <w:rPr>
                      <w:rFonts w:hint="eastAsia" w:ascii="Times New Roman" w:hAnsi="Times New Roman" w:eastAsia="宋体" w:cs="Times New Roman"/>
                      <w:b w:val="0"/>
                      <w:bCs/>
                      <w:color w:val="auto"/>
                      <w:sz w:val="21"/>
                      <w:szCs w:val="21"/>
                      <w:highlight w:val="none"/>
                      <w:vertAlign w:val="baseline"/>
                      <w:lang w:val="en-US" w:eastAsia="zh-CN"/>
                    </w:rPr>
                    <w:t>，</w:t>
                  </w:r>
                  <w:r>
                    <w:rPr>
                      <w:rFonts w:hint="eastAsia" w:ascii="Times New Roman" w:hAnsi="Times New Roman" w:eastAsia="宋体" w:cs="Times New Roman"/>
                      <w:b w:val="0"/>
                      <w:bCs/>
                      <w:color w:val="auto"/>
                      <w:kern w:val="2"/>
                      <w:sz w:val="21"/>
                      <w:szCs w:val="21"/>
                      <w:highlight w:val="none"/>
                      <w:lang w:val="en-US" w:eastAsia="zh-CN" w:bidi="ar-SA"/>
                    </w:rPr>
                    <w:t>位于</w:t>
                  </w:r>
                  <w:r>
                    <w:rPr>
                      <w:rFonts w:hint="default" w:ascii="Times New Roman" w:hAnsi="Times New Roman" w:eastAsia="宋体" w:cs="Times New Roman"/>
                      <w:b w:val="0"/>
                      <w:bCs/>
                      <w:color w:val="auto"/>
                      <w:kern w:val="2"/>
                      <w:sz w:val="21"/>
                      <w:szCs w:val="21"/>
                      <w:highlight w:val="none"/>
                      <w:lang w:val="en-US" w:eastAsia="zh-CN" w:bidi="ar-SA"/>
                    </w:rPr>
                    <w:t>生产车间</w:t>
                  </w:r>
                  <w:r>
                    <w:rPr>
                      <w:rFonts w:hint="eastAsia" w:ascii="Times New Roman" w:hAnsi="Times New Roman" w:eastAsia="宋体" w:cs="Times New Roman"/>
                      <w:b w:val="0"/>
                      <w:bCs/>
                      <w:color w:val="auto"/>
                      <w:kern w:val="2"/>
                      <w:sz w:val="21"/>
                      <w:szCs w:val="21"/>
                      <w:highlight w:val="none"/>
                      <w:lang w:val="en-US" w:eastAsia="zh-CN" w:bidi="ar-SA"/>
                    </w:rPr>
                    <w:t>南</w:t>
                  </w:r>
                  <w:r>
                    <w:rPr>
                      <w:rFonts w:hint="default" w:ascii="Times New Roman" w:hAnsi="Times New Roman" w:eastAsia="宋体" w:cs="Times New Roman"/>
                      <w:b w:val="0"/>
                      <w:bCs/>
                      <w:color w:val="auto"/>
                      <w:kern w:val="2"/>
                      <w:sz w:val="21"/>
                      <w:szCs w:val="21"/>
                      <w:highlight w:val="none"/>
                      <w:lang w:val="en-US" w:eastAsia="zh-CN" w:bidi="ar-SA"/>
                    </w:rPr>
                    <w:t>侧</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原料进场</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油类</w:t>
                  </w:r>
                  <w:r>
                    <w:rPr>
                      <w:rFonts w:hint="default" w:ascii="Times New Roman" w:hAnsi="Times New Roman" w:eastAsia="宋体" w:cs="Times New Roman"/>
                      <w:b w:val="0"/>
                      <w:bCs/>
                      <w:color w:val="auto"/>
                      <w:sz w:val="21"/>
                      <w:szCs w:val="21"/>
                      <w:highlight w:val="none"/>
                      <w:lang w:eastAsia="zh-CN"/>
                    </w:rPr>
                    <w:t>、粉料由供货商采用罐车运输入厂，</w:t>
                  </w:r>
                  <w:r>
                    <w:rPr>
                      <w:rFonts w:hint="default" w:ascii="Times New Roman" w:hAnsi="Times New Roman" w:eastAsia="宋体" w:cs="Times New Roman"/>
                      <w:b w:val="0"/>
                      <w:bCs/>
                      <w:color w:val="auto"/>
                      <w:sz w:val="21"/>
                      <w:szCs w:val="21"/>
                      <w:highlight w:val="none"/>
                      <w:lang w:val="en-US" w:eastAsia="zh-CN"/>
                    </w:rPr>
                    <w:t>其他物</w:t>
                  </w:r>
                  <w:r>
                    <w:rPr>
                      <w:rFonts w:hint="default" w:ascii="Times New Roman" w:hAnsi="Times New Roman" w:eastAsia="宋体" w:cs="Times New Roman"/>
                      <w:b w:val="0"/>
                      <w:bCs/>
                      <w:color w:val="auto"/>
                      <w:sz w:val="21"/>
                      <w:szCs w:val="21"/>
                      <w:highlight w:val="none"/>
                      <w:lang w:eastAsia="zh-CN"/>
                    </w:rPr>
                    <w:t>料由供货商采用</w:t>
                  </w:r>
                  <w:r>
                    <w:rPr>
                      <w:rFonts w:hint="default" w:ascii="Times New Roman" w:hAnsi="Times New Roman" w:eastAsia="宋体" w:cs="Times New Roman"/>
                      <w:b w:val="0"/>
                      <w:bCs/>
                      <w:color w:val="auto"/>
                      <w:sz w:val="21"/>
                      <w:szCs w:val="21"/>
                      <w:highlight w:val="none"/>
                      <w:lang w:val="en-US" w:eastAsia="zh-CN"/>
                    </w:rPr>
                    <w:t>厢式货</w:t>
                  </w:r>
                  <w:r>
                    <w:rPr>
                      <w:rFonts w:hint="default" w:ascii="Times New Roman" w:hAnsi="Times New Roman" w:eastAsia="宋体" w:cs="Times New Roman"/>
                      <w:b w:val="0"/>
                      <w:bCs/>
                      <w:color w:val="auto"/>
                      <w:sz w:val="21"/>
                      <w:szCs w:val="21"/>
                      <w:highlight w:val="none"/>
                      <w:lang w:eastAsia="zh-CN"/>
                    </w:rPr>
                    <w:t>车</w:t>
                  </w:r>
                  <w:r>
                    <w:rPr>
                      <w:rFonts w:hint="default" w:ascii="Times New Roman" w:hAnsi="Times New Roman" w:eastAsia="宋体" w:cs="Times New Roman"/>
                      <w:b w:val="0"/>
                      <w:bCs/>
                      <w:color w:val="auto"/>
                      <w:sz w:val="21"/>
                      <w:szCs w:val="21"/>
                      <w:highlight w:val="none"/>
                      <w:lang w:val="en-US" w:eastAsia="zh-CN"/>
                    </w:rPr>
                    <w:t>或</w:t>
                  </w:r>
                  <w:r>
                    <w:rPr>
                      <w:rFonts w:hint="default" w:ascii="Times New Roman" w:hAnsi="Times New Roman" w:eastAsia="宋体" w:cs="Times New Roman"/>
                      <w:b w:val="0"/>
                      <w:bCs/>
                      <w:color w:val="auto"/>
                      <w:sz w:val="21"/>
                      <w:szCs w:val="21"/>
                      <w:highlight w:val="none"/>
                      <w:lang w:eastAsia="zh-CN"/>
                    </w:rPr>
                    <w:t>加盖篷布的车辆运输入厂</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产品出厂</w:t>
                  </w:r>
                </w:p>
              </w:tc>
              <w:tc>
                <w:tcPr>
                  <w:tcW w:w="4878"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由</w:t>
                  </w:r>
                  <w:r>
                    <w:rPr>
                      <w:rFonts w:hint="default" w:ascii="Times New Roman" w:hAnsi="Times New Roman" w:eastAsia="宋体" w:cs="Times New Roman"/>
                      <w:b w:val="0"/>
                      <w:bCs/>
                      <w:color w:val="auto"/>
                      <w:sz w:val="21"/>
                      <w:szCs w:val="21"/>
                      <w:highlight w:val="none"/>
                      <w:lang w:val="en-US" w:eastAsia="zh-CN"/>
                    </w:rPr>
                    <w:t>厢式货</w:t>
                  </w:r>
                  <w:r>
                    <w:rPr>
                      <w:rFonts w:hint="default" w:ascii="Times New Roman" w:hAnsi="Times New Roman" w:eastAsia="宋体" w:cs="Times New Roman"/>
                      <w:b w:val="0"/>
                      <w:bCs/>
                      <w:color w:val="auto"/>
                      <w:sz w:val="21"/>
                      <w:szCs w:val="21"/>
                      <w:highlight w:val="none"/>
                      <w:lang w:eastAsia="zh-CN"/>
                    </w:rPr>
                    <w:t>车</w:t>
                  </w:r>
                  <w:r>
                    <w:rPr>
                      <w:rFonts w:hint="default" w:ascii="Times New Roman" w:hAnsi="Times New Roman" w:eastAsia="宋体" w:cs="Times New Roman"/>
                      <w:b w:val="0"/>
                      <w:bCs/>
                      <w:color w:val="auto"/>
                      <w:sz w:val="21"/>
                      <w:szCs w:val="21"/>
                      <w:highlight w:val="none"/>
                      <w:lang w:val="en-US" w:eastAsia="zh-CN"/>
                    </w:rPr>
                    <w:t>或</w:t>
                  </w:r>
                  <w:r>
                    <w:rPr>
                      <w:rFonts w:hint="default" w:ascii="Times New Roman" w:hAnsi="Times New Roman" w:eastAsia="宋体" w:cs="Times New Roman"/>
                      <w:b w:val="0"/>
                      <w:bCs/>
                      <w:color w:val="auto"/>
                      <w:sz w:val="21"/>
                      <w:szCs w:val="21"/>
                      <w:highlight w:val="none"/>
                      <w:lang w:eastAsia="zh-CN"/>
                    </w:rPr>
                    <w:t>加盖篷布的车辆运输</w:t>
                  </w:r>
                  <w:r>
                    <w:rPr>
                      <w:rFonts w:hint="default" w:ascii="Times New Roman" w:hAnsi="Times New Roman" w:eastAsia="宋体" w:cs="Times New Roman"/>
                      <w:b w:val="0"/>
                      <w:bCs/>
                      <w:color w:val="auto"/>
                      <w:sz w:val="21"/>
                      <w:szCs w:val="21"/>
                      <w:highlight w:val="none"/>
                      <w:lang w:val="en-US" w:eastAsia="zh-CN"/>
                    </w:rPr>
                    <w:t>出厂</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环保</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工程</w:t>
                  </w:r>
                </w:p>
              </w:tc>
              <w:tc>
                <w:tcPr>
                  <w:tcW w:w="46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废气</w:t>
                  </w: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eastAsia" w:ascii="Times New Roman" w:hAnsi="Times New Roman" w:eastAsia="宋体" w:cs="Times New Roman"/>
                      <w:b w:val="0"/>
                      <w:bCs/>
                      <w:color w:val="auto"/>
                      <w:kern w:val="0"/>
                      <w:sz w:val="21"/>
                      <w:szCs w:val="21"/>
                      <w:lang w:val="en-US" w:eastAsia="zh-CN" w:bidi="ar-SA"/>
                    </w:rPr>
                    <w:t>原料储存</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lang w:val="en-US" w:eastAsia="zh-CN" w:bidi="ar-SA"/>
                    </w:rPr>
                    <w:t>全封闭储库内，地面并进行了硬化</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导热油炉</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加装预混式低氮燃烧器，烟气经8m高的排气筒排放</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lang w:val="en-US" w:eastAsia="zh-CN"/>
                    </w:rPr>
                    <w:t>沥青</w:t>
                  </w:r>
                  <w:r>
                    <w:rPr>
                      <w:rFonts w:hint="default" w:ascii="Times New Roman" w:hAnsi="Times New Roman" w:eastAsia="宋体" w:cs="Times New Roman"/>
                      <w:b w:val="0"/>
                      <w:bCs/>
                      <w:color w:val="auto"/>
                      <w:kern w:val="44"/>
                      <w:sz w:val="21"/>
                      <w:szCs w:val="21"/>
                      <w:lang w:val="en-US" w:eastAsia="zh-CN"/>
                    </w:rPr>
                    <w:t>加热</w:t>
                  </w:r>
                  <w:r>
                    <w:rPr>
                      <w:rFonts w:hint="default" w:ascii="Times New Roman" w:hAnsi="Times New Roman" w:eastAsia="宋体" w:cs="Times New Roman"/>
                      <w:b w:val="0"/>
                      <w:bCs/>
                      <w:color w:val="auto"/>
                      <w:sz w:val="21"/>
                      <w:szCs w:val="21"/>
                      <w:highlight w:val="none"/>
                      <w:lang w:val="en-US" w:eastAsia="zh-CN"/>
                    </w:rPr>
                    <w:t>储存</w:t>
                  </w:r>
                  <w:r>
                    <w:rPr>
                      <w:rFonts w:hint="default" w:ascii="Times New Roman" w:hAnsi="Times New Roman" w:eastAsia="宋体" w:cs="Times New Roman"/>
                      <w:b w:val="0"/>
                      <w:bCs/>
                      <w:color w:val="auto"/>
                      <w:kern w:val="44"/>
                      <w:sz w:val="21"/>
                      <w:szCs w:val="21"/>
                    </w:rPr>
                    <w:t>、</w:t>
                  </w:r>
                  <w:r>
                    <w:rPr>
                      <w:rFonts w:hint="default" w:ascii="Times New Roman" w:hAnsi="Times New Roman" w:eastAsia="宋体" w:cs="Times New Roman"/>
                      <w:b w:val="0"/>
                      <w:bCs/>
                      <w:color w:val="auto"/>
                      <w:sz w:val="21"/>
                      <w:szCs w:val="21"/>
                      <w:lang w:val="en-US" w:eastAsia="zh-CN"/>
                    </w:rPr>
                    <w:t>配料、</w:t>
                  </w:r>
                  <w:r>
                    <w:rPr>
                      <w:rFonts w:hint="default" w:ascii="Times New Roman" w:hAnsi="Times New Roman" w:eastAsia="宋体" w:cs="Times New Roman"/>
                      <w:b w:val="0"/>
                      <w:bCs/>
                      <w:color w:val="auto"/>
                      <w:sz w:val="21"/>
                      <w:szCs w:val="21"/>
                    </w:rPr>
                    <w:t>搅拌、浸油、涂油</w:t>
                  </w:r>
                  <w:r>
                    <w:rPr>
                      <w:rFonts w:hint="eastAsia" w:ascii="Times New Roman" w:hAnsi="Times New Roman" w:eastAsia="宋体" w:cs="Times New Roman"/>
                      <w:b w:val="0"/>
                      <w:bCs/>
                      <w:color w:val="auto"/>
                      <w:sz w:val="21"/>
                      <w:szCs w:val="21"/>
                      <w:lang w:val="en-US" w:eastAsia="zh-CN"/>
                    </w:rPr>
                    <w:t>、</w:t>
                  </w:r>
                  <w:r>
                    <w:rPr>
                      <w:rFonts w:hint="default" w:ascii="Times New Roman" w:hAnsi="Times New Roman" w:eastAsia="宋体" w:cs="Times New Roman"/>
                      <w:b w:val="0"/>
                      <w:bCs/>
                      <w:color w:val="auto"/>
                      <w:sz w:val="21"/>
                      <w:szCs w:val="21"/>
                      <w:lang w:val="en-US" w:eastAsia="zh-CN"/>
                    </w:rPr>
                    <w:t>覆膜</w:t>
                  </w:r>
                  <w:r>
                    <w:rPr>
                      <w:rFonts w:hint="eastAsia" w:ascii="Times New Roman" w:hAnsi="Times New Roman" w:eastAsia="宋体" w:cs="Times New Roman"/>
                      <w:b w:val="0"/>
                      <w:bCs/>
                      <w:color w:val="auto"/>
                      <w:sz w:val="21"/>
                      <w:szCs w:val="21"/>
                      <w:lang w:val="en-US" w:eastAsia="zh-CN"/>
                    </w:rPr>
                    <w:t>和冷却</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经收集后一同经</w:t>
                  </w:r>
                  <w:r>
                    <w:rPr>
                      <w:rFonts w:hint="default" w:ascii="Times New Roman" w:hAnsi="Times New Roman" w:eastAsia="宋体" w:cs="Times New Roman"/>
                      <w:b w:val="0"/>
                      <w:bCs/>
                      <w:color w:val="auto"/>
                      <w:kern w:val="0"/>
                      <w:sz w:val="21"/>
                      <w:szCs w:val="21"/>
                      <w:lang w:eastAsia="zh-CN"/>
                    </w:rPr>
                    <w:t>“</w:t>
                  </w:r>
                  <w:r>
                    <w:rPr>
                      <w:rFonts w:hint="default" w:ascii="Times New Roman" w:hAnsi="Times New Roman" w:eastAsia="宋体" w:cs="Times New Roman"/>
                      <w:b w:val="0"/>
                      <w:bCs/>
                      <w:color w:val="auto"/>
                      <w:sz w:val="21"/>
                      <w:szCs w:val="21"/>
                      <w:highlight w:val="none"/>
                      <w:lang w:val="en-US" w:eastAsia="zh-CN"/>
                    </w:rPr>
                    <w:t>水喷淋处理+气液分离+电捕捉+活性炭吸附</w:t>
                  </w:r>
                  <w:r>
                    <w:rPr>
                      <w:rFonts w:hint="default" w:ascii="Times New Roman" w:hAnsi="Times New Roman" w:eastAsia="宋体" w:cs="Times New Roman"/>
                      <w:b w:val="0"/>
                      <w:bCs/>
                      <w:color w:val="auto"/>
                      <w:kern w:val="0"/>
                      <w:sz w:val="21"/>
                      <w:szCs w:val="21"/>
                      <w:lang w:eastAsia="zh-CN"/>
                    </w:rPr>
                    <w:t>”</w:t>
                  </w:r>
                  <w:r>
                    <w:rPr>
                      <w:rFonts w:hint="default" w:ascii="Times New Roman" w:hAnsi="Times New Roman" w:eastAsia="宋体" w:cs="Times New Roman"/>
                      <w:b w:val="0"/>
                      <w:bCs/>
                      <w:color w:val="auto"/>
                      <w:kern w:val="0"/>
                      <w:sz w:val="21"/>
                      <w:szCs w:val="21"/>
                      <w:lang w:val="en-US" w:eastAsia="zh-CN"/>
                    </w:rPr>
                    <w:t>措施处理后经15</w:t>
                  </w:r>
                  <w:r>
                    <w:rPr>
                      <w:rFonts w:hint="default" w:ascii="Times New Roman" w:hAnsi="Times New Roman" w:eastAsia="宋体" w:cs="Times New Roman"/>
                      <w:b w:val="0"/>
                      <w:bCs/>
                      <w:color w:val="auto"/>
                      <w:kern w:val="0"/>
                      <w:sz w:val="21"/>
                      <w:szCs w:val="21"/>
                    </w:rPr>
                    <w:t>m高的排气筒排放</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lang w:val="en-US" w:eastAsia="zh-CN"/>
                    </w:rPr>
                    <w:t>滑石粉储罐</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imes New Roman"/>
                      <w:b w:val="0"/>
                      <w:bCs/>
                      <w:color w:val="auto"/>
                      <w:kern w:val="0"/>
                      <w:sz w:val="21"/>
                      <w:szCs w:val="21"/>
                      <w:lang w:eastAsia="zh-CN"/>
                    </w:rPr>
                  </w:pPr>
                  <w:r>
                    <w:rPr>
                      <w:rFonts w:hint="default" w:ascii="Times New Roman" w:hAnsi="Times New Roman" w:eastAsia="宋体" w:cs="Times New Roman"/>
                      <w:b w:val="0"/>
                      <w:bCs/>
                      <w:color w:val="auto"/>
                      <w:kern w:val="0"/>
                      <w:sz w:val="21"/>
                      <w:szCs w:val="21"/>
                    </w:rPr>
                    <w:t>仓顶设布袋除尘器，过滤风速0.6m/min，过滤面积</w:t>
                  </w:r>
                  <w:r>
                    <w:rPr>
                      <w:rFonts w:hint="default" w:ascii="Times New Roman" w:hAnsi="Times New Roman" w:eastAsia="宋体" w:cs="Times New Roman"/>
                      <w:b w:val="0"/>
                      <w:bCs/>
                      <w:color w:val="auto"/>
                      <w:kern w:val="0"/>
                      <w:sz w:val="21"/>
                      <w:szCs w:val="21"/>
                      <w:lang w:val="en-US" w:eastAsia="zh-CN"/>
                    </w:rPr>
                    <w:t>42</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vertAlign w:val="superscript"/>
                    </w:rPr>
                    <w:t>2</w:t>
                  </w:r>
                  <w:r>
                    <w:rPr>
                      <w:rFonts w:hint="default" w:ascii="Times New Roman" w:hAnsi="Times New Roman" w:eastAsia="宋体" w:cs="Times New Roman"/>
                      <w:b w:val="0"/>
                      <w:bCs/>
                      <w:color w:val="auto"/>
                      <w:kern w:val="0"/>
                      <w:sz w:val="21"/>
                      <w:szCs w:val="21"/>
                    </w:rPr>
                    <w:t>，废气经高于筒仓仓顶3m且不低于地面15m高的排气筒排放</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z w:val="21"/>
                      <w:szCs w:val="21"/>
                      <w:lang w:val="en-US" w:eastAsia="zh-CN"/>
                    </w:rPr>
                    <w:t>橡胶粉储罐</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仓顶设布袋除尘器，过滤风速0.6m/min，过滤面积</w:t>
                  </w:r>
                  <w:r>
                    <w:rPr>
                      <w:rFonts w:hint="default" w:ascii="Times New Roman" w:hAnsi="Times New Roman" w:eastAsia="宋体" w:cs="Times New Roman"/>
                      <w:b w:val="0"/>
                      <w:bCs/>
                      <w:color w:val="auto"/>
                      <w:kern w:val="0"/>
                      <w:sz w:val="21"/>
                      <w:szCs w:val="21"/>
                      <w:lang w:val="en-US" w:eastAsia="zh-CN"/>
                    </w:rPr>
                    <w:t>42</w:t>
                  </w:r>
                  <w:r>
                    <w:rPr>
                      <w:rFonts w:hint="default" w:ascii="Times New Roman" w:hAnsi="Times New Roman" w:eastAsia="宋体" w:cs="Times New Roman"/>
                      <w:b w:val="0"/>
                      <w:bCs/>
                      <w:color w:val="auto"/>
                      <w:sz w:val="21"/>
                      <w:szCs w:val="21"/>
                    </w:rPr>
                    <w:t>m</w:t>
                  </w:r>
                  <w:r>
                    <w:rPr>
                      <w:rFonts w:hint="default" w:ascii="Times New Roman" w:hAnsi="Times New Roman" w:eastAsia="宋体" w:cs="Times New Roman"/>
                      <w:b w:val="0"/>
                      <w:bCs/>
                      <w:color w:val="auto"/>
                      <w:sz w:val="21"/>
                      <w:szCs w:val="21"/>
                      <w:vertAlign w:val="superscript"/>
                    </w:rPr>
                    <w:t>2</w:t>
                  </w:r>
                  <w:r>
                    <w:rPr>
                      <w:rFonts w:hint="default" w:ascii="Times New Roman" w:hAnsi="Times New Roman" w:eastAsia="宋体" w:cs="Times New Roman"/>
                      <w:b w:val="0"/>
                      <w:bCs/>
                      <w:color w:val="auto"/>
                      <w:kern w:val="0"/>
                      <w:sz w:val="21"/>
                      <w:szCs w:val="21"/>
                    </w:rPr>
                    <w:t>，废气经高于筒仓仓顶3m且不低于地面15m高的排气筒排放</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输送</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滑石粉和橡胶粉由各自储罐通过密闭管道由螺旋输送的方式运送至配料罐</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汽车运输</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rPr>
                  </w:pPr>
                  <w:r>
                    <w:rPr>
                      <w:rFonts w:hint="default" w:ascii="Times New Roman" w:hAnsi="Times New Roman" w:eastAsia="宋体" w:cs="Times New Roman"/>
                      <w:b w:val="0"/>
                      <w:bCs/>
                      <w:color w:val="auto"/>
                      <w:kern w:val="0"/>
                      <w:sz w:val="21"/>
                      <w:szCs w:val="21"/>
                    </w:rPr>
                    <w:t>定期对道路清理，保持清洁；车辆出入口处设置洗车平台；全部采用国五排放标准及以上标准的汽车，限制车速和装载量，骨料运输车辆加盖篷布，粉状物料采用罐车运输</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废水</w:t>
                  </w:r>
                </w:p>
              </w:tc>
              <w:tc>
                <w:tcPr>
                  <w:tcW w:w="13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生活污水</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lang w:val="en-US" w:eastAsia="zh-CN"/>
                    </w:rPr>
                    <w:t>食堂废水</w:t>
                  </w:r>
                  <w:r>
                    <w:rPr>
                      <w:rFonts w:hint="eastAsia" w:ascii="Times New Roman" w:hAnsi="Times New Roman" w:eastAsia="宋体" w:cs="Times New Roman"/>
                      <w:b w:val="0"/>
                      <w:bCs/>
                      <w:color w:val="auto"/>
                      <w:sz w:val="21"/>
                      <w:szCs w:val="21"/>
                      <w:lang w:val="en-US" w:eastAsia="zh-CN"/>
                    </w:rPr>
                    <w:t>经隔油池</w:t>
                  </w:r>
                  <w:r>
                    <w:rPr>
                      <w:rFonts w:hint="default" w:ascii="Times New Roman" w:hAnsi="Times New Roman" w:eastAsia="宋体" w:cs="Times New Roman"/>
                      <w:b w:val="0"/>
                      <w:bCs/>
                      <w:color w:val="auto"/>
                      <w:sz w:val="21"/>
                      <w:szCs w:val="21"/>
                      <w:lang w:val="en-US" w:eastAsia="zh-CN"/>
                    </w:rPr>
                    <w:t>处理后同其它生活污水一起进入</w:t>
                  </w:r>
                  <w:r>
                    <w:rPr>
                      <w:rFonts w:hint="eastAsia" w:ascii="Times New Roman" w:hAnsi="Times New Roman" w:eastAsia="宋体" w:cs="Times New Roman"/>
                      <w:b w:val="0"/>
                      <w:bCs/>
                      <w:color w:val="auto"/>
                      <w:sz w:val="21"/>
                      <w:szCs w:val="21"/>
                      <w:lang w:val="en-US" w:eastAsia="zh-CN"/>
                    </w:rPr>
                    <w:t>10</w:t>
                  </w:r>
                  <w:r>
                    <w:rPr>
                      <w:rFonts w:ascii="Times New Roman" w:hAnsi="Times New Roman" w:eastAsia="宋体" w:cs="Times New Roman"/>
                      <w:color w:val="auto"/>
                      <w:sz w:val="21"/>
                      <w:szCs w:val="24"/>
                    </w:rPr>
                    <w:t>m</w:t>
                  </w:r>
                  <w:r>
                    <w:rPr>
                      <w:rFonts w:ascii="Times New Roman" w:hAnsi="Times New Roman" w:eastAsia="宋体" w:cs="Times New Roman"/>
                      <w:color w:val="auto"/>
                      <w:sz w:val="21"/>
                      <w:szCs w:val="24"/>
                      <w:vertAlign w:val="superscript"/>
                    </w:rPr>
                    <w:t>3</w:t>
                  </w:r>
                  <w:r>
                    <w:rPr>
                      <w:rFonts w:hint="default" w:ascii="Times New Roman" w:hAnsi="Times New Roman" w:eastAsia="宋体" w:cs="Times New Roman"/>
                      <w:b w:val="0"/>
                      <w:bCs/>
                      <w:color w:val="auto"/>
                      <w:sz w:val="21"/>
                      <w:szCs w:val="21"/>
                      <w:lang w:val="en-US" w:eastAsia="zh-CN"/>
                    </w:rPr>
                    <w:t>化粪池处理，经园区污水管网，排入大宁县金昕污水处理厂</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lang w:val="en-US" w:eastAsia="zh-CN"/>
                    </w:rPr>
                    <w:t>冷</w:t>
                  </w:r>
                  <w:r>
                    <w:rPr>
                      <w:rFonts w:hint="default" w:ascii="Times New Roman" w:hAnsi="Times New Roman" w:eastAsia="宋体" w:cs="Times New Roman"/>
                      <w:b w:val="0"/>
                      <w:bCs/>
                      <w:color w:val="auto"/>
                      <w:sz w:val="21"/>
                      <w:szCs w:val="21"/>
                    </w:rPr>
                    <w:t>却</w:t>
                  </w:r>
                  <w:r>
                    <w:rPr>
                      <w:rFonts w:hint="eastAsia" w:ascii="Times New Roman" w:hAnsi="Times New Roman" w:eastAsia="宋体" w:cs="Times New Roman"/>
                      <w:b w:val="0"/>
                      <w:bCs/>
                      <w:color w:val="auto"/>
                      <w:sz w:val="21"/>
                      <w:szCs w:val="21"/>
                      <w:lang w:val="en-US" w:eastAsia="zh-CN"/>
                    </w:rPr>
                    <w:t>废</w:t>
                  </w:r>
                  <w:r>
                    <w:rPr>
                      <w:rFonts w:hint="default" w:ascii="Times New Roman" w:hAnsi="Times New Roman" w:eastAsia="宋体" w:cs="Times New Roman"/>
                      <w:b w:val="0"/>
                      <w:bCs/>
                      <w:color w:val="auto"/>
                      <w:sz w:val="21"/>
                      <w:szCs w:val="21"/>
                    </w:rPr>
                    <w:t>水</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rPr>
                    <w:t>进入喷淋循环水处理系统处理后循环使用，不外排</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rPr>
                  </w:pPr>
                  <w:r>
                    <w:rPr>
                      <w:rFonts w:hint="default" w:ascii="Times New Roman" w:hAnsi="Times New Roman" w:eastAsia="宋体" w:cs="Times New Roman"/>
                      <w:b w:val="0"/>
                      <w:bCs/>
                      <w:color w:val="auto"/>
                      <w:kern w:val="0"/>
                      <w:sz w:val="21"/>
                      <w:szCs w:val="21"/>
                    </w:rPr>
                    <w:t>喷淋</w:t>
                  </w:r>
                  <w:r>
                    <w:rPr>
                      <w:rFonts w:hint="eastAsia" w:ascii="Times New Roman" w:hAnsi="Times New Roman" w:eastAsia="宋体" w:cs="Times New Roman"/>
                      <w:b w:val="0"/>
                      <w:bCs/>
                      <w:color w:val="auto"/>
                      <w:sz w:val="21"/>
                      <w:szCs w:val="21"/>
                      <w:lang w:val="en-US" w:eastAsia="zh-CN"/>
                    </w:rPr>
                    <w:t>废</w:t>
                  </w:r>
                  <w:r>
                    <w:rPr>
                      <w:rFonts w:hint="default" w:ascii="Times New Roman" w:hAnsi="Times New Roman" w:eastAsia="宋体" w:cs="Times New Roman"/>
                      <w:b w:val="0"/>
                      <w:bCs/>
                      <w:color w:val="auto"/>
                      <w:kern w:val="0"/>
                      <w:sz w:val="21"/>
                      <w:szCs w:val="21"/>
                    </w:rPr>
                    <w:t>水</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经喷淋循环水处理系统处理后循环使用（采用“隔油、气浮、粗滤”处理工艺，处理能力15m</w:t>
                  </w:r>
                  <w:r>
                    <w:rPr>
                      <w:rFonts w:hint="default" w:ascii="Times New Roman" w:hAnsi="Times New Roman" w:eastAsia="宋体" w:cs="Times New Roman"/>
                      <w:b w:val="0"/>
                      <w:bCs/>
                      <w:color w:val="auto"/>
                      <w:kern w:val="0"/>
                      <w:sz w:val="21"/>
                      <w:szCs w:val="21"/>
                      <w:vertAlign w:val="superscript"/>
                    </w:rPr>
                    <w:t>3</w:t>
                  </w:r>
                  <w:r>
                    <w:rPr>
                      <w:rFonts w:hint="default" w:ascii="Times New Roman" w:hAnsi="Times New Roman" w:eastAsia="宋体" w:cs="Times New Roman"/>
                      <w:b w:val="0"/>
                      <w:bCs/>
                      <w:color w:val="auto"/>
                      <w:kern w:val="0"/>
                      <w:sz w:val="21"/>
                      <w:szCs w:val="21"/>
                    </w:rPr>
                    <w:t>/h），不外排</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sz w:val="21"/>
                      <w:szCs w:val="21"/>
                    </w:rPr>
                    <w:t>运输车辆</w:t>
                  </w:r>
                  <w:r>
                    <w:rPr>
                      <w:rFonts w:hint="default" w:ascii="Times New Roman" w:hAnsi="Times New Roman" w:eastAsia="宋体" w:cs="Times New Roman"/>
                      <w:b w:val="0"/>
                      <w:bCs/>
                      <w:color w:val="auto"/>
                      <w:kern w:val="0"/>
                      <w:sz w:val="21"/>
                      <w:szCs w:val="21"/>
                    </w:rPr>
                    <w:t>轮胎车身</w:t>
                  </w:r>
                  <w:r>
                    <w:rPr>
                      <w:rFonts w:hint="default" w:ascii="Times New Roman" w:hAnsi="Times New Roman" w:eastAsia="宋体" w:cs="Times New Roman"/>
                      <w:b w:val="0"/>
                      <w:bCs/>
                      <w:color w:val="auto"/>
                      <w:sz w:val="21"/>
                      <w:szCs w:val="21"/>
                    </w:rPr>
                    <w:t>冲洗</w:t>
                  </w:r>
                  <w:r>
                    <w:rPr>
                      <w:rFonts w:hint="default" w:ascii="Times New Roman" w:hAnsi="Times New Roman" w:eastAsia="宋体" w:cs="Times New Roman"/>
                      <w:b w:val="0"/>
                      <w:bCs/>
                      <w:color w:val="auto"/>
                      <w:sz w:val="21"/>
                      <w:szCs w:val="21"/>
                      <w:lang w:val="en-US" w:eastAsia="zh-CN"/>
                    </w:rPr>
                    <w:t>水</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排入洗车平台沉淀池循环使用，不外排</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初期雨水</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rPr>
                  </w:pPr>
                  <w:r>
                    <w:rPr>
                      <w:rFonts w:hint="default" w:ascii="Times New Roman" w:hAnsi="Times New Roman" w:eastAsia="宋体" w:cs="Times New Roman"/>
                      <w:b w:val="0"/>
                      <w:bCs/>
                      <w:color w:val="auto"/>
                      <w:kern w:val="0"/>
                      <w:sz w:val="21"/>
                      <w:szCs w:val="21"/>
                    </w:rPr>
                    <w:t>厂区</w:t>
                  </w:r>
                  <w:r>
                    <w:rPr>
                      <w:rFonts w:hint="eastAsia" w:ascii="Times New Roman" w:hAnsi="Times New Roman" w:eastAsia="宋体" w:cs="Times New Roman"/>
                      <w:b w:val="0"/>
                      <w:bCs/>
                      <w:color w:val="auto"/>
                      <w:kern w:val="0"/>
                      <w:sz w:val="21"/>
                      <w:szCs w:val="21"/>
                      <w:lang w:val="en-US" w:eastAsia="zh-CN"/>
                    </w:rPr>
                    <w:t>西南</w:t>
                  </w:r>
                  <w:r>
                    <w:rPr>
                      <w:rFonts w:hint="default" w:ascii="Times New Roman" w:hAnsi="Times New Roman" w:eastAsia="宋体" w:cs="Times New Roman"/>
                      <w:b w:val="0"/>
                      <w:bCs/>
                      <w:color w:val="auto"/>
                      <w:kern w:val="0"/>
                      <w:sz w:val="21"/>
                      <w:szCs w:val="21"/>
                    </w:rPr>
                    <w:t>侧设置1</w:t>
                  </w:r>
                  <w:r>
                    <w:rPr>
                      <w:rFonts w:hint="eastAsia" w:ascii="Times New Roman" w:hAnsi="Times New Roman" w:eastAsia="宋体" w:cs="Times New Roman"/>
                      <w:b w:val="0"/>
                      <w:bCs/>
                      <w:color w:val="auto"/>
                      <w:kern w:val="0"/>
                      <w:sz w:val="21"/>
                      <w:szCs w:val="21"/>
                      <w:lang w:val="en-US" w:eastAsia="zh-CN"/>
                    </w:rPr>
                    <w:t>5</w:t>
                  </w:r>
                  <w:r>
                    <w:rPr>
                      <w:rFonts w:hint="default" w:ascii="Times New Roman" w:hAnsi="Times New Roman" w:eastAsia="宋体" w:cs="Times New Roman"/>
                      <w:b w:val="0"/>
                      <w:bCs/>
                      <w:color w:val="auto"/>
                      <w:kern w:val="0"/>
                      <w:sz w:val="21"/>
                      <w:szCs w:val="21"/>
                    </w:rPr>
                    <w:t>0m</w:t>
                  </w:r>
                  <w:r>
                    <w:rPr>
                      <w:rFonts w:hint="eastAsia" w:ascii="Times New Roman" w:hAnsi="Times New Roman" w:eastAsia="宋体" w:cs="Times New Roman"/>
                      <w:b w:val="0"/>
                      <w:bCs/>
                      <w:color w:val="auto"/>
                      <w:kern w:val="0"/>
                      <w:sz w:val="21"/>
                      <w:szCs w:val="21"/>
                      <w:vertAlign w:val="superscript"/>
                      <w:lang w:val="en-US" w:eastAsia="zh-CN"/>
                    </w:rPr>
                    <w:t>3</w:t>
                  </w:r>
                  <w:r>
                    <w:rPr>
                      <w:rFonts w:hint="default" w:ascii="Times New Roman" w:hAnsi="Times New Roman" w:eastAsia="宋体" w:cs="Times New Roman"/>
                      <w:b w:val="0"/>
                      <w:bCs/>
                      <w:color w:val="auto"/>
                      <w:kern w:val="0"/>
                      <w:sz w:val="21"/>
                      <w:szCs w:val="21"/>
                    </w:rPr>
                    <w:t>初期雨水收集池及雨水收集渠道，同时配套后期雨水截断装置，沉淀后用于厂区绿化、洒水抑尘，不外排</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855" w:type="dxa"/>
                  <w:gridSpan w:val="2"/>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highlight w:val="none"/>
                    </w:rPr>
                    <w:t>噪声</w:t>
                  </w:r>
                </w:p>
              </w:tc>
              <w:tc>
                <w:tcPr>
                  <w:tcW w:w="4878"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rPr>
                  </w:pPr>
                  <w:r>
                    <w:rPr>
                      <w:rFonts w:hint="default" w:ascii="Times New Roman" w:hAnsi="Times New Roman" w:eastAsia="宋体" w:cs="Times New Roman"/>
                      <w:b w:val="0"/>
                      <w:bCs/>
                      <w:color w:val="auto"/>
                      <w:sz w:val="21"/>
                      <w:szCs w:val="21"/>
                    </w:rPr>
                    <w:t>选用低噪声设备、厂房屏蔽、基础减振</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固体废物</w:t>
                  </w:r>
                </w:p>
              </w:tc>
              <w:tc>
                <w:tcPr>
                  <w:tcW w:w="1387" w:type="dxa"/>
                  <w:tcBorders>
                    <w:tl2br w:val="nil"/>
                    <w:tr2bl w:val="nil"/>
                  </w:tcBorders>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spacing w:val="-20"/>
                      <w:sz w:val="21"/>
                      <w:szCs w:val="21"/>
                    </w:rPr>
                    <w:t>生活垃圾</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rPr>
                    <w:t>运往当地环卫部门指定地点处置</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rPr>
                    <w:t>除尘灰</w:t>
                  </w:r>
                </w:p>
              </w:tc>
              <w:tc>
                <w:tcPr>
                  <w:tcW w:w="4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lang w:val="en-US" w:eastAsia="zh-CN"/>
                    </w:rPr>
                    <w:t>收集后外售</w:t>
                  </w:r>
                </w:p>
              </w:tc>
              <w:tc>
                <w:tcPr>
                  <w:tcW w:w="661"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rPr>
                    <w:t>废矿物油</w:t>
                  </w:r>
                </w:p>
              </w:tc>
              <w:tc>
                <w:tcPr>
                  <w:tcW w:w="487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rPr>
                    <w:t>设1座</w:t>
                  </w:r>
                  <w:r>
                    <w:rPr>
                      <w:rFonts w:hint="eastAsia" w:ascii="Times New Roman" w:hAnsi="Times New Roman" w:eastAsia="宋体" w:cs="Times New Roman"/>
                      <w:b w:val="0"/>
                      <w:bCs/>
                      <w:color w:val="auto"/>
                      <w:sz w:val="21"/>
                      <w:szCs w:val="21"/>
                      <w:lang w:val="en-US" w:eastAsia="zh-CN"/>
                    </w:rPr>
                    <w:t>2</w:t>
                  </w:r>
                  <w:r>
                    <w:rPr>
                      <w:rFonts w:hint="default" w:ascii="Times New Roman" w:hAnsi="Times New Roman" w:eastAsia="宋体" w:cs="Times New Roman"/>
                      <w:b w:val="0"/>
                      <w:bCs/>
                      <w:color w:val="auto"/>
                      <w:sz w:val="21"/>
                      <w:szCs w:val="21"/>
                    </w:rPr>
                    <w:t>0m</w:t>
                  </w:r>
                  <w:r>
                    <w:rPr>
                      <w:rFonts w:hint="default" w:ascii="Times New Roman" w:hAnsi="Times New Roman" w:eastAsia="宋体" w:cs="Times New Roman"/>
                      <w:b w:val="0"/>
                      <w:bCs/>
                      <w:color w:val="auto"/>
                      <w:sz w:val="21"/>
                      <w:szCs w:val="21"/>
                      <w:vertAlign w:val="superscript"/>
                    </w:rPr>
                    <w:t>2</w:t>
                  </w:r>
                  <w:r>
                    <w:rPr>
                      <w:rFonts w:hint="default" w:ascii="Times New Roman" w:hAnsi="Times New Roman" w:eastAsia="宋体" w:cs="Times New Roman"/>
                      <w:b w:val="0"/>
                      <w:bCs/>
                      <w:color w:val="auto"/>
                      <w:sz w:val="21"/>
                      <w:szCs w:val="21"/>
                    </w:rPr>
                    <w:t>危废暂存间，危废暂存间按要求进行建设，危险废物交有资质的单位回收处置</w:t>
                  </w:r>
                </w:p>
              </w:tc>
              <w:tc>
                <w:tcPr>
                  <w:tcW w:w="661"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rPr>
                    <w:t>废导热油</w:t>
                  </w:r>
                </w:p>
              </w:tc>
              <w:tc>
                <w:tcPr>
                  <w:tcW w:w="48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p>
              </w:tc>
              <w:tc>
                <w:tcPr>
                  <w:tcW w:w="66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废油渣</w:t>
                  </w:r>
                </w:p>
              </w:tc>
              <w:tc>
                <w:tcPr>
                  <w:tcW w:w="48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p>
              </w:tc>
              <w:tc>
                <w:tcPr>
                  <w:tcW w:w="66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废活性炭</w:t>
                  </w:r>
                </w:p>
              </w:tc>
              <w:tc>
                <w:tcPr>
                  <w:tcW w:w="48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sz w:val="21"/>
                      <w:szCs w:val="21"/>
                    </w:rPr>
                  </w:pPr>
                </w:p>
              </w:tc>
              <w:tc>
                <w:tcPr>
                  <w:tcW w:w="66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72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46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c>
                <w:tcPr>
                  <w:tcW w:w="1387" w:type="dxa"/>
                  <w:tcBorders>
                    <w:tl2br w:val="nil"/>
                    <w:tr2bl w:val="nil"/>
                  </w:tcBorders>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rPr>
                    <w:t>废油桶</w:t>
                  </w:r>
                </w:p>
              </w:tc>
              <w:tc>
                <w:tcPr>
                  <w:tcW w:w="487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p>
              </w:tc>
              <w:tc>
                <w:tcPr>
                  <w:tcW w:w="661"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z w:val="21"/>
                      <w:szCs w:val="21"/>
                      <w:highlight w:val="none"/>
                    </w:rPr>
                  </w:pPr>
                </w:p>
              </w:tc>
            </w:tr>
          </w:tbl>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、主要设备</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本项目主要生产设备具体见表2-2。</w:t>
            </w:r>
          </w:p>
          <w:p>
            <w:pPr>
              <w:widowControl/>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表2-2   本项目主要生产设备一览表</w:t>
            </w:r>
          </w:p>
          <w:tbl>
            <w:tblPr>
              <w:tblStyle w:val="26"/>
              <w:tblW w:w="803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2"/>
              <w:gridCol w:w="2701"/>
              <w:gridCol w:w="1014"/>
              <w:gridCol w:w="981"/>
              <w:gridCol w:w="262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序号</w:t>
                  </w:r>
                </w:p>
              </w:tc>
              <w:tc>
                <w:tcPr>
                  <w:tcW w:w="2701"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设备名称</w:t>
                  </w:r>
                </w:p>
              </w:tc>
              <w:tc>
                <w:tcPr>
                  <w:tcW w:w="1014"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数量</w:t>
                  </w:r>
                </w:p>
              </w:tc>
              <w:tc>
                <w:tcPr>
                  <w:tcW w:w="981"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2621"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规格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1</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沥青储存罐</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val="en-US" w:eastAsia="zh-CN"/>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个</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2</w:t>
                  </w:r>
                  <w:r>
                    <w:rPr>
                      <w:rFonts w:ascii="Times New Roman" w:hAnsi="Times New Roman" w:eastAsia="宋体" w:cs="Times New Roman"/>
                      <w:color w:val="auto"/>
                      <w:kern w:val="0"/>
                      <w:szCs w:val="21"/>
                    </w:rPr>
                    <w:t>00</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r>
                    <w:rPr>
                      <w:rStyle w:val="29"/>
                      <w:rFonts w:ascii="Times New Roman" w:hAnsi="Times New Roman" w:eastAsia="宋体" w:cs="Times New Roman"/>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2</w:t>
                  </w:r>
                </w:p>
              </w:tc>
              <w:tc>
                <w:tcPr>
                  <w:tcW w:w="2701" w:type="dxa"/>
                  <w:vAlign w:val="center"/>
                </w:tcPr>
                <w:p>
                  <w:pPr>
                    <w:widowControl/>
                    <w:adjustRightInd w:val="0"/>
                    <w:snapToGrid w:val="0"/>
                    <w:jc w:val="center"/>
                    <w:textAlignment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橡胶油储罐</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个</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5</w:t>
                  </w:r>
                  <w:r>
                    <w:rPr>
                      <w:rFonts w:ascii="Times New Roman" w:hAnsi="Times New Roman" w:eastAsia="宋体" w:cs="Times New Roman"/>
                      <w:color w:val="auto"/>
                      <w:kern w:val="0"/>
                      <w:szCs w:val="21"/>
                    </w:rPr>
                    <w:t>0</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r>
                    <w:rPr>
                      <w:rStyle w:val="29"/>
                      <w:rFonts w:ascii="Times New Roman" w:hAnsi="Times New Roman" w:eastAsia="宋体" w:cs="Times New Roman"/>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ascii="Times New Roman" w:hAnsi="Times New Roman" w:eastAsia="宋体" w:cs="Times New Roman"/>
                      <w:color w:val="auto"/>
                      <w:szCs w:val="21"/>
                    </w:rPr>
                  </w:pPr>
                  <w:r>
                    <w:rPr>
                      <w:rFonts w:ascii="Times New Roman" w:hAnsi="Times New Roman" w:eastAsia="宋体" w:cs="Times New Roman"/>
                      <w:color w:val="auto"/>
                      <w:szCs w:val="21"/>
                    </w:rPr>
                    <w:t>3</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滑石粉罐</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个</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Style w:val="29"/>
                      <w:rFonts w:ascii="Times New Roman" w:hAnsi="Times New Roman" w:eastAsia="宋体" w:cs="Times New Roman"/>
                      <w:color w:val="auto"/>
                      <w:szCs w:val="21"/>
                    </w:rPr>
                    <w:t>1</w:t>
                  </w:r>
                  <w:r>
                    <w:rPr>
                      <w:rStyle w:val="29"/>
                      <w:rFonts w:hint="eastAsia" w:ascii="Times New Roman" w:hAnsi="Times New Roman" w:eastAsia="宋体" w:cs="Times New Roman"/>
                      <w:color w:val="auto"/>
                      <w:szCs w:val="21"/>
                      <w:lang w:val="en-US" w:eastAsia="zh-CN"/>
                    </w:rPr>
                    <w:t>0</w:t>
                  </w:r>
                  <w:r>
                    <w:rPr>
                      <w:rStyle w:val="29"/>
                      <w:rFonts w:ascii="Times New Roman" w:hAnsi="Times New Roman" w:eastAsia="宋体" w:cs="Times New Roman"/>
                      <w:color w:val="auto"/>
                      <w:szCs w:val="21"/>
                    </w:rPr>
                    <w:t>0m</w:t>
                  </w:r>
                  <w:r>
                    <w:rPr>
                      <w:rStyle w:val="29"/>
                      <w:rFonts w:ascii="Times New Roman" w:hAnsi="Times New Roman" w:eastAsia="宋体" w:cs="Times New Roman"/>
                      <w:color w:val="auto"/>
                      <w:szCs w:val="21"/>
                      <w:vertAlign w:val="superscript"/>
                    </w:rPr>
                    <w:t>3</w:t>
                  </w:r>
                  <w:r>
                    <w:rPr>
                      <w:rStyle w:val="29"/>
                      <w:rFonts w:ascii="Times New Roman" w:hAnsi="Times New Roman" w:eastAsia="宋体" w:cs="Times New Roman"/>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w:t>
                  </w:r>
                </w:p>
              </w:tc>
              <w:tc>
                <w:tcPr>
                  <w:tcW w:w="2701"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橡胶粉储</w:t>
                  </w:r>
                  <w:r>
                    <w:rPr>
                      <w:rFonts w:hint="eastAsia" w:ascii="Times New Roman" w:hAnsi="Times New Roman" w:eastAsia="宋体" w:cs="Times New Roman"/>
                      <w:color w:val="auto"/>
                      <w:kern w:val="0"/>
                      <w:szCs w:val="21"/>
                    </w:rPr>
                    <w:t>罐</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1</w:t>
                  </w:r>
                </w:p>
              </w:tc>
              <w:tc>
                <w:tcPr>
                  <w:tcW w:w="981"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rPr>
                    <w:t>个</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Cs w:val="21"/>
                      <w:lang w:val="en-US" w:eastAsia="zh-CN"/>
                    </w:rPr>
                    <w:t>10</w:t>
                  </w:r>
                  <w:r>
                    <w:rPr>
                      <w:rFonts w:ascii="Times New Roman" w:hAnsi="Times New Roman" w:eastAsia="宋体" w:cs="Times New Roman"/>
                      <w:color w:val="auto"/>
                      <w:kern w:val="0"/>
                      <w:szCs w:val="21"/>
                    </w:rPr>
                    <w:t>0</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r>
                    <w:rPr>
                      <w:rStyle w:val="29"/>
                      <w:rFonts w:ascii="Times New Roman" w:hAnsi="Times New Roman" w:eastAsia="宋体" w:cs="Times New Roman"/>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lang w:val="en-US" w:eastAsia="zh-CN"/>
                    </w:rPr>
                    <w:t>配料罐</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eastAsia="zh-CN"/>
                    </w:rPr>
                  </w:pPr>
                  <w:r>
                    <w:rPr>
                      <w:rFonts w:hint="eastAsia" w:ascii="Times New Roman" w:hAnsi="Times New Roman" w:eastAsia="宋体" w:cs="Times New Roman"/>
                      <w:color w:val="auto"/>
                      <w:kern w:val="0"/>
                      <w:szCs w:val="21"/>
                      <w:lang w:val="en-US" w:eastAsia="zh-CN"/>
                    </w:rPr>
                    <w:t>6</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个</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Cs w:val="21"/>
                    </w:rPr>
                    <w:t>13</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r>
                    <w:rPr>
                      <w:rStyle w:val="29"/>
                      <w:rFonts w:ascii="Times New Roman" w:hAnsi="Times New Roman" w:eastAsia="宋体" w:cs="Times New Roman"/>
                      <w:color w:val="auto"/>
                      <w:szCs w:val="21"/>
                    </w:rPr>
                    <w:t>/个</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导热油炉</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150</w:t>
                  </w:r>
                  <w:r>
                    <w:rPr>
                      <w:rFonts w:ascii="Times New Roman" w:hAnsi="Times New Roman" w:eastAsia="宋体" w:cs="Times New Roman"/>
                      <w:color w:val="auto"/>
                      <w:kern w:val="0"/>
                      <w:szCs w:val="21"/>
                    </w:rPr>
                    <w:t>万大卡</w:t>
                  </w:r>
                  <w:r>
                    <w:rPr>
                      <w:rFonts w:hint="eastAsia" w:ascii="Times New Roman" w:hAnsi="Times New Roman" w:eastAsia="宋体" w:cs="Times New Roman"/>
                      <w:color w:val="auto"/>
                      <w:kern w:val="0"/>
                      <w:szCs w:val="21"/>
                      <w:lang w:eastAsia="zh-CN"/>
                    </w:rPr>
                    <w:t>（</w:t>
                  </w:r>
                  <w:r>
                    <w:rPr>
                      <w:rFonts w:hint="eastAsia" w:ascii="Times New Roman" w:hAnsi="Times New Roman" w:eastAsia="宋体" w:cs="Times New Roman"/>
                      <w:color w:val="auto"/>
                      <w:kern w:val="0"/>
                      <w:szCs w:val="21"/>
                      <w:lang w:val="en-US" w:eastAsia="zh-CN"/>
                    </w:rPr>
                    <w:t>2.5t/h</w:t>
                  </w:r>
                  <w:r>
                    <w:rPr>
                      <w:rFonts w:hint="eastAsia" w:ascii="Times New Roman" w:hAnsi="Times New Roman" w:eastAsia="宋体" w:cs="Times New Roman"/>
                      <w:color w:val="auto"/>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Cs w:val="21"/>
                    </w:rPr>
                    <w:t>胎基卷展机</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Cs w:val="21"/>
                      <w:lang w:val="en-US" w:eastAsia="zh-CN"/>
                    </w:rPr>
                    <w:t>套</w:t>
                  </w:r>
                </w:p>
              </w:tc>
              <w:tc>
                <w:tcPr>
                  <w:tcW w:w="2621" w:type="dxa"/>
                  <w:vAlign w:val="center"/>
                </w:tcPr>
                <w:p>
                  <w:pPr>
                    <w:widowControl/>
                    <w:adjustRightInd w:val="0"/>
                    <w:snapToGrid w:val="0"/>
                    <w:jc w:val="center"/>
                    <w:textAlignment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8000</w:t>
                  </w:r>
                  <w:r>
                    <w:rPr>
                      <w:rStyle w:val="29"/>
                      <w:rFonts w:ascii="Times New Roman" w:hAnsi="Times New Roman" w:eastAsia="宋体" w:cs="Times New Roman"/>
                      <w:color w:val="auto"/>
                      <w:szCs w:val="21"/>
                    </w:rPr>
                    <w:t>m</w:t>
                  </w:r>
                  <w:r>
                    <w:rPr>
                      <w:rStyle w:val="29"/>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kern w:val="0"/>
                      <w:szCs w:val="21"/>
                      <w:lang w:val="en-US" w:eastAsia="zh-CN"/>
                    </w:rPr>
                    <w:t>/h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胎基烘干机</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Cs w:val="21"/>
                      <w:lang w:val="en-US" w:eastAsia="zh-CN"/>
                    </w:rPr>
                    <w:t>套</w:t>
                  </w:r>
                </w:p>
              </w:tc>
              <w:tc>
                <w:tcPr>
                  <w:tcW w:w="2621" w:type="dxa"/>
                  <w:vAlign w:val="center"/>
                </w:tcPr>
                <w:p>
                  <w:pPr>
                    <w:widowControl/>
                    <w:adjustRightInd w:val="0"/>
                    <w:snapToGrid w:val="0"/>
                    <w:jc w:val="center"/>
                    <w:textAlignment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8000</w:t>
                  </w:r>
                  <w:r>
                    <w:rPr>
                      <w:rStyle w:val="29"/>
                      <w:rFonts w:ascii="Times New Roman" w:hAnsi="Times New Roman" w:eastAsia="宋体" w:cs="Times New Roman"/>
                      <w:color w:val="auto"/>
                      <w:szCs w:val="21"/>
                    </w:rPr>
                    <w:t>m</w:t>
                  </w:r>
                  <w:r>
                    <w:rPr>
                      <w:rStyle w:val="29"/>
                      <w:rFonts w:hint="eastAsia" w:ascii="Times New Roman" w:hAnsi="Times New Roman" w:eastAsia="宋体" w:cs="Times New Roman"/>
                      <w:color w:val="auto"/>
                      <w:szCs w:val="21"/>
                      <w:vertAlign w:val="superscript"/>
                      <w:lang w:val="en-US" w:eastAsia="zh-CN"/>
                    </w:rPr>
                    <w:t>2</w:t>
                  </w:r>
                  <w:r>
                    <w:rPr>
                      <w:rFonts w:hint="eastAsia" w:ascii="Times New Roman" w:hAnsi="Times New Roman" w:eastAsia="宋体" w:cs="Times New Roman"/>
                      <w:color w:val="auto"/>
                      <w:kern w:val="0"/>
                      <w:szCs w:val="21"/>
                      <w:lang w:val="en-US" w:eastAsia="zh-CN"/>
                    </w:rPr>
                    <w:t>/h</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浸油池</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座</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5</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涂油池</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座</w:t>
                  </w:r>
                </w:p>
              </w:tc>
              <w:tc>
                <w:tcPr>
                  <w:tcW w:w="262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5</w:t>
                  </w:r>
                  <w:r>
                    <w:rPr>
                      <w:rStyle w:val="29"/>
                      <w:rFonts w:ascii="Times New Roman" w:hAnsi="Times New Roman" w:eastAsia="宋体" w:cs="Times New Roman"/>
                      <w:color w:val="auto"/>
                      <w:szCs w:val="21"/>
                    </w:rPr>
                    <w:t>m</w:t>
                  </w:r>
                  <w:r>
                    <w:rPr>
                      <w:rStyle w:val="29"/>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szCs w:val="21"/>
                    </w:rPr>
                    <w:t>覆膜装置</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牵引压实机组</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辊筒式冷却机</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套</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14</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卷毡机</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2701" w:type="dxa"/>
                  <w:vAlign w:val="center"/>
                </w:tcPr>
                <w:p>
                  <w:pPr>
                    <w:widowControl/>
                    <w:adjustRightInd w:val="0"/>
                    <w:snapToGrid w:val="0"/>
                    <w:jc w:val="center"/>
                    <w:textAlignment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螺旋输送机</w:t>
                  </w:r>
                </w:p>
              </w:tc>
              <w:tc>
                <w:tcPr>
                  <w:tcW w:w="1014"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22" w:type="dxa"/>
                  <w:vAlign w:val="center"/>
                </w:tcPr>
                <w:p>
                  <w:pPr>
                    <w:widowControl/>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w:t>
                  </w:r>
                </w:p>
              </w:tc>
              <w:tc>
                <w:tcPr>
                  <w:tcW w:w="2701"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包装机</w:t>
                  </w:r>
                </w:p>
              </w:tc>
              <w:tc>
                <w:tcPr>
                  <w:tcW w:w="1014" w:type="dxa"/>
                  <w:vAlign w:val="center"/>
                </w:tcPr>
                <w:p>
                  <w:pPr>
                    <w:widowControl/>
                    <w:adjustRightInd w:val="0"/>
                    <w:snapToGrid w:val="0"/>
                    <w:jc w:val="center"/>
                    <w:textAlignment w:val="center"/>
                    <w:rPr>
                      <w:rFonts w:ascii="Times New Roman" w:hAnsi="Times New Roman" w:eastAsia="宋体" w:cs="Times New Roman"/>
                      <w:color w:val="auto"/>
                      <w:kern w:val="0"/>
                      <w:sz w:val="21"/>
                      <w:szCs w:val="21"/>
                      <w:lang w:val="en-US" w:eastAsia="zh-CN" w:bidi="ar-SA"/>
                    </w:rPr>
                  </w:pPr>
                  <w:r>
                    <w:rPr>
                      <w:rFonts w:ascii="Times New Roman" w:hAnsi="Times New Roman" w:eastAsia="宋体" w:cs="Times New Roman"/>
                      <w:color w:val="auto"/>
                      <w:kern w:val="0"/>
                      <w:szCs w:val="21"/>
                    </w:rPr>
                    <w:t>1</w:t>
                  </w:r>
                </w:p>
              </w:tc>
              <w:tc>
                <w:tcPr>
                  <w:tcW w:w="981" w:type="dxa"/>
                  <w:vAlign w:val="center"/>
                </w:tcPr>
                <w:p>
                  <w:pPr>
                    <w:widowControl/>
                    <w:adjustRightInd w:val="0"/>
                    <w:snapToGrid w:val="0"/>
                    <w:jc w:val="center"/>
                    <w:textAlignment w:val="center"/>
                    <w:rPr>
                      <w:rFonts w:ascii="Times New Roman" w:hAnsi="Times New Roman" w:eastAsia="宋体" w:cs="Times New Roman"/>
                      <w:color w:val="auto"/>
                      <w:kern w:val="2"/>
                      <w:sz w:val="21"/>
                      <w:szCs w:val="21"/>
                      <w:lang w:val="en-US" w:eastAsia="zh-CN" w:bidi="ar-SA"/>
                    </w:rPr>
                  </w:pPr>
                  <w:r>
                    <w:rPr>
                      <w:rFonts w:ascii="Times New Roman" w:hAnsi="Times New Roman" w:eastAsia="宋体" w:cs="Times New Roman"/>
                      <w:color w:val="auto"/>
                      <w:kern w:val="0"/>
                      <w:szCs w:val="21"/>
                    </w:rPr>
                    <w:t>台</w:t>
                  </w:r>
                </w:p>
              </w:tc>
              <w:tc>
                <w:tcPr>
                  <w:tcW w:w="2621" w:type="dxa"/>
                  <w:vAlign w:val="center"/>
                </w:tcPr>
                <w:p>
                  <w:pPr>
                    <w:widowControl/>
                    <w:adjustRightInd w:val="0"/>
                    <w:snapToGrid w:val="0"/>
                    <w:jc w:val="center"/>
                    <w:textAlignment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w:t>
                  </w:r>
                </w:p>
              </w:tc>
            </w:tr>
          </w:tbl>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4</w:t>
            </w:r>
            <w:r>
              <w:rPr>
                <w:rFonts w:ascii="Times New Roman" w:hAnsi="Times New Roman" w:eastAsia="宋体" w:cs="Times New Roman"/>
                <w:color w:val="auto"/>
                <w:sz w:val="24"/>
                <w:szCs w:val="32"/>
              </w:rPr>
              <w:t>、</w:t>
            </w:r>
            <w:r>
              <w:rPr>
                <w:rFonts w:hint="eastAsia" w:ascii="Times New Roman" w:hAnsi="Times New Roman" w:eastAsia="宋体" w:cs="Times New Roman"/>
                <w:color w:val="auto"/>
                <w:sz w:val="24"/>
                <w:szCs w:val="32"/>
              </w:rPr>
              <w:t>产品方案</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本项目年产180万件SBS防水卷材。本项目产品方案见</w:t>
            </w:r>
            <w:r>
              <w:rPr>
                <w:rFonts w:hint="eastAsia" w:ascii="Times New Roman" w:hAnsi="Times New Roman" w:eastAsia="宋体" w:cs="Times New Roman"/>
                <w:color w:val="auto"/>
                <w:sz w:val="24"/>
                <w:szCs w:val="32"/>
                <w:lang w:val="en-US" w:eastAsia="zh-CN"/>
              </w:rPr>
              <w:t>下</w:t>
            </w:r>
            <w:r>
              <w:rPr>
                <w:rFonts w:hint="eastAsia" w:ascii="Times New Roman" w:hAnsi="Times New Roman" w:eastAsia="宋体" w:cs="Times New Roman"/>
                <w:color w:val="auto"/>
                <w:sz w:val="24"/>
                <w:szCs w:val="32"/>
              </w:rPr>
              <w:t>表。</w:t>
            </w:r>
          </w:p>
          <w:p>
            <w:pPr>
              <w:widowControl/>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 xml:space="preserve">表2-3   </w:t>
            </w:r>
            <w:r>
              <w:rPr>
                <w:rFonts w:hint="eastAsia" w:ascii="Times New Roman" w:hAnsi="Times New Roman" w:eastAsia="宋体" w:cs="Times New Roman"/>
                <w:color w:val="auto"/>
                <w:sz w:val="24"/>
                <w:szCs w:val="32"/>
              </w:rPr>
              <w:t>产品方案一览表</w:t>
            </w:r>
          </w:p>
          <w:tbl>
            <w:tblPr>
              <w:tblStyle w:val="26"/>
              <w:tblW w:w="8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2405"/>
              <w:gridCol w:w="1849"/>
              <w:gridCol w:w="2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exact"/>
                <w:jc w:val="center"/>
              </w:trPr>
              <w:tc>
                <w:tcPr>
                  <w:tcW w:w="1001"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序号</w:t>
                  </w:r>
                </w:p>
              </w:tc>
              <w:tc>
                <w:tcPr>
                  <w:tcW w:w="2405"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产品名称</w:t>
                  </w:r>
                </w:p>
              </w:tc>
              <w:tc>
                <w:tcPr>
                  <w:tcW w:w="1849"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产品数量（</w:t>
                  </w:r>
                  <w:r>
                    <w:rPr>
                      <w:rStyle w:val="29"/>
                      <w:rFonts w:hint="eastAsia" w:ascii="Times New Roman" w:hAnsi="Times New Roman" w:eastAsia="宋体" w:cs="Times New Roman"/>
                      <w:color w:val="auto"/>
                      <w:szCs w:val="21"/>
                      <w:lang w:val="en-US" w:eastAsia="zh-CN"/>
                    </w:rPr>
                    <w:t>件</w:t>
                  </w:r>
                  <w:r>
                    <w:rPr>
                      <w:rStyle w:val="29"/>
                      <w:rFonts w:ascii="Times New Roman" w:hAnsi="Times New Roman" w:eastAsia="宋体" w:cs="Times New Roman"/>
                      <w:color w:val="auto"/>
                      <w:szCs w:val="21"/>
                    </w:rPr>
                    <w:t>）</w:t>
                  </w:r>
                </w:p>
              </w:tc>
              <w:tc>
                <w:tcPr>
                  <w:tcW w:w="2807"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jc w:val="center"/>
              </w:trPr>
              <w:tc>
                <w:tcPr>
                  <w:tcW w:w="1001"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1</w:t>
                  </w:r>
                </w:p>
              </w:tc>
              <w:tc>
                <w:tcPr>
                  <w:tcW w:w="2405" w:type="dxa"/>
                  <w:vAlign w:val="center"/>
                </w:tcPr>
                <w:p>
                  <w:pPr>
                    <w:adjustRightInd w:val="0"/>
                    <w:snapToGrid w:val="0"/>
                    <w:jc w:val="center"/>
                    <w:rPr>
                      <w:rStyle w:val="29"/>
                      <w:rFonts w:ascii="Times New Roman" w:hAnsi="Times New Roman" w:eastAsia="宋体" w:cs="Times New Roman"/>
                      <w:color w:val="auto"/>
                      <w:szCs w:val="21"/>
                    </w:rPr>
                  </w:pPr>
                  <w:r>
                    <w:rPr>
                      <w:rStyle w:val="29"/>
                      <w:rFonts w:ascii="Times New Roman" w:hAnsi="Times New Roman" w:eastAsia="宋体" w:cs="Times New Roman"/>
                      <w:color w:val="auto"/>
                      <w:szCs w:val="21"/>
                    </w:rPr>
                    <w:t>SBS防水卷材</w:t>
                  </w:r>
                </w:p>
              </w:tc>
              <w:tc>
                <w:tcPr>
                  <w:tcW w:w="1849" w:type="dxa"/>
                  <w:vAlign w:val="center"/>
                </w:tcPr>
                <w:p>
                  <w:pPr>
                    <w:adjustRightInd w:val="0"/>
                    <w:snapToGrid w:val="0"/>
                    <w:jc w:val="center"/>
                    <w:rPr>
                      <w:rStyle w:val="29"/>
                      <w:rFonts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180</w:t>
                  </w:r>
                  <w:r>
                    <w:rPr>
                      <w:rStyle w:val="29"/>
                      <w:rFonts w:ascii="Times New Roman" w:hAnsi="Times New Roman" w:eastAsia="宋体" w:cs="Times New Roman"/>
                      <w:color w:val="auto"/>
                      <w:szCs w:val="21"/>
                    </w:rPr>
                    <w:t>万</w:t>
                  </w:r>
                </w:p>
              </w:tc>
              <w:tc>
                <w:tcPr>
                  <w:tcW w:w="2807"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10m</w:t>
                  </w:r>
                  <w:r>
                    <w:rPr>
                      <w:rStyle w:val="29"/>
                      <w:rFonts w:hint="eastAsia" w:ascii="Times New Roman" w:hAnsi="Times New Roman" w:eastAsia="宋体" w:cs="Times New Roman"/>
                      <w:color w:val="auto"/>
                      <w:szCs w:val="21"/>
                      <w:vertAlign w:val="superscript"/>
                      <w:lang w:val="en-US" w:eastAsia="zh-CN"/>
                    </w:rPr>
                    <w:t>2</w:t>
                  </w:r>
                  <w:r>
                    <w:rPr>
                      <w:rStyle w:val="29"/>
                      <w:rFonts w:hint="eastAsia" w:ascii="Times New Roman" w:hAnsi="Times New Roman" w:eastAsia="宋体" w:cs="Times New Roman"/>
                      <w:color w:val="auto"/>
                      <w:szCs w:val="21"/>
                      <w:lang w:val="en-US" w:eastAsia="zh-CN"/>
                    </w:rPr>
                    <w:t>（10</w:t>
                  </w:r>
                  <w:r>
                    <w:rPr>
                      <w:rFonts w:hint="eastAsia"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1m</w:t>
                  </w:r>
                  <w:r>
                    <w:rPr>
                      <w:rStyle w:val="29"/>
                      <w:rFonts w:hint="eastAsia" w:ascii="Times New Roman" w:hAnsi="Times New Roman" w:eastAsia="宋体" w:cs="Times New Roman"/>
                      <w:color w:val="auto"/>
                      <w:szCs w:val="21"/>
                      <w:lang w:val="en-US" w:eastAsia="zh-CN"/>
                    </w:rPr>
                    <w:t>）</w:t>
                  </w:r>
                </w:p>
              </w:tc>
            </w:tr>
          </w:tbl>
          <w:p>
            <w:pPr>
              <w:widowControl/>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表2-</w:t>
            </w:r>
            <w:r>
              <w:rPr>
                <w:rFonts w:hint="eastAsia" w:ascii="Times New Roman" w:hAnsi="Times New Roman" w:eastAsia="宋体" w:cs="Times New Roman"/>
                <w:color w:val="auto"/>
                <w:sz w:val="24"/>
                <w:szCs w:val="32"/>
                <w:lang w:val="en-US" w:eastAsia="zh-CN"/>
              </w:rPr>
              <w:t>4</w:t>
            </w:r>
            <w:r>
              <w:rPr>
                <w:rFonts w:ascii="Times New Roman" w:hAnsi="Times New Roman" w:eastAsia="宋体" w:cs="Times New Roman"/>
                <w:color w:val="auto"/>
                <w:sz w:val="24"/>
                <w:szCs w:val="32"/>
              </w:rPr>
              <w:t xml:space="preserve">   </w:t>
            </w:r>
            <w:r>
              <w:rPr>
                <w:rFonts w:hint="eastAsia" w:ascii="Times New Roman" w:hAnsi="Times New Roman" w:eastAsia="宋体" w:cs="Times New Roman"/>
                <w:color w:val="auto"/>
                <w:sz w:val="24"/>
                <w:szCs w:val="32"/>
              </w:rPr>
              <w:t>产品特性及质量标准</w:t>
            </w:r>
          </w:p>
          <w:tbl>
            <w:tblPr>
              <w:tblStyle w:val="27"/>
              <w:tblW w:w="8071"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14"/>
              <w:gridCol w:w="4544"/>
              <w:gridCol w:w="251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101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产品名称</w:t>
                  </w:r>
                </w:p>
              </w:tc>
              <w:tc>
                <w:tcPr>
                  <w:tcW w:w="454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产品特性</w:t>
                  </w:r>
                </w:p>
              </w:tc>
              <w:tc>
                <w:tcPr>
                  <w:tcW w:w="2513"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质量标准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11" w:hRule="atLeast"/>
                <w:jc w:val="center"/>
              </w:trPr>
              <w:tc>
                <w:tcPr>
                  <w:tcW w:w="101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SBS防水卷材</w:t>
                  </w:r>
                </w:p>
              </w:tc>
              <w:tc>
                <w:tcPr>
                  <w:tcW w:w="454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本项目产品属于有胎改性沥青，以SBS橡胶改性沥青引为侵渍覆盖层，以聚酯纤维无纺布制作为胎基，以塑料薄膜为防粘隔离层，经选材、配料、共熔、复合成型、卷曲等工序加工制作而成，具有很好的耐高温性能，可以在-25至+100℃度的温度范围内使用，有较高的弹性和耐疲劳性，以及高达1500%的伸长率和较强的耐穿刺能力、耐撕裂能力。适合于寒冷地区，以及变形和振动较大的工业与民用建筑的防水工程</w:t>
                  </w:r>
                </w:p>
              </w:tc>
              <w:tc>
                <w:tcPr>
                  <w:tcW w:w="2513"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执行《建筑防水卷材产品生产许可证实施细则》（2016版）表2</w:t>
                  </w:r>
                </w:p>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“有胎改性沥青类”的建筑防水卷材产品执行标准和相关标准</w:t>
                  </w:r>
                </w:p>
              </w:tc>
            </w:tr>
          </w:tbl>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5</w:t>
            </w:r>
            <w:r>
              <w:rPr>
                <w:rFonts w:ascii="Times New Roman" w:hAnsi="Times New Roman" w:eastAsia="宋体" w:cs="Times New Roman"/>
                <w:color w:val="auto"/>
                <w:sz w:val="24"/>
                <w:szCs w:val="32"/>
              </w:rPr>
              <w:t>、原辅材料消耗</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本项目</w:t>
            </w:r>
            <w:r>
              <w:rPr>
                <w:rFonts w:ascii="Times New Roman" w:hAnsi="Times New Roman" w:eastAsia="宋体" w:cs="Times New Roman"/>
                <w:color w:val="auto"/>
                <w:sz w:val="24"/>
                <w:szCs w:val="32"/>
              </w:rPr>
              <w:t>主要原辅材料</w:t>
            </w:r>
            <w:r>
              <w:rPr>
                <w:rFonts w:hint="eastAsia" w:ascii="Times New Roman" w:hAnsi="Times New Roman" w:eastAsia="宋体" w:cs="Times New Roman"/>
                <w:color w:val="auto"/>
                <w:sz w:val="24"/>
                <w:szCs w:val="32"/>
                <w:lang w:val="en-US" w:eastAsia="zh-CN"/>
              </w:rPr>
              <w:t>配比、</w:t>
            </w:r>
            <w:r>
              <w:rPr>
                <w:rFonts w:ascii="Times New Roman" w:hAnsi="Times New Roman" w:eastAsia="宋体" w:cs="Times New Roman"/>
                <w:color w:val="auto"/>
                <w:sz w:val="24"/>
                <w:szCs w:val="32"/>
              </w:rPr>
              <w:t>消耗</w:t>
            </w:r>
            <w:r>
              <w:rPr>
                <w:rFonts w:hint="eastAsia" w:ascii="Times New Roman" w:hAnsi="Times New Roman" w:eastAsia="宋体" w:cs="Times New Roman"/>
                <w:color w:val="auto"/>
                <w:sz w:val="24"/>
                <w:szCs w:val="32"/>
                <w:lang w:val="en-US" w:eastAsia="zh-CN"/>
              </w:rPr>
              <w:t>及理化性质</w:t>
            </w:r>
            <w:r>
              <w:rPr>
                <w:rFonts w:ascii="Times New Roman" w:hAnsi="Times New Roman" w:eastAsia="宋体" w:cs="Times New Roman"/>
                <w:color w:val="auto"/>
                <w:sz w:val="24"/>
                <w:szCs w:val="32"/>
              </w:rPr>
              <w:t>见</w:t>
            </w:r>
            <w:r>
              <w:rPr>
                <w:rFonts w:hint="eastAsia" w:ascii="Times New Roman" w:hAnsi="Times New Roman" w:eastAsia="宋体" w:cs="Times New Roman"/>
                <w:color w:val="auto"/>
                <w:sz w:val="24"/>
                <w:szCs w:val="32"/>
                <w:lang w:val="en-US" w:eastAsia="zh-CN"/>
              </w:rPr>
              <w:t>下</w:t>
            </w:r>
            <w:r>
              <w:rPr>
                <w:rFonts w:ascii="Times New Roman" w:hAnsi="Times New Roman" w:eastAsia="宋体" w:cs="Times New Roman"/>
                <w:color w:val="auto"/>
                <w:sz w:val="24"/>
                <w:szCs w:val="32"/>
              </w:rPr>
              <w:t>表。</w:t>
            </w:r>
          </w:p>
          <w:p>
            <w:pPr>
              <w:widowControl/>
              <w:adjustRightInd w:val="0"/>
              <w:snapToGrid w:val="0"/>
              <w:spacing w:line="460" w:lineRule="exact"/>
              <w:jc w:val="center"/>
              <w:rPr>
                <w:rFonts w:hint="default" w:ascii="Times New Roman" w:hAnsi="Times New Roman" w:eastAsia="宋体" w:cs="Times New Roman"/>
                <w:color w:val="auto"/>
                <w:sz w:val="24"/>
                <w:szCs w:val="32"/>
                <w:lang w:val="en-US" w:eastAsia="zh-CN"/>
              </w:rPr>
            </w:pPr>
            <w:r>
              <w:rPr>
                <w:rFonts w:ascii="Times New Roman" w:hAnsi="Times New Roman" w:eastAsia="宋体" w:cs="Times New Roman"/>
                <w:color w:val="auto"/>
                <w:sz w:val="24"/>
                <w:szCs w:val="32"/>
              </w:rPr>
              <w:t>表2-</w:t>
            </w:r>
            <w:r>
              <w:rPr>
                <w:rFonts w:hint="eastAsia" w:ascii="Times New Roman" w:hAnsi="Times New Roman" w:eastAsia="宋体" w:cs="Times New Roman"/>
                <w:color w:val="auto"/>
                <w:sz w:val="24"/>
                <w:szCs w:val="32"/>
                <w:lang w:val="en-US" w:eastAsia="zh-CN"/>
              </w:rPr>
              <w:t>5</w:t>
            </w:r>
            <w:r>
              <w:rPr>
                <w:rFonts w:ascii="Times New Roman" w:hAnsi="Times New Roman" w:eastAsia="宋体" w:cs="Times New Roman"/>
                <w:color w:val="auto"/>
                <w:sz w:val="24"/>
                <w:szCs w:val="32"/>
              </w:rPr>
              <w:t xml:space="preserve">   主要原辅材料</w:t>
            </w:r>
            <w:r>
              <w:rPr>
                <w:rFonts w:hint="eastAsia" w:ascii="Times New Roman" w:hAnsi="Times New Roman" w:eastAsia="宋体" w:cs="Times New Roman"/>
                <w:color w:val="auto"/>
                <w:sz w:val="24"/>
                <w:szCs w:val="32"/>
                <w:lang w:val="en-US" w:eastAsia="zh-CN"/>
              </w:rPr>
              <w:t>配比</w:t>
            </w:r>
            <w:r>
              <w:rPr>
                <w:rFonts w:ascii="Times New Roman" w:hAnsi="Times New Roman" w:eastAsia="宋体" w:cs="Times New Roman"/>
                <w:color w:val="auto"/>
                <w:sz w:val="24"/>
                <w:szCs w:val="32"/>
              </w:rPr>
              <w:t>表</w:t>
            </w:r>
            <w:r>
              <w:rPr>
                <w:rFonts w:hint="eastAsia" w:ascii="Times New Roman" w:hAnsi="Times New Roman" w:eastAsia="宋体" w:cs="Times New Roman"/>
                <w:color w:val="auto"/>
                <w:sz w:val="24"/>
                <w:szCs w:val="32"/>
                <w:lang w:val="en-US" w:eastAsia="zh-CN"/>
              </w:rPr>
              <w:t xml:space="preserve">  单位：kg/m</w:t>
            </w:r>
            <w:r>
              <w:rPr>
                <w:rFonts w:hint="eastAsia" w:ascii="Times New Roman" w:hAnsi="Times New Roman" w:eastAsia="宋体" w:cs="Times New Roman"/>
                <w:color w:val="auto"/>
                <w:sz w:val="24"/>
                <w:szCs w:val="32"/>
                <w:vertAlign w:val="superscript"/>
                <w:lang w:val="en-US" w:eastAsia="zh-CN"/>
              </w:rPr>
              <w:t>2</w:t>
            </w:r>
          </w:p>
          <w:tbl>
            <w:tblPr>
              <w:tblStyle w:val="26"/>
              <w:tblW w:w="808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57"/>
              <w:gridCol w:w="817"/>
              <w:gridCol w:w="924"/>
              <w:gridCol w:w="1266"/>
              <w:gridCol w:w="858"/>
              <w:gridCol w:w="792"/>
              <w:gridCol w:w="834"/>
              <w:gridCol w:w="143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1157" w:type="dxa"/>
                  <w:tcBorders>
                    <w:tl2br w:val="single" w:color="auto" w:sz="4" w:space="0"/>
                  </w:tcBorders>
                  <w:vAlign w:val="center"/>
                </w:tcPr>
                <w:p>
                  <w:pPr>
                    <w:adjustRightInd w:val="0"/>
                    <w:snapToGrid w:val="0"/>
                    <w:ind w:firstLine="420" w:firstLineChars="200"/>
                    <w:jc w:val="both"/>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原料</w:t>
                  </w:r>
                </w:p>
                <w:p>
                  <w:pPr>
                    <w:adjustRightInd w:val="0"/>
                    <w:snapToGrid w:val="0"/>
                    <w:jc w:val="both"/>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产品</w:t>
                  </w:r>
                </w:p>
              </w:tc>
              <w:tc>
                <w:tcPr>
                  <w:tcW w:w="817"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沥青</w:t>
                  </w:r>
                </w:p>
              </w:tc>
              <w:tc>
                <w:tcPr>
                  <w:tcW w:w="92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SBS</w:t>
                  </w:r>
                </w:p>
              </w:tc>
              <w:tc>
                <w:tcPr>
                  <w:tcW w:w="1266"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软化剂</w:t>
                  </w:r>
                </w:p>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（橡胶油）</w:t>
                  </w:r>
                </w:p>
              </w:tc>
              <w:tc>
                <w:tcPr>
                  <w:tcW w:w="858"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滑石粉</w:t>
                  </w:r>
                </w:p>
              </w:tc>
              <w:tc>
                <w:tcPr>
                  <w:tcW w:w="792"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橡胶粉</w:t>
                  </w:r>
                </w:p>
              </w:tc>
              <w:tc>
                <w:tcPr>
                  <w:tcW w:w="83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聚乙烯膜</w:t>
                  </w:r>
                </w:p>
              </w:tc>
              <w:tc>
                <w:tcPr>
                  <w:tcW w:w="1435"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胎基</w:t>
                  </w:r>
                </w:p>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（聚酯毡胎）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1157"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SBS防水卷材</w:t>
                  </w:r>
                </w:p>
              </w:tc>
              <w:tc>
                <w:tcPr>
                  <w:tcW w:w="817"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0.3</w:t>
                  </w:r>
                </w:p>
              </w:tc>
              <w:tc>
                <w:tcPr>
                  <w:tcW w:w="92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0.05</w:t>
                  </w:r>
                </w:p>
              </w:tc>
              <w:tc>
                <w:tcPr>
                  <w:tcW w:w="1266"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0.04</w:t>
                  </w:r>
                </w:p>
              </w:tc>
              <w:tc>
                <w:tcPr>
                  <w:tcW w:w="858"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0.08</w:t>
                  </w:r>
                </w:p>
              </w:tc>
              <w:tc>
                <w:tcPr>
                  <w:tcW w:w="792"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0.07</w:t>
                  </w:r>
                </w:p>
              </w:tc>
              <w:tc>
                <w:tcPr>
                  <w:tcW w:w="834"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0.0075</w:t>
                  </w:r>
                </w:p>
              </w:tc>
              <w:tc>
                <w:tcPr>
                  <w:tcW w:w="143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1m</w:t>
                  </w:r>
                  <w:r>
                    <w:rPr>
                      <w:rStyle w:val="29"/>
                      <w:rFonts w:hint="eastAsia" w:ascii="Times New Roman" w:hAnsi="Times New Roman" w:eastAsia="宋体" w:cs="Times New Roman"/>
                      <w:color w:val="auto"/>
                      <w:szCs w:val="21"/>
                      <w:vertAlign w:val="superscript"/>
                      <w:lang w:val="en-US" w:eastAsia="zh-CN"/>
                    </w:rPr>
                    <w:t>2</w:t>
                  </w:r>
                </w:p>
              </w:tc>
            </w:tr>
          </w:tbl>
          <w:p>
            <w:pPr>
              <w:widowControl/>
              <w:adjustRightInd w:val="0"/>
              <w:snapToGrid w:val="0"/>
              <w:spacing w:line="460" w:lineRule="exact"/>
              <w:jc w:val="center"/>
              <w:rPr>
                <w:rFonts w:hint="default" w:ascii="Times New Roman" w:hAnsi="Times New Roman" w:eastAsia="宋体" w:cs="Times New Roman"/>
                <w:color w:val="auto"/>
                <w:sz w:val="24"/>
                <w:szCs w:val="32"/>
                <w:lang w:val="en-US" w:eastAsia="zh-CN"/>
              </w:rPr>
            </w:pPr>
            <w:r>
              <w:rPr>
                <w:rFonts w:ascii="Times New Roman" w:hAnsi="Times New Roman" w:eastAsia="宋体" w:cs="Times New Roman"/>
                <w:color w:val="auto"/>
                <w:sz w:val="24"/>
                <w:szCs w:val="32"/>
              </w:rPr>
              <w:t>表2-</w:t>
            </w:r>
            <w:r>
              <w:rPr>
                <w:rFonts w:hint="eastAsia" w:ascii="Times New Roman" w:hAnsi="Times New Roman" w:eastAsia="宋体" w:cs="Times New Roman"/>
                <w:color w:val="auto"/>
                <w:sz w:val="24"/>
                <w:szCs w:val="32"/>
                <w:lang w:val="en-US" w:eastAsia="zh-CN"/>
              </w:rPr>
              <w:t>6</w:t>
            </w:r>
            <w:r>
              <w:rPr>
                <w:rFonts w:ascii="Times New Roman" w:hAnsi="Times New Roman" w:eastAsia="宋体" w:cs="Times New Roman"/>
                <w:color w:val="auto"/>
                <w:sz w:val="24"/>
                <w:szCs w:val="32"/>
              </w:rPr>
              <w:t xml:space="preserve">   </w:t>
            </w:r>
            <w:r>
              <w:rPr>
                <w:rFonts w:hint="eastAsia" w:ascii="Times New Roman" w:hAnsi="Times New Roman" w:eastAsia="宋体" w:cs="Times New Roman"/>
                <w:color w:val="auto"/>
                <w:sz w:val="24"/>
                <w:szCs w:val="32"/>
              </w:rPr>
              <w:t>主要原辅料消耗表</w:t>
            </w:r>
          </w:p>
          <w:tbl>
            <w:tblPr>
              <w:tblStyle w:val="26"/>
              <w:tblW w:w="8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185"/>
              <w:gridCol w:w="915"/>
              <w:gridCol w:w="975"/>
              <w:gridCol w:w="720"/>
              <w:gridCol w:w="1095"/>
              <w:gridCol w:w="900"/>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序号</w:t>
                  </w:r>
                </w:p>
              </w:tc>
              <w:tc>
                <w:tcPr>
                  <w:tcW w:w="1185"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名称</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物理状态</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数量</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来源</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运输方式</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最大储存量</w:t>
                  </w:r>
                </w:p>
              </w:tc>
              <w:tc>
                <w:tcPr>
                  <w:tcW w:w="1703"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储存方式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95" w:type="dxa"/>
                  <w:gridSpan w:val="8"/>
                  <w:vAlign w:val="center"/>
                </w:tcPr>
                <w:p>
                  <w:pPr>
                    <w:adjustRightInd w:val="0"/>
                    <w:snapToGrid w:val="0"/>
                    <w:jc w:val="both"/>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1</w:t>
                  </w:r>
                </w:p>
              </w:tc>
              <w:tc>
                <w:tcPr>
                  <w:tcW w:w="1185"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沥青</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流体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540</w:t>
                  </w:r>
                  <w:r>
                    <w:rPr>
                      <w:rStyle w:val="29"/>
                      <w:rFonts w:hint="default" w:ascii="Times New Roman" w:hAnsi="Times New Roman" w:eastAsia="宋体" w:cs="Times New Roman"/>
                      <w:color w:val="auto"/>
                      <w:szCs w:val="21"/>
                    </w:rPr>
                    <w:t>0</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罐车运输</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200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储存于沥青罐内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2</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bCs/>
                      <w:snapToGrid w:val="0"/>
                      <w:color w:val="auto"/>
                      <w:szCs w:val="21"/>
                    </w:rPr>
                    <w:t>SBS</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颗粒</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9</w:t>
                  </w:r>
                  <w:r>
                    <w:rPr>
                      <w:rStyle w:val="29"/>
                      <w:rFonts w:hint="default" w:ascii="Times New Roman" w:hAnsi="Times New Roman" w:eastAsia="宋体" w:cs="Times New Roman"/>
                      <w:color w:val="auto"/>
                      <w:szCs w:val="21"/>
                    </w:rPr>
                    <w:t>00</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袋装，</w:t>
                  </w:r>
                  <w:r>
                    <w:rPr>
                      <w:rStyle w:val="29"/>
                      <w:rFonts w:hint="default" w:ascii="Times New Roman" w:hAnsi="Times New Roman" w:eastAsia="宋体" w:cs="Times New Roman"/>
                      <w:color w:val="auto"/>
                      <w:szCs w:val="21"/>
                    </w:rPr>
                    <w:t>汽运</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3</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bCs/>
                      <w:snapToGrid w:val="0"/>
                      <w:color w:val="auto"/>
                      <w:szCs w:val="21"/>
                    </w:rPr>
                    <w:t>软化剂（</w:t>
                  </w:r>
                  <w:r>
                    <w:rPr>
                      <w:rStyle w:val="29"/>
                      <w:rFonts w:hint="eastAsia" w:ascii="Times New Roman" w:hAnsi="Times New Roman" w:eastAsia="宋体" w:cs="Times New Roman"/>
                      <w:color w:val="auto"/>
                      <w:szCs w:val="21"/>
                      <w:lang w:val="en-US" w:eastAsia="zh-CN"/>
                    </w:rPr>
                    <w:t>橡胶</w:t>
                  </w:r>
                  <w:r>
                    <w:rPr>
                      <w:rStyle w:val="29"/>
                      <w:rFonts w:hint="default" w:ascii="Times New Roman" w:hAnsi="Times New Roman" w:eastAsia="宋体" w:cs="Times New Roman"/>
                      <w:bCs/>
                      <w:snapToGrid w:val="0"/>
                      <w:color w:val="auto"/>
                      <w:szCs w:val="21"/>
                    </w:rPr>
                    <w:t>油）</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液体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72</w:t>
                  </w:r>
                  <w:r>
                    <w:rPr>
                      <w:rStyle w:val="29"/>
                      <w:rFonts w:hint="default" w:ascii="Times New Roman" w:hAnsi="Times New Roman" w:eastAsia="宋体" w:cs="Times New Roman"/>
                      <w:color w:val="auto"/>
                      <w:szCs w:val="21"/>
                    </w:rPr>
                    <w:t>0</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罐车运输</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储存于软化剂罐内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4</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bCs/>
                      <w:snapToGrid w:val="0"/>
                      <w:color w:val="auto"/>
                      <w:szCs w:val="21"/>
                    </w:rPr>
                    <w:t>滑石粉</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粉末</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144</w:t>
                  </w:r>
                  <w:r>
                    <w:rPr>
                      <w:rStyle w:val="29"/>
                      <w:rFonts w:hint="default" w:ascii="Times New Roman" w:hAnsi="Times New Roman" w:eastAsia="宋体" w:cs="Times New Roman"/>
                      <w:color w:val="auto"/>
                      <w:szCs w:val="21"/>
                    </w:rPr>
                    <w:t>0</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罐车运输</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储存于滑石粉罐内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5</w:t>
                  </w:r>
                </w:p>
              </w:tc>
              <w:tc>
                <w:tcPr>
                  <w:tcW w:w="1185"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eastAsia" w:ascii="Times New Roman" w:hAnsi="Times New Roman" w:eastAsia="宋体" w:cs="Times New Roman"/>
                      <w:color w:val="auto"/>
                      <w:szCs w:val="21"/>
                      <w:lang w:val="en-US" w:eastAsia="zh-CN"/>
                    </w:rPr>
                    <w:t>橡胶粉</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粉末</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1260</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罐车运输</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储存于</w:t>
                  </w:r>
                  <w:r>
                    <w:rPr>
                      <w:rStyle w:val="29"/>
                      <w:rFonts w:hint="eastAsia" w:ascii="Times New Roman" w:hAnsi="Times New Roman" w:eastAsia="宋体" w:cs="Times New Roman"/>
                      <w:color w:val="auto"/>
                      <w:szCs w:val="21"/>
                      <w:lang w:val="en-US" w:eastAsia="zh-CN"/>
                    </w:rPr>
                    <w:t>橡胶粉</w:t>
                  </w:r>
                  <w:r>
                    <w:rPr>
                      <w:rFonts w:hint="default" w:ascii="Times New Roman" w:hAnsi="Times New Roman" w:eastAsia="宋体" w:cs="Times New Roman"/>
                      <w:color w:val="auto"/>
                      <w:szCs w:val="21"/>
                    </w:rPr>
                    <w:t>罐内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eastAsia" w:ascii="Times New Roman" w:hAnsi="Times New Roman" w:eastAsia="宋体" w:cs="Times New Roman"/>
                      <w:color w:val="auto"/>
                      <w:szCs w:val="21"/>
                      <w:lang w:eastAsia="zh-CN"/>
                    </w:rPr>
                  </w:pPr>
                  <w:r>
                    <w:rPr>
                      <w:rStyle w:val="29"/>
                      <w:rFonts w:hint="eastAsia" w:ascii="Times New Roman" w:hAnsi="Times New Roman" w:eastAsia="宋体" w:cs="Times New Roman"/>
                      <w:color w:val="auto"/>
                      <w:szCs w:val="21"/>
                      <w:lang w:val="en-US" w:eastAsia="zh-CN"/>
                    </w:rPr>
                    <w:t>6</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聚乙烯</w:t>
                  </w:r>
                  <w:r>
                    <w:rPr>
                      <w:rStyle w:val="29"/>
                      <w:rFonts w:hint="default" w:ascii="Times New Roman" w:hAnsi="Times New Roman" w:eastAsia="宋体" w:cs="Times New Roman"/>
                      <w:color w:val="auto"/>
                      <w:szCs w:val="21"/>
                    </w:rPr>
                    <w:t>膜</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固体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135</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汽运</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r>
                    <w:rPr>
                      <w:rFonts w:hint="default" w:ascii="Times New Roman" w:hAnsi="Times New Roman" w:eastAsia="宋体" w:cs="Times New Roman"/>
                      <w:color w:val="auto"/>
                      <w:szCs w:val="21"/>
                    </w:rPr>
                    <w:t>t</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7</w:t>
                  </w:r>
                </w:p>
              </w:tc>
              <w:tc>
                <w:tcPr>
                  <w:tcW w:w="1185"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default" w:ascii="Times New Roman" w:hAnsi="Times New Roman" w:eastAsia="宋体" w:cs="Times New Roman"/>
                      <w:color w:val="auto"/>
                      <w:szCs w:val="21"/>
                    </w:rPr>
                    <w:t>聚酯毡胎胎基</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固体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18</w:t>
                  </w:r>
                  <w:r>
                    <w:rPr>
                      <w:rStyle w:val="29"/>
                      <w:rFonts w:hint="default" w:ascii="Times New Roman" w:hAnsi="Times New Roman" w:eastAsia="宋体" w:cs="Times New Roman"/>
                      <w:color w:val="auto"/>
                      <w:szCs w:val="21"/>
                    </w:rPr>
                    <w:t>00万</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r>
                    <w:rPr>
                      <w:rFonts w:hint="default" w:ascii="Times New Roman" w:hAnsi="Times New Roman" w:eastAsia="宋体" w:cs="Times New Roman"/>
                      <w:color w:val="auto"/>
                      <w:szCs w:val="21"/>
                    </w:rPr>
                    <w: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汽运</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150</w:t>
                  </w:r>
                  <w:r>
                    <w:rPr>
                      <w:rStyle w:val="29"/>
                      <w:rFonts w:hint="default" w:ascii="Times New Roman" w:hAnsi="Times New Roman" w:eastAsia="宋体" w:cs="Times New Roman"/>
                      <w:color w:val="auto"/>
                      <w:szCs w:val="21"/>
                    </w:rPr>
                    <w:t>万</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2</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储存于原料库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095" w:type="dxa"/>
                  <w:gridSpan w:val="8"/>
                  <w:vAlign w:val="center"/>
                </w:tcPr>
                <w:p>
                  <w:pPr>
                    <w:adjustRightInd w:val="0"/>
                    <w:snapToGrid w:val="0"/>
                    <w:jc w:val="both"/>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二</w:t>
                  </w:r>
                  <w:r>
                    <w:rPr>
                      <w:rFonts w:hint="default"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能源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1</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导热油</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液体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3</w:t>
                  </w:r>
                  <w:r>
                    <w:rPr>
                      <w:rFonts w:hint="default" w:ascii="Times New Roman" w:hAnsi="Times New Roman" w:eastAsia="宋体" w:cs="Times New Roman"/>
                      <w:color w:val="auto"/>
                      <w:szCs w:val="21"/>
                    </w:rPr>
                    <w:t>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罐车运输</w:t>
                  </w:r>
                </w:p>
              </w:tc>
              <w:tc>
                <w:tcPr>
                  <w:tcW w:w="900"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50</w:t>
                  </w:r>
                </w:p>
              </w:tc>
              <w:tc>
                <w:tcPr>
                  <w:tcW w:w="1703"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5年更换一次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2"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2</w:t>
                  </w:r>
                </w:p>
              </w:tc>
              <w:tc>
                <w:tcPr>
                  <w:tcW w:w="118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天然气</w:t>
                  </w:r>
                </w:p>
              </w:tc>
              <w:tc>
                <w:tcPr>
                  <w:tcW w:w="915"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气体</w:t>
                  </w:r>
                </w:p>
              </w:tc>
              <w:tc>
                <w:tcPr>
                  <w:tcW w:w="97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eastAsia" w:ascii="Times New Roman" w:hAnsi="Times New Roman" w:eastAsia="宋体" w:cs="Times New Roman"/>
                      <w:color w:val="auto"/>
                      <w:szCs w:val="21"/>
                      <w:lang w:val="en-US" w:eastAsia="zh-CN"/>
                    </w:rPr>
                    <w:t>47</w:t>
                  </w:r>
                  <w:r>
                    <w:rPr>
                      <w:rStyle w:val="29"/>
                      <w:rFonts w:hint="default" w:ascii="Times New Roman" w:hAnsi="Times New Roman" w:eastAsia="宋体" w:cs="Times New Roman"/>
                      <w:color w:val="auto"/>
                      <w:szCs w:val="21"/>
                    </w:rPr>
                    <w:t>万</w:t>
                  </w:r>
                  <w:r>
                    <w:rPr>
                      <w:rFonts w:hint="default" w:ascii="Times New Roman" w:hAnsi="Times New Roman" w:eastAsia="宋体" w:cs="Times New Roman"/>
                      <w:color w:val="auto"/>
                      <w:szCs w:val="21"/>
                    </w:rPr>
                    <w:t>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/a</w:t>
                  </w:r>
                </w:p>
              </w:tc>
              <w:tc>
                <w:tcPr>
                  <w:tcW w:w="720"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外购</w:t>
                  </w:r>
                </w:p>
              </w:tc>
              <w:tc>
                <w:tcPr>
                  <w:tcW w:w="1095"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管道</w:t>
                  </w:r>
                </w:p>
              </w:tc>
              <w:tc>
                <w:tcPr>
                  <w:tcW w:w="900" w:type="dxa"/>
                  <w:vAlign w:val="center"/>
                </w:tcPr>
                <w:p>
                  <w:pPr>
                    <w:adjustRightInd w:val="0"/>
                    <w:snapToGrid w:val="0"/>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1703" w:type="dxa"/>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rPr>
                    <w:t>导热油炉消耗天然气由</w:t>
                  </w:r>
                  <w:r>
                    <w:rPr>
                      <w:rFonts w:hint="eastAsia" w:ascii="Times New Roman" w:hAnsi="Times New Roman" w:eastAsia="宋体" w:cs="Times New Roman"/>
                      <w:color w:val="auto"/>
                      <w:lang w:val="en-US" w:eastAsia="zh-CN"/>
                    </w:rPr>
                    <w:t>园区燃气管网提供（硫分0.1%，热值9000大卡/m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w:t>
                  </w:r>
                </w:p>
              </w:tc>
            </w:tr>
          </w:tbl>
          <w:p>
            <w:pPr>
              <w:widowControl/>
              <w:adjustRightInd w:val="0"/>
              <w:snapToGrid w:val="0"/>
              <w:spacing w:line="460" w:lineRule="exact"/>
              <w:jc w:val="center"/>
              <w:rPr>
                <w:rFonts w:hint="default" w:ascii="Times New Roman" w:hAnsi="Times New Roman" w:eastAsia="宋体" w:cs="Times New Roman"/>
                <w:color w:val="auto"/>
                <w:sz w:val="24"/>
                <w:szCs w:val="32"/>
                <w:lang w:val="en-US" w:eastAsia="zh-CN"/>
              </w:rPr>
            </w:pPr>
            <w:r>
              <w:rPr>
                <w:rFonts w:ascii="Times New Roman" w:hAnsi="Times New Roman" w:eastAsia="宋体" w:cs="Times New Roman"/>
                <w:color w:val="auto"/>
                <w:sz w:val="24"/>
                <w:szCs w:val="32"/>
              </w:rPr>
              <w:t>表2-</w:t>
            </w:r>
            <w:r>
              <w:rPr>
                <w:rFonts w:hint="eastAsia" w:ascii="Times New Roman" w:hAnsi="Times New Roman" w:eastAsia="宋体" w:cs="Times New Roman"/>
                <w:color w:val="auto"/>
                <w:sz w:val="24"/>
                <w:szCs w:val="32"/>
                <w:lang w:val="en-US" w:eastAsia="zh-CN"/>
              </w:rPr>
              <w:t>7</w:t>
            </w:r>
            <w:r>
              <w:rPr>
                <w:rFonts w:ascii="Times New Roman" w:hAnsi="Times New Roman" w:eastAsia="宋体" w:cs="Times New Roman"/>
                <w:color w:val="auto"/>
                <w:sz w:val="24"/>
                <w:szCs w:val="32"/>
              </w:rPr>
              <w:t xml:space="preserve">   </w:t>
            </w:r>
            <w:r>
              <w:rPr>
                <w:rFonts w:hint="eastAsia" w:ascii="Times New Roman" w:hAnsi="Times New Roman" w:eastAsia="宋体" w:cs="Times New Roman"/>
                <w:color w:val="auto"/>
                <w:sz w:val="24"/>
                <w:szCs w:val="32"/>
              </w:rPr>
              <w:t>主要原辅料理化性质表</w:t>
            </w:r>
          </w:p>
          <w:tbl>
            <w:tblPr>
              <w:tblStyle w:val="26"/>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762"/>
              <w:gridCol w:w="67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序号</w:t>
                  </w:r>
                </w:p>
              </w:tc>
              <w:tc>
                <w:tcPr>
                  <w:tcW w:w="762"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名称</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理化特性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1</w:t>
                  </w:r>
                </w:p>
              </w:tc>
              <w:tc>
                <w:tcPr>
                  <w:tcW w:w="762" w:type="dxa"/>
                  <w:vAlign w:val="center"/>
                </w:tcPr>
                <w:p>
                  <w:pPr>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沥青</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常温下是黑色或黑褐色的粘稠的液体或半固体，不溶于水，不溶于丙酮、乙醚、稀乙醇，溶于二硫化碳、四氯化碳等。主要组分是油分、树脂和地沥青质</w:t>
                  </w:r>
                  <w:r>
                    <w:rPr>
                      <w:rFonts w:hint="eastAsia" w:ascii="Times New Roman" w:hAnsi="Times New Roman" w:eastAsia="宋体" w:cs="Times New Roman"/>
                      <w:color w:val="auto"/>
                      <w:szCs w:val="21"/>
                      <w:lang w:val="en-US" w:eastAsia="zh-CN"/>
                    </w:rPr>
                    <w:t>,</w:t>
                  </w:r>
                  <w:r>
                    <w:rPr>
                      <w:rFonts w:hint="default" w:ascii="Times New Roman" w:hAnsi="Times New Roman" w:eastAsia="宋体" w:cs="Times New Roman"/>
                      <w:color w:val="auto"/>
                      <w:szCs w:val="21"/>
                    </w:rPr>
                    <w:t>还含2％～3％的沥青碳和似碳物，还含有蜡。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2</w:t>
                  </w:r>
                </w:p>
              </w:tc>
              <w:tc>
                <w:tcPr>
                  <w:tcW w:w="762" w:type="dxa"/>
                  <w:vAlign w:val="center"/>
                </w:tcPr>
                <w:p>
                  <w:pPr>
                    <w:adjustRightInd w:val="0"/>
                    <w:snapToGrid w:val="0"/>
                    <w:jc w:val="center"/>
                    <w:rPr>
                      <w:rFonts w:hint="default" w:ascii="Times New Roman" w:hAnsi="Times New Roman" w:eastAsia="宋体" w:cs="Times New Roman"/>
                      <w:color w:val="auto"/>
                      <w:szCs w:val="21"/>
                    </w:rPr>
                  </w:pPr>
                  <w:r>
                    <w:rPr>
                      <w:rStyle w:val="29"/>
                      <w:rFonts w:hint="default" w:ascii="Times New Roman" w:hAnsi="Times New Roman" w:eastAsia="宋体" w:cs="Times New Roman"/>
                      <w:bCs/>
                      <w:snapToGrid w:val="0"/>
                      <w:color w:val="auto"/>
                      <w:szCs w:val="21"/>
                    </w:rPr>
                    <w:t>SBS</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是一种苯乙烯系热塑性弹性体，无毒、无腐蚀、无爆炸危险</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主要为苯乙烯-丁二烯-苯乙烯嵌段共聚物，是SBCs中产量最大（占70%以上）、成本最低、应用较广的一个品种，是以苯乙烯、丁二烯为单体的三嵌段共聚物，兼有塑料和橡胶的特性，被称为“第三代</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"https://baike.baidu.com/item/%E5%90%88%E6%88%90%E6%A9%A1%E8%83%B6" \t "https://baike.baidu.com/item/SBS/_blank"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szCs w:val="21"/>
                    </w:rPr>
                    <w:t>合成橡胶</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”。SBS可以和水、弱酸、碱等接触，具有优良的</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"https://baike.baidu.com/item/%E6%8B%89%E4%BC%B8%E5%BC%BA%E5%BA%A6" \t "https://baike.baidu.com/item/SBS/_blank"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szCs w:val="21"/>
                    </w:rPr>
                    <w:t>拉伸强度</w:t>
                  </w:r>
                  <w:r>
                    <w:rPr>
                      <w:rFonts w:hint="default" w:ascii="Times New Roman" w:hAnsi="Times New Roman" w:eastAsia="宋体" w:cs="Times New Roman"/>
                      <w:color w:val="auto"/>
                      <w:szCs w:val="21"/>
                    </w:rPr>
                    <w:fldChar w:fldCharType="end"/>
                  </w:r>
                  <w:r>
                    <w:rPr>
                      <w:rFonts w:hint="default" w:ascii="Times New Roman" w:hAnsi="Times New Roman" w:eastAsia="宋体" w:cs="Times New Roman"/>
                      <w:color w:val="auto"/>
                      <w:szCs w:val="21"/>
                    </w:rPr>
                    <w:t>，表面摩擦系数大，低温性能好，电性能优良，加工性能好等特性，成为目前消费量最大的热塑性弹性体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3</w:t>
                  </w:r>
                </w:p>
              </w:tc>
              <w:tc>
                <w:tcPr>
                  <w:tcW w:w="762"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default" w:ascii="Times New Roman" w:hAnsi="Times New Roman" w:eastAsia="宋体" w:cs="Times New Roman"/>
                      <w:bCs/>
                      <w:snapToGrid w:val="0"/>
                      <w:color w:val="auto"/>
                      <w:szCs w:val="21"/>
                    </w:rPr>
                    <w:t>软化剂（</w:t>
                  </w:r>
                  <w:r>
                    <w:rPr>
                      <w:rStyle w:val="29"/>
                      <w:rFonts w:hint="eastAsia" w:ascii="Times New Roman" w:hAnsi="Times New Roman" w:eastAsia="宋体" w:cs="Times New Roman"/>
                      <w:color w:val="auto"/>
                      <w:szCs w:val="21"/>
                      <w:lang w:val="en-US" w:eastAsia="zh-CN"/>
                    </w:rPr>
                    <w:t>橡胶</w:t>
                  </w:r>
                  <w:r>
                    <w:rPr>
                      <w:rStyle w:val="29"/>
                      <w:rFonts w:hint="default" w:ascii="Times New Roman" w:hAnsi="Times New Roman" w:eastAsia="宋体" w:cs="Times New Roman"/>
                      <w:bCs/>
                      <w:snapToGrid w:val="0"/>
                      <w:color w:val="auto"/>
                      <w:szCs w:val="21"/>
                    </w:rPr>
                    <w:t>油）</w:t>
                  </w:r>
                </w:p>
              </w:tc>
              <w:tc>
                <w:tcPr>
                  <w:tcW w:w="6768" w:type="dxa"/>
                  <w:vAlign w:val="center"/>
                </w:tcPr>
                <w:p>
                  <w:pPr>
                    <w:adjustRightInd w:val="0"/>
                    <w:snapToGrid w:val="0"/>
                    <w:jc w:val="center"/>
                    <w:rPr>
                      <w:rFonts w:hint="default" w:ascii="Times New Roman" w:hAnsi="Times New Roman" w:eastAsia="宋体" w:cs="Times New Roman"/>
                      <w:color w:val="auto"/>
                      <w:szCs w:val="21"/>
                      <w:shd w:val="clear" w:color="auto" w:fill="FFFFFF"/>
                    </w:rPr>
                  </w:pPr>
                  <w:r>
                    <w:rPr>
                      <w:rFonts w:hint="default" w:ascii="Times New Roman" w:hAnsi="Times New Roman" w:eastAsia="宋体" w:cs="Times New Roman"/>
                      <w:color w:val="auto"/>
                      <w:szCs w:val="21"/>
                      <w:shd w:val="clear" w:color="auto" w:fill="FFFFFF"/>
                    </w:rPr>
                    <w:t>橡胶油是一种软化剂，能够减少混炼动力的消耗，促进各种辅料的均匀分散，提高硫化胶的伸长率、回弹性等工艺性能。主要作用机理</w:t>
                  </w:r>
                  <w:r>
                    <w:rPr>
                      <w:rFonts w:hint="eastAsia" w:ascii="Times New Roman" w:hAnsi="Times New Roman" w:eastAsia="宋体" w:cs="Times New Roman"/>
                      <w:color w:val="auto"/>
                      <w:szCs w:val="21"/>
                      <w:shd w:val="clear" w:color="auto" w:fill="FFFFFF"/>
                      <w:lang w:val="en-US" w:eastAsia="zh-CN"/>
                    </w:rPr>
                    <w:t>为</w:t>
                  </w:r>
                  <w:r>
                    <w:rPr>
                      <w:rFonts w:hint="default" w:ascii="Times New Roman" w:hAnsi="Times New Roman" w:eastAsia="宋体" w:cs="Times New Roman"/>
                      <w:color w:val="auto"/>
                      <w:szCs w:val="21"/>
                      <w:shd w:val="clear" w:color="auto" w:fill="FFFFFF"/>
                    </w:rPr>
                    <w:t>软化、增塑、增粘、补强、抗老化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Style w:val="29"/>
                      <w:rFonts w:hint="eastAsia"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4</w:t>
                  </w:r>
                </w:p>
              </w:tc>
              <w:tc>
                <w:tcPr>
                  <w:tcW w:w="762"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default" w:ascii="Times New Roman" w:hAnsi="Times New Roman" w:eastAsia="宋体" w:cs="Times New Roman"/>
                      <w:bCs/>
                      <w:snapToGrid w:val="0"/>
                      <w:color w:val="auto"/>
                      <w:szCs w:val="21"/>
                    </w:rPr>
                    <w:t>滑石粉</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为SBS改性沥青的无机填料，主要成分是滑石含水的</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"https://baike.baidu.com/item/%E7%A1%85%E9%85%B8%E9%95%81" \t "https://baike.baidu.com/item/_blank" </w:instrText>
                  </w:r>
                  <w:r>
                    <w:rPr>
                      <w:rFonts w:hint="default" w:ascii="Times New Roman" w:hAnsi="Times New Roman" w:eastAsia="宋体" w:cs="Times New Roman"/>
                      <w:color w:val="auto"/>
                    </w:rPr>
                    <w:fldChar w:fldCharType="separate"/>
                  </w:r>
                  <w:r>
                    <w:rPr>
                      <w:rStyle w:val="31"/>
                      <w:rFonts w:hint="default" w:ascii="Times New Roman" w:hAnsi="Times New Roman" w:eastAsia="宋体" w:cs="Times New Roman"/>
                      <w:color w:val="auto"/>
                      <w:szCs w:val="21"/>
                      <w:u w:val="none"/>
                      <w:shd w:val="clear" w:color="auto" w:fill="FFFFFF"/>
                    </w:rPr>
                    <w:t>硅酸镁</w:t>
                  </w:r>
                  <w:r>
                    <w:rPr>
                      <w:rStyle w:val="31"/>
                      <w:rFonts w:hint="default" w:ascii="Times New Roman" w:hAnsi="Times New Roman" w:eastAsia="宋体" w:cs="Times New Roman"/>
                      <w:color w:val="auto"/>
                      <w:szCs w:val="21"/>
                      <w:u w:val="none"/>
                      <w:shd w:val="clear" w:color="auto" w:fill="FFFFFF"/>
                    </w:rPr>
                    <w:fldChar w:fldCharType="end"/>
                  </w:r>
                  <w:r>
                    <w:rPr>
                      <w:rFonts w:hint="default" w:ascii="Times New Roman" w:hAnsi="Times New Roman" w:eastAsia="宋体" w:cs="Times New Roman"/>
                      <w:color w:val="auto"/>
                      <w:szCs w:val="21"/>
                      <w:shd w:val="clear" w:color="auto" w:fill="FFFFFF"/>
                    </w:rPr>
                    <w:t>，是</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"https://baike.baidu.com/item/%E7%99%BD%E8%89%B2/80367" \t "https://baike.baidu.com/item/_blank" </w:instrText>
                  </w:r>
                  <w:r>
                    <w:rPr>
                      <w:rFonts w:hint="default" w:ascii="Times New Roman" w:hAnsi="Times New Roman" w:eastAsia="宋体" w:cs="Times New Roman"/>
                      <w:color w:val="auto"/>
                    </w:rPr>
                    <w:fldChar w:fldCharType="separate"/>
                  </w:r>
                  <w:r>
                    <w:rPr>
                      <w:rStyle w:val="31"/>
                      <w:rFonts w:hint="default" w:ascii="Times New Roman" w:hAnsi="Times New Roman" w:eastAsia="宋体" w:cs="Times New Roman"/>
                      <w:color w:val="auto"/>
                      <w:szCs w:val="21"/>
                      <w:u w:val="none"/>
                      <w:shd w:val="clear" w:color="auto" w:fill="FFFFFF"/>
                    </w:rPr>
                    <w:t>白色</w:t>
                  </w:r>
                  <w:r>
                    <w:rPr>
                      <w:rStyle w:val="31"/>
                      <w:rFonts w:hint="default" w:ascii="Times New Roman" w:hAnsi="Times New Roman" w:eastAsia="宋体" w:cs="Times New Roman"/>
                      <w:color w:val="auto"/>
                      <w:szCs w:val="21"/>
                      <w:u w:val="none"/>
                      <w:shd w:val="clear" w:color="auto" w:fill="FFFFFF"/>
                    </w:rPr>
                    <w:fldChar w:fldCharType="end"/>
                  </w:r>
                  <w:r>
                    <w:rPr>
                      <w:rFonts w:hint="default" w:ascii="Times New Roman" w:hAnsi="Times New Roman" w:eastAsia="宋体" w:cs="Times New Roman"/>
                      <w:color w:val="auto"/>
                      <w:szCs w:val="21"/>
                      <w:shd w:val="clear" w:color="auto" w:fill="FFFFFF"/>
                    </w:rPr>
                    <w:t>或类白色、微细、无砂性的粉末，手摸有油腻感。无臭，</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"https://baike.baidu.com/item/%E6%97%A0%E5%91%B3" \t "https://baike.baidu.com/item/_blank" </w:instrText>
                  </w:r>
                  <w:r>
                    <w:rPr>
                      <w:rFonts w:hint="default" w:ascii="Times New Roman" w:hAnsi="Times New Roman" w:eastAsia="宋体" w:cs="Times New Roman"/>
                      <w:color w:val="auto"/>
                    </w:rPr>
                    <w:fldChar w:fldCharType="separate"/>
                  </w:r>
                  <w:r>
                    <w:rPr>
                      <w:rStyle w:val="31"/>
                      <w:rFonts w:hint="default" w:ascii="Times New Roman" w:hAnsi="Times New Roman" w:eastAsia="宋体" w:cs="Times New Roman"/>
                      <w:color w:val="auto"/>
                      <w:szCs w:val="21"/>
                      <w:u w:val="none"/>
                      <w:shd w:val="clear" w:color="auto" w:fill="FFFFFF"/>
                    </w:rPr>
                    <w:t>无味</w:t>
                  </w:r>
                  <w:r>
                    <w:rPr>
                      <w:rStyle w:val="31"/>
                      <w:rFonts w:hint="default" w:ascii="Times New Roman" w:hAnsi="Times New Roman" w:eastAsia="宋体" w:cs="Times New Roman"/>
                      <w:color w:val="auto"/>
                      <w:szCs w:val="21"/>
                      <w:u w:val="none"/>
                      <w:shd w:val="clear" w:color="auto" w:fill="FFFFFF"/>
                    </w:rPr>
                    <w:fldChar w:fldCharType="end"/>
                  </w:r>
                  <w:r>
                    <w:rPr>
                      <w:rFonts w:hint="default" w:ascii="Times New Roman" w:hAnsi="Times New Roman" w:eastAsia="宋体" w:cs="Times New Roman"/>
                      <w:color w:val="auto"/>
                      <w:szCs w:val="21"/>
                      <w:shd w:val="clear" w:color="auto" w:fill="FFFFFF"/>
                    </w:rPr>
                    <w:t>。本品在水、稀矿酸或稀氢氧化碱</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"https://baike.baidu.com/item/%E6%BA%B6%E6%B6%B2" \t "https://baike.baidu.com/item/_blank" </w:instrText>
                  </w:r>
                  <w:r>
                    <w:rPr>
                      <w:rFonts w:hint="default" w:ascii="Times New Roman" w:hAnsi="Times New Roman" w:eastAsia="宋体" w:cs="Times New Roman"/>
                      <w:color w:val="auto"/>
                    </w:rPr>
                    <w:fldChar w:fldCharType="separate"/>
                  </w:r>
                  <w:r>
                    <w:rPr>
                      <w:rStyle w:val="31"/>
                      <w:rFonts w:hint="default" w:ascii="Times New Roman" w:hAnsi="Times New Roman" w:eastAsia="宋体" w:cs="Times New Roman"/>
                      <w:color w:val="auto"/>
                      <w:szCs w:val="21"/>
                      <w:u w:val="none"/>
                      <w:shd w:val="clear" w:color="auto" w:fill="FFFFFF"/>
                    </w:rPr>
                    <w:t>溶液</w:t>
                  </w:r>
                  <w:r>
                    <w:rPr>
                      <w:rStyle w:val="31"/>
                      <w:rFonts w:hint="default" w:ascii="Times New Roman" w:hAnsi="Times New Roman" w:eastAsia="宋体" w:cs="Times New Roman"/>
                      <w:color w:val="auto"/>
                      <w:szCs w:val="21"/>
                      <w:u w:val="none"/>
                      <w:shd w:val="clear" w:color="auto" w:fill="FFFFFF"/>
                    </w:rPr>
                    <w:fldChar w:fldCharType="end"/>
                  </w:r>
                  <w:r>
                    <w:rPr>
                      <w:rFonts w:hint="default" w:ascii="Times New Roman" w:hAnsi="Times New Roman" w:eastAsia="宋体" w:cs="Times New Roman"/>
                      <w:color w:val="auto"/>
                      <w:szCs w:val="21"/>
                      <w:shd w:val="clear" w:color="auto" w:fill="FFFFFF"/>
                    </w:rPr>
                    <w:t>中均不溶解。滑石具有润滑性、抗黏、助流、耐火性、抗酸性、绝缘性、熔点高、化学性不活泼、遮盖力良好、柔软、光泽好、吸附力强等优良的物理、化学特性，由于滑石的结晶构造是呈层状的，所以具有易分裂成鳞片的趋向和特殊的滑润性，如果Fe</w:t>
                  </w:r>
                  <w:r>
                    <w:rPr>
                      <w:rFonts w:hint="default" w:ascii="Times New Roman" w:hAnsi="Times New Roman" w:eastAsia="宋体" w:cs="Times New Roman"/>
                      <w:color w:val="auto"/>
                      <w:szCs w:val="21"/>
                      <w:shd w:val="clear" w:color="auto" w:fill="FFFFFF"/>
                      <w:vertAlign w:val="subscript"/>
                    </w:rPr>
                    <w:t>2</w:t>
                  </w:r>
                  <w:r>
                    <w:rPr>
                      <w:rFonts w:hint="default" w:ascii="Times New Roman" w:hAnsi="Times New Roman" w:eastAsia="宋体" w:cs="Times New Roman"/>
                      <w:color w:val="auto"/>
                      <w:szCs w:val="21"/>
                      <w:shd w:val="clear" w:color="auto" w:fill="FFFFFF"/>
                    </w:rPr>
                    <w:t>O</w:t>
                  </w:r>
                  <w:r>
                    <w:rPr>
                      <w:rFonts w:hint="default" w:ascii="Times New Roman" w:hAnsi="Times New Roman" w:eastAsia="宋体" w:cs="Times New Roman"/>
                      <w:color w:val="auto"/>
                      <w:szCs w:val="21"/>
                      <w:shd w:val="clear" w:color="auto" w:fill="FFFFFF"/>
                      <w:vertAlign w:val="subscript"/>
                    </w:rPr>
                    <w:t>3</w:t>
                  </w:r>
                  <w:r>
                    <w:rPr>
                      <w:rFonts w:hint="default" w:ascii="Times New Roman" w:hAnsi="Times New Roman" w:eastAsia="宋体" w:cs="Times New Roman"/>
                      <w:color w:val="auto"/>
                      <w:szCs w:val="21"/>
                      <w:shd w:val="clear" w:color="auto" w:fill="FFFFFF"/>
                    </w:rPr>
                    <w:t>的含量很高则会减低它的</w:t>
                  </w: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 HYPERLINK "https://baike.baidu.com/item/%E7%BB%9D%E7%BC%98%E6%80%A7" \t "https://baike.baidu.com/item/_blank" </w:instrText>
                  </w:r>
                  <w:r>
                    <w:rPr>
                      <w:rFonts w:hint="default" w:ascii="Times New Roman" w:hAnsi="Times New Roman" w:eastAsia="宋体" w:cs="Times New Roman"/>
                      <w:color w:val="auto"/>
                    </w:rPr>
                    <w:fldChar w:fldCharType="separate"/>
                  </w:r>
                  <w:r>
                    <w:rPr>
                      <w:rStyle w:val="31"/>
                      <w:rFonts w:hint="default" w:ascii="Times New Roman" w:hAnsi="Times New Roman" w:eastAsia="宋体" w:cs="Times New Roman"/>
                      <w:color w:val="auto"/>
                      <w:szCs w:val="21"/>
                      <w:u w:val="none"/>
                      <w:shd w:val="clear" w:color="auto" w:fill="FFFFFF"/>
                    </w:rPr>
                    <w:t>绝缘性</w:t>
                  </w:r>
                  <w:r>
                    <w:rPr>
                      <w:rStyle w:val="31"/>
                      <w:rFonts w:hint="default" w:ascii="Times New Roman" w:hAnsi="Times New Roman" w:eastAsia="宋体" w:cs="Times New Roman"/>
                      <w:color w:val="auto"/>
                      <w:szCs w:val="21"/>
                      <w:u w:val="none"/>
                      <w:shd w:val="clear" w:color="auto" w:fill="FFFFFF"/>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5</w:t>
                  </w:r>
                </w:p>
              </w:tc>
              <w:tc>
                <w:tcPr>
                  <w:tcW w:w="762" w:type="dxa"/>
                  <w:vAlign w:val="center"/>
                </w:tcPr>
                <w:p>
                  <w:pPr>
                    <w:adjustRightInd w:val="0"/>
                    <w:snapToGrid w:val="0"/>
                    <w:jc w:val="center"/>
                    <w:rPr>
                      <w:rStyle w:val="29"/>
                      <w:rFonts w:hint="eastAsia" w:ascii="Times New Roman" w:hAnsi="Times New Roman" w:eastAsia="宋体" w:cs="Times New Roman"/>
                      <w:bCs/>
                      <w:snapToGrid w:val="0"/>
                      <w:color w:val="auto"/>
                      <w:szCs w:val="21"/>
                      <w:lang w:val="en-US" w:eastAsia="zh-CN"/>
                    </w:rPr>
                  </w:pPr>
                  <w:r>
                    <w:rPr>
                      <w:rStyle w:val="29"/>
                      <w:rFonts w:hint="eastAsia" w:ascii="Times New Roman" w:hAnsi="Times New Roman" w:eastAsia="宋体" w:cs="Times New Roman"/>
                      <w:bCs/>
                      <w:snapToGrid w:val="0"/>
                      <w:color w:val="auto"/>
                      <w:szCs w:val="21"/>
                      <w:lang w:val="en-US" w:eastAsia="zh-CN"/>
                    </w:rPr>
                    <w:t>橡胶粉</w:t>
                  </w:r>
                </w:p>
              </w:tc>
              <w:tc>
                <w:tcPr>
                  <w:tcW w:w="6768" w:type="dxa"/>
                  <w:vAlign w:val="center"/>
                </w:tcPr>
                <w:p>
                  <w:pPr>
                    <w:keepNext w:val="0"/>
                    <w:keepLines w:val="0"/>
                    <w:widowControl/>
                    <w:suppressLineNumbers w:val="0"/>
                    <w:jc w:val="center"/>
                    <w:rPr>
                      <w:rFonts w:hint="default" w:ascii="Times New Roman" w:hAnsi="Times New Roman" w:eastAsia="宋体" w:cs="Times New Roman"/>
                      <w:color w:val="auto"/>
                      <w:szCs w:val="21"/>
                      <w:shd w:val="clear" w:color="auto" w:fill="FFFFFF"/>
                    </w:rPr>
                  </w:pPr>
                  <w:r>
                    <w:rPr>
                      <w:rFonts w:hint="eastAsia" w:ascii="宋体" w:hAnsi="宋体" w:eastAsia="宋体" w:cs="宋体"/>
                      <w:color w:val="auto"/>
                      <w:kern w:val="0"/>
                      <w:sz w:val="21"/>
                      <w:szCs w:val="21"/>
                      <w:lang w:val="en-US" w:eastAsia="zh-CN" w:bidi="ar"/>
                    </w:rPr>
                    <w:t>废旧橡胶制品经粉碎加工处理而得到的粉末状橡胶材料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Style w:val="29"/>
                      <w:rFonts w:hint="default" w:ascii="Times New Roman" w:hAnsi="Times New Roman" w:eastAsia="宋体" w:cs="Times New Roman"/>
                      <w:color w:val="auto"/>
                      <w:szCs w:val="21"/>
                      <w:lang w:val="en-US" w:eastAsia="zh-CN"/>
                    </w:rPr>
                  </w:pPr>
                  <w:r>
                    <w:rPr>
                      <w:rStyle w:val="29"/>
                      <w:rFonts w:hint="eastAsia" w:ascii="Times New Roman" w:hAnsi="Times New Roman" w:eastAsia="宋体" w:cs="Times New Roman"/>
                      <w:color w:val="auto"/>
                      <w:szCs w:val="21"/>
                      <w:lang w:val="en-US" w:eastAsia="zh-CN"/>
                    </w:rPr>
                    <w:t>6</w:t>
                  </w:r>
                </w:p>
              </w:tc>
              <w:tc>
                <w:tcPr>
                  <w:tcW w:w="762"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eastAsia" w:ascii="Times New Roman" w:hAnsi="Times New Roman" w:eastAsia="宋体" w:cs="Times New Roman"/>
                      <w:color w:val="auto"/>
                      <w:szCs w:val="21"/>
                      <w:lang w:val="en-US" w:eastAsia="zh-CN"/>
                    </w:rPr>
                    <w:t>聚乙烯</w:t>
                  </w:r>
                  <w:r>
                    <w:rPr>
                      <w:rStyle w:val="29"/>
                      <w:rFonts w:hint="default" w:ascii="Times New Roman" w:hAnsi="Times New Roman" w:eastAsia="宋体" w:cs="Times New Roman"/>
                      <w:color w:val="auto"/>
                      <w:szCs w:val="21"/>
                    </w:rPr>
                    <w:t>膜</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rPr>
                    <w:t>是乙烯经聚合制得的一种热塑性树脂。在工业上，也包括乙烯与少量α-烯烃的共聚物。聚乙烯无臭，无毒，手感似蜡，具有优良的耐低温性能，热分解温度在280℃~380℃，化学稳定性好，能耐大多数酸碱的侵蚀（不耐具有氧化性质的酸）。常温下不溶于一般溶剂，吸水性小，电绝缘性优良，PE塑料加工温度范围很宽，不易分解，由于分子间的剪切挤压下发生断链、分解、降解过程中产生游离单体废气，但是产生量极微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19" w:type="dxa"/>
                  <w:vAlign w:val="center"/>
                </w:tcPr>
                <w:p>
                  <w:pPr>
                    <w:adjustRightInd w:val="0"/>
                    <w:snapToGrid w:val="0"/>
                    <w:jc w:val="center"/>
                    <w:rPr>
                      <w:rStyle w:val="29"/>
                      <w:rFonts w:hint="eastAsia" w:ascii="Times New Roman" w:hAnsi="Times New Roman" w:eastAsia="宋体" w:cs="Times New Roman"/>
                      <w:color w:val="auto"/>
                      <w:szCs w:val="21"/>
                      <w:lang w:eastAsia="zh-CN"/>
                    </w:rPr>
                  </w:pPr>
                  <w:r>
                    <w:rPr>
                      <w:rStyle w:val="29"/>
                      <w:rFonts w:hint="eastAsia" w:ascii="Times New Roman" w:hAnsi="Times New Roman" w:eastAsia="宋体" w:cs="Times New Roman"/>
                      <w:color w:val="auto"/>
                      <w:szCs w:val="21"/>
                      <w:lang w:val="en-US" w:eastAsia="zh-CN"/>
                    </w:rPr>
                    <w:t>7</w:t>
                  </w:r>
                </w:p>
              </w:tc>
              <w:tc>
                <w:tcPr>
                  <w:tcW w:w="762" w:type="dxa"/>
                  <w:vAlign w:val="center"/>
                </w:tcPr>
                <w:p>
                  <w:pPr>
                    <w:adjustRightInd w:val="0"/>
                    <w:snapToGrid w:val="0"/>
                    <w:jc w:val="center"/>
                    <w:rPr>
                      <w:rStyle w:val="29"/>
                      <w:rFonts w:hint="default" w:ascii="Times New Roman" w:hAnsi="Times New Roman" w:eastAsia="宋体" w:cs="Times New Roman"/>
                      <w:bCs/>
                      <w:snapToGrid w:val="0"/>
                      <w:color w:val="auto"/>
                      <w:szCs w:val="21"/>
                    </w:rPr>
                  </w:pPr>
                  <w:r>
                    <w:rPr>
                      <w:rStyle w:val="29"/>
                      <w:rFonts w:hint="default" w:ascii="Times New Roman" w:hAnsi="Times New Roman" w:eastAsia="宋体" w:cs="Times New Roman"/>
                      <w:color w:val="auto"/>
                      <w:szCs w:val="21"/>
                    </w:rPr>
                    <w:t>聚酯毡胎胎基</w:t>
                  </w:r>
                </w:p>
              </w:tc>
              <w:tc>
                <w:tcPr>
                  <w:tcW w:w="6768" w:type="dxa"/>
                  <w:vAlign w:val="center"/>
                </w:tcPr>
                <w:p>
                  <w:pPr>
                    <w:adjustRightInd w:val="0"/>
                    <w:snapToGrid w:val="0"/>
                    <w:jc w:val="center"/>
                    <w:rPr>
                      <w:rStyle w:val="29"/>
                      <w:rFonts w:hint="default" w:ascii="Times New Roman" w:hAnsi="Times New Roman" w:eastAsia="宋体" w:cs="Times New Roman"/>
                      <w:color w:val="auto"/>
                      <w:szCs w:val="21"/>
                    </w:rPr>
                  </w:pPr>
                  <w:r>
                    <w:rPr>
                      <w:rStyle w:val="29"/>
                      <w:rFonts w:hint="default" w:ascii="Times New Roman" w:hAnsi="Times New Roman" w:eastAsia="宋体" w:cs="Times New Roman"/>
                      <w:color w:val="auto"/>
                      <w:szCs w:val="21"/>
                      <w:shd w:val="clear" w:color="auto" w:fill="FFFFFF"/>
                    </w:rPr>
                    <w:t>是属于无纺布的一种，又可以称之为：（聚酯油毡基布，胎基布，油毡基布，防水基布）。具有高强度、高延伸和耐穿刺，重量轻、抗拉强度高、渗透性好、耐高温、抗冷冻、耐老化、耐腐蚀。作为沥青防水卷材的胎基在建筑行业以得到广泛应用。</w:t>
                  </w:r>
                </w:p>
              </w:tc>
            </w:tr>
          </w:tbl>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6</w:t>
            </w:r>
            <w:r>
              <w:rPr>
                <w:rFonts w:ascii="Times New Roman" w:hAnsi="Times New Roman" w:eastAsia="宋体" w:cs="Times New Roman"/>
                <w:color w:val="auto"/>
                <w:sz w:val="24"/>
                <w:szCs w:val="32"/>
              </w:rPr>
              <w:t>、职工人数及工作制度</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职工人数：劳动定员</w:t>
            </w:r>
            <w:r>
              <w:rPr>
                <w:rFonts w:hint="eastAsia" w:ascii="Times New Roman" w:hAnsi="Times New Roman" w:eastAsia="宋体" w:cs="Times New Roman"/>
                <w:color w:val="auto"/>
                <w:sz w:val="24"/>
                <w:szCs w:val="32"/>
              </w:rPr>
              <w:t>19</w:t>
            </w:r>
            <w:r>
              <w:rPr>
                <w:rFonts w:ascii="Times New Roman" w:hAnsi="Times New Roman" w:eastAsia="宋体" w:cs="Times New Roman"/>
                <w:color w:val="auto"/>
                <w:sz w:val="24"/>
                <w:szCs w:val="32"/>
              </w:rPr>
              <w:t>人，其中管理人员</w:t>
            </w:r>
            <w:r>
              <w:rPr>
                <w:rFonts w:hint="eastAsia" w:ascii="Times New Roman" w:hAnsi="Times New Roman" w:eastAsia="宋体" w:cs="Times New Roman"/>
                <w:color w:val="auto"/>
                <w:sz w:val="24"/>
                <w:szCs w:val="32"/>
              </w:rPr>
              <w:t>4</w:t>
            </w:r>
            <w:r>
              <w:rPr>
                <w:rFonts w:ascii="Times New Roman" w:hAnsi="Times New Roman" w:eastAsia="宋体" w:cs="Times New Roman"/>
                <w:color w:val="auto"/>
                <w:sz w:val="24"/>
                <w:szCs w:val="32"/>
              </w:rPr>
              <w:t>人，技术及工人共15人。</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工作制度：</w:t>
            </w:r>
            <w:r>
              <w:rPr>
                <w:rFonts w:hint="eastAsia" w:ascii="Times New Roman" w:hAnsi="Times New Roman" w:eastAsia="宋体" w:cs="Times New Roman"/>
                <w:color w:val="auto"/>
                <w:sz w:val="24"/>
                <w:szCs w:val="32"/>
              </w:rPr>
              <w:t>年工作</w:t>
            </w:r>
            <w:r>
              <w:rPr>
                <w:rFonts w:hint="eastAsia" w:ascii="Times New Roman" w:hAnsi="Times New Roman" w:eastAsia="宋体" w:cs="Times New Roman"/>
                <w:color w:val="auto"/>
                <w:sz w:val="24"/>
                <w:szCs w:val="32"/>
                <w:lang w:val="en-US" w:eastAsia="zh-CN"/>
              </w:rPr>
              <w:t>30</w:t>
            </w:r>
            <w:r>
              <w:rPr>
                <w:rFonts w:ascii="Times New Roman" w:hAnsi="Times New Roman" w:eastAsia="宋体" w:cs="Times New Roman"/>
                <w:color w:val="auto"/>
                <w:sz w:val="24"/>
                <w:szCs w:val="32"/>
              </w:rPr>
              <w:t>0</w:t>
            </w:r>
            <w:r>
              <w:rPr>
                <w:rFonts w:hint="eastAsia" w:ascii="Times New Roman" w:hAnsi="Times New Roman" w:eastAsia="宋体" w:cs="Times New Roman"/>
                <w:color w:val="auto"/>
                <w:sz w:val="24"/>
                <w:szCs w:val="32"/>
              </w:rPr>
              <w:t>天，1班制，每班8h。</w:t>
            </w:r>
          </w:p>
          <w:p>
            <w:pPr>
              <w:widowControl/>
              <w:spacing w:line="46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7</w:t>
            </w:r>
            <w:r>
              <w:rPr>
                <w:rFonts w:ascii="Times New Roman" w:hAnsi="Times New Roman" w:eastAsia="宋体" w:cs="Times New Roman"/>
                <w:color w:val="auto"/>
                <w:sz w:val="24"/>
                <w:szCs w:val="24"/>
              </w:rPr>
              <w:t>、工程总平面布置</w:t>
            </w:r>
          </w:p>
          <w:p>
            <w:pPr>
              <w:widowControl/>
              <w:spacing w:line="460" w:lineRule="exact"/>
              <w:ind w:firstLine="480" w:firstLineChars="200"/>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本次建设项目总占地面积</w:t>
            </w:r>
            <w:r>
              <w:rPr>
                <w:rFonts w:hint="eastAsia" w:ascii="Times New Roman" w:hAnsi="Times New Roman" w:eastAsia="宋体" w:cs="Times New Roman"/>
                <w:color w:val="auto"/>
                <w:sz w:val="24"/>
                <w:szCs w:val="24"/>
                <w:lang w:val="en-US" w:eastAsia="zh-CN"/>
              </w:rPr>
              <w:t>10000</w:t>
            </w:r>
            <w:r>
              <w:rPr>
                <w:rFonts w:hint="eastAsia" w:ascii="Times New Roman" w:hAnsi="Times New Roman" w:eastAsia="宋体" w:cs="Times New Roman"/>
                <w:color w:val="auto"/>
                <w:sz w:val="24"/>
                <w:szCs w:val="24"/>
              </w:rPr>
              <w:t>平方米，</w:t>
            </w:r>
            <w:r>
              <w:rPr>
                <w:rFonts w:ascii="Times New Roman" w:hAnsi="Times New Roman" w:eastAsia="宋体" w:cs="Times New Roman"/>
                <w:color w:val="auto"/>
                <w:sz w:val="24"/>
                <w:szCs w:val="24"/>
              </w:rPr>
              <w:t>本项目占地范围内厂区</w:t>
            </w:r>
            <w:r>
              <w:rPr>
                <w:rFonts w:hint="eastAsia" w:ascii="Times New Roman" w:hAnsi="Times New Roman" w:eastAsia="宋体" w:cs="Times New Roman"/>
                <w:color w:val="auto"/>
                <w:sz w:val="24"/>
                <w:szCs w:val="24"/>
                <w:lang w:val="en-US" w:eastAsia="zh-CN"/>
              </w:rPr>
              <w:t>西北</w:t>
            </w:r>
            <w:r>
              <w:rPr>
                <w:rFonts w:ascii="Times New Roman" w:hAnsi="Times New Roman" w:eastAsia="宋体" w:cs="Times New Roman"/>
                <w:color w:val="auto"/>
                <w:sz w:val="24"/>
                <w:szCs w:val="24"/>
              </w:rPr>
              <w:t>侧为</w:t>
            </w:r>
            <w:r>
              <w:rPr>
                <w:rFonts w:hint="eastAsia" w:ascii="Times New Roman" w:hAnsi="Times New Roman" w:eastAsia="宋体" w:cs="Times New Roman"/>
                <w:color w:val="auto"/>
                <w:sz w:val="24"/>
                <w:szCs w:val="32"/>
              </w:rPr>
              <w:t>办公区</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生产车间位于厂区</w:t>
            </w:r>
            <w:r>
              <w:rPr>
                <w:rFonts w:hint="eastAsia" w:ascii="Times New Roman" w:hAnsi="Times New Roman" w:eastAsia="宋体" w:cs="Times New Roman"/>
                <w:color w:val="auto"/>
                <w:sz w:val="24"/>
                <w:szCs w:val="32"/>
              </w:rPr>
              <w:t>中央</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24"/>
              </w:rPr>
              <w:t>罐区</w:t>
            </w:r>
            <w:r>
              <w:rPr>
                <w:rFonts w:hint="eastAsia" w:ascii="Times New Roman" w:hAnsi="Times New Roman" w:eastAsia="宋体" w:cs="Times New Roman"/>
                <w:color w:val="auto"/>
                <w:sz w:val="24"/>
                <w:szCs w:val="24"/>
                <w:lang w:val="en-US" w:eastAsia="zh-CN"/>
              </w:rPr>
              <w:t>位于生产车间南侧</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生产区与办公区分区明确。</w:t>
            </w:r>
          </w:p>
          <w:p>
            <w:pPr>
              <w:widowControl/>
              <w:spacing w:line="46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本项目合理设置工艺路线，可使物流通畅、运输便捷，降低能源消耗，达到节能降耗的目的。生产区域按物料流向分别进行布置，缩小了原辅材料及成品的输送距离，尽量避免了原材料和半成品的二次倒运。</w:t>
            </w:r>
          </w:p>
          <w:p>
            <w:pPr>
              <w:widowControl/>
              <w:spacing w:line="46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本项目平面布置图见附图</w:t>
            </w:r>
            <w:r>
              <w:rPr>
                <w:rFonts w:hint="eastAsia" w:ascii="Times New Roman" w:hAnsi="Times New Roman" w:eastAsia="宋体" w:cs="Times New Roman"/>
                <w:color w:val="auto"/>
                <w:sz w:val="24"/>
                <w:szCs w:val="24"/>
                <w:lang w:val="en-US" w:eastAsia="zh-CN"/>
              </w:rPr>
              <w:t>12</w:t>
            </w:r>
            <w:r>
              <w:rPr>
                <w:rFonts w:ascii="Times New Roman" w:hAnsi="Times New Roman" w:eastAsia="宋体" w:cs="Times New Roman"/>
                <w:color w:val="auto"/>
                <w:sz w:val="24"/>
                <w:szCs w:val="24"/>
              </w:rPr>
              <w:t>。</w:t>
            </w:r>
          </w:p>
          <w:p>
            <w:pPr>
              <w:widowControl/>
              <w:adjustRightInd w:val="0"/>
              <w:snapToGrid w:val="0"/>
              <w:spacing w:line="460" w:lineRule="exact"/>
              <w:ind w:firstLine="480" w:firstLineChars="200"/>
              <w:rPr>
                <w:rFonts w:hint="eastAsia" w:ascii="Times New Roman" w:hAnsi="Times New Roman" w:eastAsia="宋体" w:cs="Times New Roman"/>
                <w:color w:val="auto"/>
                <w:sz w:val="24"/>
                <w:szCs w:val="32"/>
                <w:lang w:eastAsia="zh-CN"/>
              </w:rPr>
            </w:pPr>
            <w:r>
              <w:rPr>
                <w:rFonts w:hint="eastAsia" w:ascii="Times New Roman" w:hAnsi="Times New Roman" w:eastAsia="宋体" w:cs="Times New Roman"/>
                <w:color w:val="auto"/>
                <w:sz w:val="24"/>
                <w:szCs w:val="32"/>
              </w:rPr>
              <w:t>8</w:t>
            </w:r>
            <w:r>
              <w:rPr>
                <w:rFonts w:ascii="Times New Roman" w:hAnsi="Times New Roman" w:eastAsia="宋体" w:cs="Times New Roman"/>
                <w:color w:val="auto"/>
                <w:sz w:val="24"/>
                <w:szCs w:val="32"/>
              </w:rPr>
              <w:t>、</w:t>
            </w:r>
            <w:r>
              <w:rPr>
                <w:rFonts w:hint="eastAsia" w:ascii="Times New Roman" w:hAnsi="Times New Roman" w:eastAsia="宋体" w:cs="Times New Roman"/>
                <w:color w:val="auto"/>
                <w:sz w:val="24"/>
                <w:szCs w:val="32"/>
                <w:lang w:val="en-US" w:eastAsia="zh-CN"/>
              </w:rPr>
              <w:t>水平衡</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1）给排水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⑴</w:t>
            </w:r>
            <w:r>
              <w:rPr>
                <w:rFonts w:ascii="Times New Roman" w:hAnsi="Times New Roman" w:eastAsia="宋体" w:cs="Times New Roman"/>
                <w:color w:val="auto"/>
                <w:sz w:val="24"/>
                <w:szCs w:val="32"/>
              </w:rPr>
              <w:t>水源：项目用水</w:t>
            </w:r>
            <w:r>
              <w:rPr>
                <w:rFonts w:hint="eastAsia" w:ascii="Times New Roman" w:hAnsi="Times New Roman" w:eastAsia="宋体" w:cs="Times New Roman"/>
                <w:color w:val="auto"/>
                <w:sz w:val="24"/>
                <w:szCs w:val="32"/>
              </w:rPr>
              <w:t>取自大宁产业集聚区自来水管网</w:t>
            </w:r>
            <w:r>
              <w:rPr>
                <w:rFonts w:ascii="Times New Roman" w:hAnsi="Times New Roman" w:eastAsia="宋体" w:cs="Times New Roman"/>
                <w:color w:val="auto"/>
                <w:sz w:val="24"/>
                <w:szCs w:val="32"/>
              </w:rPr>
              <w:t>，可满足项目用水需要。</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⑵</w:t>
            </w:r>
            <w:r>
              <w:rPr>
                <w:rFonts w:ascii="Times New Roman" w:hAnsi="Times New Roman" w:eastAsia="宋体" w:cs="Times New Roman"/>
                <w:color w:val="auto"/>
                <w:sz w:val="24"/>
                <w:szCs w:val="32"/>
              </w:rPr>
              <w:t>给水：</w:t>
            </w:r>
            <w:r>
              <w:rPr>
                <w:rFonts w:hint="eastAsia" w:ascii="Times New Roman" w:hAnsi="Times New Roman" w:eastAsia="宋体" w:cs="Times New Roman"/>
                <w:color w:val="auto"/>
                <w:sz w:val="24"/>
                <w:szCs w:val="32"/>
              </w:rPr>
              <w:t>项目用水主要包括职工生活用水、</w:t>
            </w:r>
            <w:r>
              <w:rPr>
                <w:rFonts w:hint="eastAsia" w:ascii="Times New Roman" w:hAnsi="Times New Roman" w:eastAsia="宋体" w:cs="Times New Roman"/>
                <w:color w:val="auto"/>
                <w:sz w:val="24"/>
                <w:szCs w:val="32"/>
                <w:lang w:val="en-US" w:eastAsia="zh-CN"/>
              </w:rPr>
              <w:t>冷却</w:t>
            </w:r>
            <w:r>
              <w:rPr>
                <w:rFonts w:hint="eastAsia" w:ascii="Times New Roman" w:hAnsi="Times New Roman" w:eastAsia="宋体" w:cs="Times New Roman"/>
                <w:color w:val="auto"/>
                <w:sz w:val="24"/>
                <w:szCs w:val="32"/>
              </w:rPr>
              <w:t>用水、废气喷淋系统用水</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rPr>
              <w:t>运输车辆轮胎冲洗水及绿化用水等。</w:t>
            </w:r>
          </w:p>
          <w:p>
            <w:pPr>
              <w:widowControl/>
              <w:adjustRightInd w:val="0"/>
              <w:snapToGrid w:val="0"/>
              <w:spacing w:line="460" w:lineRule="exact"/>
              <w:ind w:firstLine="480" w:firstLineChars="200"/>
              <w:rPr>
                <w:rFonts w:ascii="宋体" w:hAnsi="宋体" w:eastAsia="宋体" w:cs="宋体"/>
                <w:color w:val="auto"/>
                <w:sz w:val="24"/>
                <w:szCs w:val="32"/>
              </w:rPr>
            </w:pPr>
            <w:r>
              <w:rPr>
                <w:rFonts w:hint="eastAsia" w:ascii="宋体" w:hAnsi="宋体" w:eastAsia="宋体" w:cs="宋体"/>
                <w:color w:val="auto"/>
                <w:sz w:val="24"/>
                <w:szCs w:val="32"/>
              </w:rPr>
              <w:t>①</w:t>
            </w:r>
            <w:r>
              <w:rPr>
                <w:rFonts w:ascii="宋体" w:hAnsi="宋体" w:eastAsia="宋体" w:cs="宋体"/>
                <w:color w:val="auto"/>
                <w:sz w:val="24"/>
                <w:szCs w:val="32"/>
              </w:rPr>
              <w:t>生活用水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本项目运营期劳动定员为19人，厂内</w:t>
            </w:r>
            <w:r>
              <w:rPr>
                <w:rFonts w:hint="eastAsia" w:ascii="Times New Roman" w:hAnsi="Times New Roman" w:eastAsia="宋体" w:cs="Times New Roman"/>
                <w:color w:val="auto"/>
                <w:sz w:val="24"/>
                <w:szCs w:val="32"/>
              </w:rPr>
              <w:t>设有食堂、宿舍</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lang w:val="en-US" w:eastAsia="zh-CN"/>
              </w:rPr>
              <w:t>水冲厕所</w:t>
            </w:r>
            <w:r>
              <w:rPr>
                <w:rFonts w:ascii="Times New Roman" w:hAnsi="Times New Roman" w:eastAsia="宋体" w:cs="Times New Roman"/>
                <w:color w:val="auto"/>
                <w:sz w:val="24"/>
                <w:szCs w:val="32"/>
              </w:rPr>
              <w:t>，根据《山西省用水定额第4部分》（DB14/T1049.4-2021），生活用水量按</w:t>
            </w:r>
            <w:r>
              <w:rPr>
                <w:rFonts w:hint="eastAsia" w:ascii="Times New Roman" w:hAnsi="Times New Roman" w:eastAsia="宋体" w:cs="Times New Roman"/>
                <w:color w:val="auto"/>
                <w:sz w:val="24"/>
                <w:szCs w:val="32"/>
              </w:rPr>
              <w:t>9</w:t>
            </w:r>
            <w:r>
              <w:rPr>
                <w:rFonts w:ascii="Times New Roman" w:hAnsi="Times New Roman" w:eastAsia="宋体" w:cs="Times New Roman"/>
                <w:color w:val="auto"/>
                <w:sz w:val="24"/>
                <w:szCs w:val="32"/>
              </w:rPr>
              <w:t>0L/人·d计，生活用水量为</w:t>
            </w:r>
            <w:r>
              <w:rPr>
                <w:rFonts w:hint="eastAsia" w:ascii="Times New Roman" w:hAnsi="Times New Roman" w:eastAsia="宋体" w:cs="Times New Roman"/>
                <w:color w:val="auto"/>
                <w:sz w:val="24"/>
                <w:szCs w:val="32"/>
              </w:rPr>
              <w:t>1</w:t>
            </w:r>
            <w:r>
              <w:rPr>
                <w:rFonts w:ascii="Times New Roman" w:hAnsi="Times New Roman" w:eastAsia="宋体" w:cs="Times New Roman"/>
                <w:color w:val="auto"/>
                <w:sz w:val="24"/>
                <w:szCs w:val="32"/>
              </w:rPr>
              <w:t>.71m</w:t>
            </w:r>
            <w:r>
              <w:rPr>
                <w:rFonts w:ascii="Times New Roman" w:hAnsi="Times New Roman" w:eastAsia="宋体" w:cs="Times New Roman"/>
                <w:color w:val="auto"/>
                <w:sz w:val="24"/>
                <w:szCs w:val="32"/>
                <w:vertAlign w:val="superscript"/>
              </w:rPr>
              <w:t>3</w:t>
            </w:r>
            <w:r>
              <w:rPr>
                <w:rFonts w:ascii="Times New Roman" w:hAnsi="Times New Roman" w:eastAsia="宋体" w:cs="Times New Roman"/>
                <w:color w:val="auto"/>
                <w:sz w:val="24"/>
                <w:szCs w:val="32"/>
              </w:rPr>
              <w:t>/d。</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②</w:t>
            </w:r>
            <w:r>
              <w:rPr>
                <w:rFonts w:ascii="Times New Roman" w:hAnsi="Times New Roman" w:eastAsia="宋体" w:cs="Times New Roman"/>
                <w:color w:val="auto"/>
                <w:sz w:val="24"/>
                <w:szCs w:val="32"/>
              </w:rPr>
              <w:t>生产用水</w:t>
            </w:r>
          </w:p>
          <w:p>
            <w:pPr>
              <w:widowControl/>
              <w:adjustRightInd w:val="0"/>
              <w:snapToGrid w:val="0"/>
              <w:spacing w:line="460" w:lineRule="exact"/>
              <w:ind w:firstLine="480" w:firstLineChars="200"/>
              <w:rPr>
                <w:rFonts w:hint="eastAsia" w:ascii="Times New Roman" w:hAnsi="Times New Roman" w:eastAsia="宋体" w:cs="Times New Roman"/>
                <w:color w:val="auto"/>
                <w:sz w:val="24"/>
                <w:szCs w:val="32"/>
                <w:lang w:eastAsia="zh-CN"/>
              </w:rPr>
            </w:pPr>
            <w:r>
              <w:rPr>
                <w:rFonts w:ascii="Times New Roman" w:hAnsi="Times New Roman" w:eastAsia="宋体" w:cs="Times New Roman"/>
                <w:color w:val="auto"/>
                <w:sz w:val="24"/>
                <w:szCs w:val="32"/>
              </w:rPr>
              <w:t>A、</w:t>
            </w:r>
            <w:r>
              <w:rPr>
                <w:rFonts w:hint="eastAsia" w:ascii="Times New Roman" w:hAnsi="Times New Roman" w:eastAsia="宋体" w:cs="Times New Roman"/>
                <w:color w:val="auto"/>
                <w:sz w:val="24"/>
                <w:szCs w:val="32"/>
              </w:rPr>
              <w:t>冷却用水</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rPr>
              <w:t>本项目使用水对SBS防水卷材进行冷却降温定型，类比其他同类项目，冷却水循环量为100m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/d。补充新鲜水水量按照2%计算，则补水量约2m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w:t>
            </w:r>
            <w:r>
              <w:rPr>
                <w:rFonts w:hint="eastAsia" w:ascii="Times New Roman" w:hAnsi="Times New Roman" w:eastAsia="宋体" w:cs="Times New Roman"/>
                <w:color w:val="auto"/>
                <w:sz w:val="24"/>
                <w:szCs w:val="32"/>
                <w:lang w:eastAsia="zh-CN"/>
              </w:rPr>
              <w:t>；</w:t>
            </w:r>
          </w:p>
          <w:p>
            <w:pPr>
              <w:widowControl/>
              <w:adjustRightInd w:val="0"/>
              <w:snapToGrid w:val="0"/>
              <w:spacing w:line="460" w:lineRule="exact"/>
              <w:ind w:firstLine="480" w:firstLineChars="200"/>
              <w:rPr>
                <w:rFonts w:hint="eastAsia" w:ascii="Times New Roman" w:hAnsi="Times New Roman" w:eastAsia="宋体" w:cs="Times New Roman"/>
                <w:color w:val="auto"/>
                <w:sz w:val="24"/>
                <w:szCs w:val="32"/>
                <w:lang w:eastAsia="zh-CN"/>
              </w:rPr>
            </w:pPr>
            <w:r>
              <w:rPr>
                <w:rFonts w:ascii="Times New Roman" w:hAnsi="Times New Roman" w:eastAsia="宋体" w:cs="Times New Roman"/>
                <w:color w:val="auto"/>
                <w:sz w:val="24"/>
                <w:szCs w:val="32"/>
              </w:rPr>
              <w:t>B、</w:t>
            </w:r>
            <w:r>
              <w:rPr>
                <w:rFonts w:hint="eastAsia" w:ascii="Times New Roman" w:hAnsi="Times New Roman" w:eastAsia="宋体" w:cs="Times New Roman"/>
                <w:color w:val="auto"/>
                <w:sz w:val="24"/>
                <w:szCs w:val="32"/>
              </w:rPr>
              <w:t>废气喷淋系统用水</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rPr>
              <w:t>类比其他同类项目，本项目废气喷淋系统循环水量为300m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/d，补充新鲜水水量按照2%计算，则补水量约6m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w:t>
            </w:r>
            <w:r>
              <w:rPr>
                <w:rFonts w:hint="eastAsia" w:ascii="Times New Roman" w:hAnsi="Times New Roman" w:eastAsia="宋体" w:cs="Times New Roman"/>
                <w:color w:val="auto"/>
                <w:sz w:val="24"/>
                <w:szCs w:val="32"/>
                <w:lang w:eastAsia="zh-CN"/>
              </w:rPr>
              <w:t>；</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C</w:t>
            </w:r>
            <w:r>
              <w:rPr>
                <w:rFonts w:ascii="Times New Roman" w:hAnsi="Times New Roman" w:eastAsia="宋体" w:cs="Times New Roman"/>
                <w:color w:val="auto"/>
                <w:sz w:val="24"/>
                <w:szCs w:val="32"/>
              </w:rPr>
              <w:t>、运输车辆</w:t>
            </w:r>
            <w:r>
              <w:rPr>
                <w:rFonts w:hint="eastAsia" w:ascii="Times New Roman" w:hAnsi="Times New Roman" w:eastAsia="宋体" w:cs="Times New Roman"/>
                <w:color w:val="auto"/>
                <w:kern w:val="0"/>
                <w:sz w:val="24"/>
                <w:szCs w:val="24"/>
              </w:rPr>
              <w:t>轮胎车身</w:t>
            </w:r>
            <w:r>
              <w:rPr>
                <w:rFonts w:ascii="Times New Roman" w:hAnsi="Times New Roman" w:eastAsia="宋体" w:cs="Times New Roman"/>
                <w:color w:val="auto"/>
                <w:sz w:val="24"/>
                <w:szCs w:val="32"/>
              </w:rPr>
              <w:t>冲洗用水：</w:t>
            </w:r>
            <w:r>
              <w:rPr>
                <w:rFonts w:hint="eastAsia" w:ascii="Times New Roman" w:hAnsi="Times New Roman" w:eastAsia="宋体" w:cs="Times New Roman"/>
                <w:color w:val="auto"/>
                <w:sz w:val="24"/>
                <w:szCs w:val="32"/>
              </w:rPr>
              <w:t>根据</w:t>
            </w:r>
            <w:r>
              <w:rPr>
                <w:rFonts w:ascii="Times New Roman" w:hAnsi="Times New Roman" w:eastAsia="宋体" w:cs="Times New Roman"/>
                <w:color w:val="auto"/>
                <w:sz w:val="24"/>
                <w:szCs w:val="32"/>
              </w:rPr>
              <w:t>《山西省用水定额第</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部分》（DB14/T1049.</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-2021）</w:t>
            </w:r>
            <w:r>
              <w:rPr>
                <w:rFonts w:hint="eastAsia" w:ascii="Times New Roman" w:hAnsi="Times New Roman" w:eastAsia="宋体" w:cs="Times New Roman"/>
                <w:color w:val="auto"/>
                <w:sz w:val="24"/>
                <w:szCs w:val="32"/>
              </w:rPr>
              <w:t>载重汽车用水</w:t>
            </w:r>
            <w:r>
              <w:rPr>
                <w:rFonts w:ascii="Times New Roman" w:hAnsi="Times New Roman" w:eastAsia="宋体" w:cs="Times New Roman"/>
                <w:color w:val="auto"/>
                <w:sz w:val="24"/>
                <w:szCs w:val="32"/>
              </w:rPr>
              <w:t>定额</w:t>
            </w:r>
            <w:r>
              <w:rPr>
                <w:rFonts w:hint="eastAsia" w:ascii="Times New Roman" w:hAnsi="Times New Roman" w:eastAsia="宋体" w:cs="Times New Roman"/>
                <w:color w:val="auto"/>
                <w:sz w:val="24"/>
                <w:szCs w:val="32"/>
              </w:rPr>
              <w:t>为0.06m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/辆·次，本项目一天出厂车辆最多为</w:t>
            </w:r>
            <w:r>
              <w:rPr>
                <w:rFonts w:hint="eastAsia" w:ascii="Times New Roman" w:hAnsi="Times New Roman" w:eastAsia="宋体" w:cs="Times New Roman"/>
                <w:color w:val="auto"/>
                <w:sz w:val="24"/>
                <w:szCs w:val="32"/>
                <w:lang w:val="en-US" w:eastAsia="zh-CN"/>
              </w:rPr>
              <w:t>80</w:t>
            </w:r>
            <w:r>
              <w:rPr>
                <w:rFonts w:hint="eastAsia" w:ascii="Times New Roman" w:hAnsi="Times New Roman" w:eastAsia="宋体" w:cs="Times New Roman"/>
                <w:color w:val="auto"/>
                <w:sz w:val="24"/>
                <w:szCs w:val="32"/>
              </w:rPr>
              <w:t>辆，则车辆冲洗轮胎用水最大用量为</w:t>
            </w:r>
            <w:r>
              <w:rPr>
                <w:rFonts w:hint="eastAsia" w:ascii="Times New Roman" w:hAnsi="Times New Roman" w:eastAsia="宋体" w:cs="Times New Roman"/>
                <w:color w:val="auto"/>
                <w:sz w:val="24"/>
                <w:szCs w:val="32"/>
                <w:lang w:val="en-US" w:eastAsia="zh-CN"/>
              </w:rPr>
              <w:t>4.8</w:t>
            </w:r>
            <w:r>
              <w:rPr>
                <w:rFonts w:hint="eastAsia" w:ascii="Times New Roman" w:hAnsi="Times New Roman" w:eastAsia="宋体" w:cs="Times New Roman"/>
                <w:color w:val="auto"/>
                <w:sz w:val="24"/>
                <w:szCs w:val="32"/>
              </w:rPr>
              <w:t>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③</w:t>
            </w:r>
            <w:r>
              <w:rPr>
                <w:rFonts w:ascii="Times New Roman" w:hAnsi="Times New Roman" w:eastAsia="宋体" w:cs="Times New Roman"/>
                <w:color w:val="auto"/>
                <w:sz w:val="24"/>
                <w:szCs w:val="32"/>
              </w:rPr>
              <w:t>绿化用水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根据</w:t>
            </w:r>
            <w:r>
              <w:rPr>
                <w:rFonts w:ascii="Times New Roman" w:hAnsi="Times New Roman" w:eastAsia="宋体" w:cs="Times New Roman"/>
                <w:color w:val="auto"/>
                <w:sz w:val="24"/>
                <w:szCs w:val="32"/>
              </w:rPr>
              <w:t>《山西省用水定额第</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部分》（DB14/T1049.</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-2021）绿化用水定额</w:t>
            </w:r>
            <w:r>
              <w:rPr>
                <w:rFonts w:hint="eastAsia" w:ascii="Times New Roman" w:hAnsi="Times New Roman" w:eastAsia="宋体" w:cs="Times New Roman"/>
                <w:color w:val="auto"/>
                <w:sz w:val="24"/>
                <w:szCs w:val="32"/>
              </w:rPr>
              <w:t>为3.6</w:t>
            </w:r>
            <w:r>
              <w:rPr>
                <w:rFonts w:ascii="Times New Roman" w:hAnsi="Times New Roman" w:eastAsia="宋体" w:cs="Times New Roman"/>
                <w:color w:val="auto"/>
                <w:sz w:val="24"/>
                <w:szCs w:val="32"/>
              </w:rPr>
              <w:t>L/m</w:t>
            </w:r>
            <w:r>
              <w:rPr>
                <w:rFonts w:ascii="Times New Roman" w:hAnsi="Times New Roman" w:eastAsia="宋体" w:cs="Times New Roman"/>
                <w:color w:val="auto"/>
                <w:sz w:val="24"/>
                <w:szCs w:val="32"/>
                <w:vertAlign w:val="superscript"/>
              </w:rPr>
              <w:t>2</w:t>
            </w:r>
            <w:r>
              <w:rPr>
                <w:rFonts w:ascii="Times New Roman" w:hAnsi="Times New Roman" w:eastAsia="宋体" w:cs="Times New Roman"/>
                <w:color w:val="auto"/>
                <w:sz w:val="24"/>
                <w:szCs w:val="32"/>
              </w:rPr>
              <w:t>·d，本项目所在厂区绿地面积为</w:t>
            </w:r>
            <w:r>
              <w:rPr>
                <w:rFonts w:hint="eastAsia" w:ascii="Times New Roman" w:hAnsi="Times New Roman" w:eastAsia="宋体" w:cs="Times New Roman"/>
                <w:color w:val="auto"/>
                <w:sz w:val="24"/>
                <w:szCs w:val="32"/>
                <w:lang w:val="en-US" w:eastAsia="zh-CN"/>
              </w:rPr>
              <w:t>5</w:t>
            </w:r>
            <w:r>
              <w:rPr>
                <w:rFonts w:hint="eastAsia" w:ascii="Times New Roman" w:hAnsi="Times New Roman" w:eastAsia="宋体" w:cs="Times New Roman"/>
                <w:color w:val="auto"/>
                <w:sz w:val="24"/>
                <w:szCs w:val="32"/>
              </w:rPr>
              <w:t>0</w:t>
            </w:r>
            <w:r>
              <w:rPr>
                <w:rFonts w:ascii="Times New Roman" w:hAnsi="Times New Roman" w:eastAsia="宋体" w:cs="Times New Roman"/>
                <w:color w:val="auto"/>
                <w:sz w:val="24"/>
                <w:szCs w:val="32"/>
              </w:rPr>
              <w:t>0m</w:t>
            </w:r>
            <w:r>
              <w:rPr>
                <w:rFonts w:ascii="Times New Roman" w:hAnsi="Times New Roman" w:eastAsia="宋体" w:cs="Times New Roman"/>
                <w:color w:val="auto"/>
                <w:sz w:val="24"/>
                <w:szCs w:val="32"/>
                <w:vertAlign w:val="superscript"/>
              </w:rPr>
              <w:t>2</w:t>
            </w:r>
            <w:r>
              <w:rPr>
                <w:rFonts w:ascii="Times New Roman" w:hAnsi="Times New Roman" w:eastAsia="宋体" w:cs="Times New Roman"/>
                <w:color w:val="auto"/>
                <w:sz w:val="24"/>
                <w:szCs w:val="32"/>
              </w:rPr>
              <w:t>，用水量为</w:t>
            </w:r>
            <w:r>
              <w:rPr>
                <w:rFonts w:hint="eastAsia" w:ascii="Times New Roman" w:hAnsi="Times New Roman" w:eastAsia="宋体" w:cs="Times New Roman"/>
                <w:color w:val="auto"/>
                <w:sz w:val="24"/>
                <w:szCs w:val="32"/>
                <w:lang w:val="en-US" w:eastAsia="zh-CN"/>
              </w:rPr>
              <w:t>1.8</w:t>
            </w:r>
            <w:r>
              <w:rPr>
                <w:rFonts w:ascii="Times New Roman" w:hAnsi="Times New Roman" w:eastAsia="宋体" w:cs="Times New Roman"/>
                <w:color w:val="auto"/>
                <w:sz w:val="24"/>
                <w:szCs w:val="32"/>
              </w:rPr>
              <w:t>m</w:t>
            </w:r>
            <w:r>
              <w:rPr>
                <w:rFonts w:ascii="Times New Roman" w:hAnsi="Times New Roman" w:eastAsia="宋体" w:cs="Times New Roman"/>
                <w:color w:val="auto"/>
                <w:sz w:val="24"/>
                <w:szCs w:val="32"/>
                <w:vertAlign w:val="superscript"/>
              </w:rPr>
              <w:t>3</w:t>
            </w:r>
            <w:r>
              <w:rPr>
                <w:rFonts w:ascii="Times New Roman" w:hAnsi="Times New Roman" w:eastAsia="宋体" w:cs="Times New Roman"/>
                <w:color w:val="auto"/>
                <w:sz w:val="24"/>
                <w:szCs w:val="32"/>
              </w:rPr>
              <w:t>/d。</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④</w:t>
            </w:r>
            <w:r>
              <w:rPr>
                <w:rFonts w:ascii="Times New Roman" w:hAnsi="Times New Roman" w:eastAsia="宋体" w:cs="Times New Roman"/>
                <w:color w:val="auto"/>
                <w:sz w:val="24"/>
                <w:szCs w:val="32"/>
              </w:rPr>
              <w:t>道路洒水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根据</w:t>
            </w:r>
            <w:r>
              <w:rPr>
                <w:rFonts w:ascii="Times New Roman" w:hAnsi="Times New Roman" w:eastAsia="宋体" w:cs="Times New Roman"/>
                <w:color w:val="auto"/>
                <w:sz w:val="24"/>
                <w:szCs w:val="32"/>
              </w:rPr>
              <w:t>《山西省用水定额第</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部分》（DB14/T1049.</w:t>
            </w:r>
            <w:r>
              <w:rPr>
                <w:rFonts w:hint="eastAsia" w:ascii="Times New Roman" w:hAnsi="Times New Roman" w:eastAsia="宋体" w:cs="Times New Roman"/>
                <w:color w:val="auto"/>
                <w:sz w:val="24"/>
                <w:szCs w:val="32"/>
              </w:rPr>
              <w:t>3</w:t>
            </w:r>
            <w:r>
              <w:rPr>
                <w:rFonts w:ascii="Times New Roman" w:hAnsi="Times New Roman" w:eastAsia="宋体" w:cs="Times New Roman"/>
                <w:color w:val="auto"/>
                <w:sz w:val="24"/>
                <w:szCs w:val="32"/>
              </w:rPr>
              <w:t>-2021）</w:t>
            </w:r>
            <w:r>
              <w:rPr>
                <w:rFonts w:hint="eastAsia" w:ascii="Times New Roman" w:hAnsi="Times New Roman" w:eastAsia="宋体" w:cs="Times New Roman"/>
                <w:color w:val="auto"/>
                <w:sz w:val="24"/>
                <w:szCs w:val="32"/>
              </w:rPr>
              <w:t>浇洒道路</w:t>
            </w:r>
            <w:r>
              <w:rPr>
                <w:rFonts w:ascii="Times New Roman" w:hAnsi="Times New Roman" w:eastAsia="宋体" w:cs="Times New Roman"/>
                <w:color w:val="auto"/>
                <w:sz w:val="24"/>
                <w:szCs w:val="32"/>
              </w:rPr>
              <w:t>用水定额</w:t>
            </w:r>
            <w:r>
              <w:rPr>
                <w:rFonts w:hint="eastAsia" w:ascii="Times New Roman" w:hAnsi="Times New Roman" w:eastAsia="宋体" w:cs="Times New Roman"/>
                <w:color w:val="auto"/>
                <w:sz w:val="24"/>
                <w:szCs w:val="32"/>
              </w:rPr>
              <w:t>为2.0</w:t>
            </w:r>
            <w:r>
              <w:rPr>
                <w:rFonts w:ascii="Times New Roman" w:hAnsi="Times New Roman" w:eastAsia="宋体" w:cs="Times New Roman"/>
                <w:color w:val="auto"/>
                <w:sz w:val="24"/>
                <w:szCs w:val="32"/>
              </w:rPr>
              <w:t>L/m</w:t>
            </w:r>
            <w:r>
              <w:rPr>
                <w:rFonts w:ascii="Times New Roman" w:hAnsi="Times New Roman" w:eastAsia="宋体" w:cs="Times New Roman"/>
                <w:color w:val="auto"/>
                <w:sz w:val="24"/>
                <w:szCs w:val="32"/>
                <w:vertAlign w:val="superscript"/>
              </w:rPr>
              <w:t>2</w:t>
            </w:r>
            <w:r>
              <w:rPr>
                <w:rFonts w:ascii="Times New Roman" w:hAnsi="Times New Roman" w:eastAsia="宋体" w:cs="Times New Roman"/>
                <w:color w:val="auto"/>
                <w:sz w:val="24"/>
                <w:szCs w:val="32"/>
              </w:rPr>
              <w:t>·d，本项目厂区道路及硬化面积为</w:t>
            </w:r>
            <w:r>
              <w:rPr>
                <w:rFonts w:hint="eastAsia" w:ascii="Times New Roman" w:hAnsi="Times New Roman" w:eastAsia="宋体" w:cs="Times New Roman"/>
                <w:color w:val="auto"/>
                <w:sz w:val="24"/>
                <w:szCs w:val="32"/>
                <w:lang w:val="en-US" w:eastAsia="zh-CN"/>
              </w:rPr>
              <w:t>2</w:t>
            </w:r>
            <w:r>
              <w:rPr>
                <w:rFonts w:ascii="Times New Roman" w:hAnsi="Times New Roman" w:eastAsia="宋体" w:cs="Times New Roman"/>
                <w:color w:val="auto"/>
                <w:sz w:val="24"/>
                <w:szCs w:val="32"/>
              </w:rPr>
              <w:t>000m</w:t>
            </w:r>
            <w:r>
              <w:rPr>
                <w:rFonts w:ascii="Times New Roman" w:hAnsi="Times New Roman" w:eastAsia="宋体" w:cs="Times New Roman"/>
                <w:color w:val="auto"/>
                <w:sz w:val="24"/>
                <w:szCs w:val="32"/>
                <w:vertAlign w:val="superscript"/>
              </w:rPr>
              <w:t>2</w:t>
            </w:r>
            <w:r>
              <w:rPr>
                <w:rFonts w:ascii="Times New Roman" w:hAnsi="Times New Roman" w:eastAsia="宋体" w:cs="Times New Roman"/>
                <w:color w:val="auto"/>
                <w:sz w:val="24"/>
                <w:szCs w:val="32"/>
              </w:rPr>
              <w:t>，用水量为</w:t>
            </w:r>
            <w:r>
              <w:rPr>
                <w:rFonts w:hint="eastAsia" w:ascii="Times New Roman" w:hAnsi="Times New Roman" w:eastAsia="宋体" w:cs="Times New Roman"/>
                <w:color w:val="auto"/>
                <w:sz w:val="24"/>
                <w:szCs w:val="32"/>
                <w:lang w:val="en-US" w:eastAsia="zh-CN"/>
              </w:rPr>
              <w:t>4</w:t>
            </w:r>
            <w:r>
              <w:rPr>
                <w:rFonts w:ascii="Times New Roman" w:hAnsi="Times New Roman" w:eastAsia="宋体" w:cs="Times New Roman"/>
                <w:color w:val="auto"/>
                <w:sz w:val="24"/>
                <w:szCs w:val="32"/>
              </w:rPr>
              <w:t>.0m</w:t>
            </w:r>
            <w:r>
              <w:rPr>
                <w:rFonts w:ascii="Times New Roman" w:hAnsi="Times New Roman" w:eastAsia="宋体" w:cs="Times New Roman"/>
                <w:color w:val="auto"/>
                <w:sz w:val="24"/>
                <w:szCs w:val="32"/>
                <w:vertAlign w:val="superscript"/>
              </w:rPr>
              <w:t>3</w:t>
            </w:r>
            <w:r>
              <w:rPr>
                <w:rFonts w:ascii="Times New Roman" w:hAnsi="Times New Roman" w:eastAsia="宋体" w:cs="Times New Roman"/>
                <w:color w:val="auto"/>
                <w:sz w:val="24"/>
                <w:szCs w:val="32"/>
              </w:rPr>
              <w:t>/d。</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⑶</w:t>
            </w:r>
            <w:r>
              <w:rPr>
                <w:rFonts w:ascii="Times New Roman" w:hAnsi="Times New Roman" w:eastAsia="宋体" w:cs="Times New Roman"/>
                <w:color w:val="auto"/>
                <w:sz w:val="24"/>
                <w:szCs w:val="32"/>
              </w:rPr>
              <w:t>排水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t>①</w:t>
            </w:r>
            <w:r>
              <w:rPr>
                <w:rFonts w:ascii="Times New Roman" w:hAnsi="Times New Roman" w:eastAsia="宋体" w:cs="Times New Roman"/>
                <w:color w:val="auto"/>
                <w:sz w:val="24"/>
                <w:szCs w:val="32"/>
              </w:rPr>
              <w:t>生活污水</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本项目生活污水产生量按用水量的80%计，则生活污水产生量为</w:t>
            </w:r>
            <w:r>
              <w:rPr>
                <w:rFonts w:hint="eastAsia" w:ascii="Times New Roman" w:hAnsi="Times New Roman" w:eastAsia="宋体" w:cs="Times New Roman"/>
                <w:color w:val="auto"/>
                <w:sz w:val="24"/>
                <w:szCs w:val="32"/>
              </w:rPr>
              <w:t>1.</w:t>
            </w:r>
            <w:r>
              <w:rPr>
                <w:rFonts w:ascii="Times New Roman" w:hAnsi="Times New Roman" w:eastAsia="宋体" w:cs="Times New Roman"/>
                <w:color w:val="auto"/>
                <w:sz w:val="24"/>
                <w:szCs w:val="32"/>
              </w:rPr>
              <w:t>37m</w:t>
            </w:r>
            <w:r>
              <w:rPr>
                <w:rFonts w:ascii="Times New Roman" w:hAnsi="Times New Roman" w:eastAsia="宋体" w:cs="Times New Roman"/>
                <w:color w:val="auto"/>
                <w:sz w:val="24"/>
                <w:szCs w:val="32"/>
                <w:vertAlign w:val="superscript"/>
              </w:rPr>
              <w:t>3</w:t>
            </w:r>
            <w:r>
              <w:rPr>
                <w:rFonts w:ascii="Times New Roman" w:hAnsi="Times New Roman" w:eastAsia="宋体" w:cs="Times New Roman"/>
                <w:color w:val="auto"/>
                <w:sz w:val="24"/>
                <w:szCs w:val="32"/>
              </w:rPr>
              <w:t>/d，</w:t>
            </w:r>
            <w:r>
              <w:rPr>
                <w:rFonts w:hint="eastAsia" w:ascii="Times New Roman" w:hAnsi="Times New Roman" w:eastAsia="宋体" w:cs="Times New Roman"/>
                <w:color w:val="auto"/>
                <w:sz w:val="24"/>
                <w:szCs w:val="32"/>
                <w:lang w:val="en-US" w:eastAsia="zh-CN"/>
              </w:rPr>
              <w:t>其中食堂废水经隔油池处理后同其它生活污水一起进入10m</w:t>
            </w:r>
            <w:r>
              <w:rPr>
                <w:rFonts w:hint="eastAsia" w:ascii="Times New Roman" w:hAnsi="Times New Roman" w:eastAsia="宋体" w:cs="Times New Roman"/>
                <w:color w:val="auto"/>
                <w:sz w:val="24"/>
                <w:szCs w:val="32"/>
                <w:vertAlign w:val="superscript"/>
                <w:lang w:val="en-US" w:eastAsia="zh-CN"/>
              </w:rPr>
              <w:t>3</w:t>
            </w:r>
            <w:r>
              <w:rPr>
                <w:rFonts w:hint="eastAsia" w:ascii="Times New Roman" w:hAnsi="Times New Roman" w:eastAsia="宋体" w:cs="Times New Roman"/>
                <w:color w:val="auto"/>
                <w:sz w:val="24"/>
                <w:szCs w:val="32"/>
                <w:lang w:val="en-US" w:eastAsia="zh-CN"/>
              </w:rPr>
              <w:t>化粪池处理，经园区污水管网，排入大宁县金昕污水处理厂</w:t>
            </w:r>
            <w:r>
              <w:rPr>
                <w:rFonts w:ascii="Times New Roman" w:hAnsi="Times New Roman" w:eastAsia="宋体" w:cs="Times New Roman"/>
                <w:color w:val="auto"/>
                <w:sz w:val="24"/>
                <w:szCs w:val="32"/>
              </w:rPr>
              <w:t>。</w:t>
            </w:r>
          </w:p>
          <w:p>
            <w:pPr>
              <w:widowControl/>
              <w:adjustRightInd w:val="0"/>
              <w:snapToGrid w:val="0"/>
              <w:spacing w:line="460" w:lineRule="exact"/>
              <w:ind w:firstLine="480" w:firstLineChars="200"/>
              <w:rPr>
                <w:rFonts w:ascii="Times New Roman" w:hAnsi="Times New Roman" w:eastAsia="宋体" w:cs="Times New Roman"/>
                <w:color w:val="auto"/>
                <w:sz w:val="24"/>
                <w:szCs w:val="32"/>
              </w:rPr>
            </w:pPr>
            <w:r>
              <w:rPr>
                <w:rFonts w:hint="eastAsia" w:ascii="宋体" w:hAnsi="宋体" w:eastAsia="宋体" w:cs="宋体"/>
                <w:color w:val="auto"/>
                <w:sz w:val="24"/>
                <w:szCs w:val="32"/>
              </w:rPr>
              <w:t>②</w:t>
            </w:r>
            <w:r>
              <w:rPr>
                <w:rFonts w:ascii="Times New Roman" w:hAnsi="Times New Roman" w:eastAsia="宋体" w:cs="Times New Roman"/>
                <w:color w:val="auto"/>
                <w:sz w:val="24"/>
                <w:szCs w:val="32"/>
              </w:rPr>
              <w:t>生产废水</w:t>
            </w:r>
          </w:p>
          <w:p>
            <w:pPr>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sz w:val="24"/>
                <w:szCs w:val="32"/>
                <w:lang w:val="en-US" w:eastAsia="zh-CN"/>
              </w:rPr>
              <w:t>A.冷</w:t>
            </w:r>
            <w:r>
              <w:rPr>
                <w:rFonts w:hint="eastAsia" w:ascii="Times New Roman" w:hAnsi="Times New Roman" w:eastAsia="宋体" w:cs="Times New Roman"/>
                <w:color w:val="auto"/>
                <w:sz w:val="24"/>
                <w:szCs w:val="32"/>
              </w:rPr>
              <w:t>却废水</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rPr>
              <w:t>本项目冷却用水循环使用，定期排少量污水，排污量约6m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/次，每年排污量约4次，合计冷却水定期排污量约0.</w:t>
            </w:r>
            <w:r>
              <w:rPr>
                <w:rFonts w:hint="eastAsia" w:ascii="Times New Roman" w:hAnsi="Times New Roman" w:eastAsia="宋体" w:cs="Times New Roman"/>
                <w:color w:val="auto"/>
                <w:sz w:val="24"/>
                <w:szCs w:val="32"/>
                <w:lang w:val="en-US" w:eastAsia="zh-CN"/>
              </w:rPr>
              <w:t>08</w:t>
            </w:r>
            <w:r>
              <w:rPr>
                <w:rFonts w:hint="eastAsia" w:ascii="Times New Roman" w:hAnsi="Times New Roman" w:eastAsia="宋体" w:cs="Times New Roman"/>
                <w:color w:val="auto"/>
                <w:sz w:val="24"/>
                <w:szCs w:val="32"/>
              </w:rPr>
              <w:t>m</w:t>
            </w:r>
            <w:r>
              <w:rPr>
                <w:rFonts w:hint="eastAsia" w:ascii="Times New Roman" w:hAnsi="Times New Roman" w:eastAsia="宋体" w:cs="Times New Roman"/>
                <w:color w:val="auto"/>
                <w:sz w:val="24"/>
                <w:szCs w:val="32"/>
                <w:vertAlign w:val="superscript"/>
              </w:rPr>
              <w:t>3</w:t>
            </w:r>
            <w:r>
              <w:rPr>
                <w:rFonts w:hint="eastAsia" w:ascii="Times New Roman" w:hAnsi="Times New Roman" w:eastAsia="宋体" w:cs="Times New Roman"/>
                <w:color w:val="auto"/>
                <w:sz w:val="24"/>
                <w:szCs w:val="32"/>
              </w:rPr>
              <w:t>/d，污水进入喷淋循环水处理系统处理后循环使用，不外排；</w:t>
            </w:r>
          </w:p>
          <w:p>
            <w:pPr>
              <w:spacing w:line="460" w:lineRule="exact"/>
              <w:ind w:firstLine="480" w:firstLineChars="200"/>
              <w:rPr>
                <w:rFonts w:hint="eastAsia"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B.</w:t>
            </w:r>
            <w:r>
              <w:rPr>
                <w:rFonts w:hint="eastAsia" w:ascii="Times New Roman" w:hAnsi="Times New Roman" w:eastAsia="宋体" w:cs="Times New Roman"/>
                <w:color w:val="auto"/>
                <w:kern w:val="0"/>
                <w:sz w:val="24"/>
                <w:szCs w:val="24"/>
              </w:rPr>
              <w:t>喷淋</w:t>
            </w:r>
            <w:r>
              <w:rPr>
                <w:rFonts w:hint="eastAsia" w:ascii="Times New Roman" w:hAnsi="Times New Roman" w:eastAsia="宋体" w:cs="Times New Roman"/>
                <w:color w:val="auto"/>
                <w:kern w:val="0"/>
                <w:sz w:val="24"/>
                <w:szCs w:val="24"/>
                <w:lang w:val="en-US" w:eastAsia="zh-CN"/>
              </w:rPr>
              <w:t>废</w:t>
            </w:r>
            <w:r>
              <w:rPr>
                <w:rFonts w:hint="eastAsia" w:ascii="Times New Roman" w:hAnsi="Times New Roman" w:eastAsia="宋体" w:cs="Times New Roman"/>
                <w:color w:val="auto"/>
                <w:kern w:val="0"/>
                <w:sz w:val="24"/>
                <w:szCs w:val="24"/>
              </w:rPr>
              <w:t>水</w:t>
            </w:r>
          </w:p>
          <w:p>
            <w:pPr>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本项目废气喷淋系统循环水量为300m</w:t>
            </w:r>
            <w:r>
              <w:rPr>
                <w:rFonts w:hint="eastAsia" w:ascii="Times New Roman" w:hAnsi="Times New Roman" w:eastAsia="宋体" w:cs="Times New Roman"/>
                <w:color w:val="auto"/>
                <w:kern w:val="0"/>
                <w:sz w:val="24"/>
                <w:szCs w:val="24"/>
                <w:vertAlign w:val="superscript"/>
              </w:rPr>
              <w:t>3</w:t>
            </w:r>
            <w:r>
              <w:rPr>
                <w:rFonts w:hint="eastAsia" w:ascii="Times New Roman" w:hAnsi="Times New Roman" w:eastAsia="宋体" w:cs="Times New Roman"/>
                <w:color w:val="auto"/>
                <w:kern w:val="0"/>
                <w:sz w:val="24"/>
                <w:szCs w:val="24"/>
              </w:rPr>
              <w:t>/d，经喷淋循环水处理系统处理后循环使用（采用“</w:t>
            </w:r>
            <w:r>
              <w:rPr>
                <w:rFonts w:hint="default" w:ascii="Times New Roman" w:hAnsi="Times New Roman" w:eastAsia="宋体" w:cs="Times New Roman"/>
                <w:b w:val="0"/>
                <w:bCs w:val="0"/>
                <w:color w:val="auto"/>
                <w:kern w:val="0"/>
                <w:sz w:val="24"/>
                <w:szCs w:val="24"/>
              </w:rPr>
              <w:t>隔油</w:t>
            </w:r>
            <w:r>
              <w:rPr>
                <w:rFonts w:hint="eastAsia" w:ascii="Times New Roman" w:hAnsi="Times New Roman" w:eastAsia="宋体" w:cs="Times New Roman"/>
                <w:b w:val="0"/>
                <w:bCs w:val="0"/>
                <w:color w:val="auto"/>
                <w:kern w:val="0"/>
                <w:sz w:val="24"/>
                <w:szCs w:val="24"/>
                <w:lang w:val="en-US" w:eastAsia="zh-CN"/>
              </w:rPr>
              <w:t>-</w:t>
            </w:r>
            <w:r>
              <w:rPr>
                <w:rFonts w:hint="default" w:ascii="Times New Roman" w:hAnsi="Times New Roman" w:eastAsia="宋体" w:cs="Times New Roman"/>
                <w:b w:val="0"/>
                <w:bCs w:val="0"/>
                <w:color w:val="auto"/>
                <w:kern w:val="0"/>
                <w:sz w:val="24"/>
                <w:szCs w:val="24"/>
              </w:rPr>
              <w:t>平流式池、气浮、</w:t>
            </w:r>
            <w:r>
              <w:rPr>
                <w:rFonts w:hint="eastAsia" w:ascii="Times New Roman" w:hAnsi="Times New Roman" w:eastAsia="宋体" w:cs="Times New Roman"/>
                <w:b w:val="0"/>
                <w:bCs w:val="0"/>
                <w:color w:val="auto"/>
                <w:kern w:val="0"/>
                <w:sz w:val="24"/>
                <w:szCs w:val="24"/>
                <w:lang w:val="en-US" w:eastAsia="zh-CN"/>
              </w:rPr>
              <w:t>粗滤-</w:t>
            </w:r>
            <w:r>
              <w:rPr>
                <w:rFonts w:hint="default" w:ascii="Times New Roman" w:hAnsi="Times New Roman" w:eastAsia="宋体" w:cs="Times New Roman"/>
                <w:b w:val="0"/>
                <w:bCs w:val="0"/>
                <w:color w:val="auto"/>
                <w:kern w:val="0"/>
                <w:sz w:val="24"/>
                <w:szCs w:val="24"/>
              </w:rPr>
              <w:t>聚酯滤布过滤</w:t>
            </w:r>
            <w:r>
              <w:rPr>
                <w:rFonts w:hint="eastAsia" w:ascii="Times New Roman" w:hAnsi="Times New Roman" w:eastAsia="宋体" w:cs="Times New Roman"/>
                <w:color w:val="auto"/>
                <w:kern w:val="0"/>
                <w:sz w:val="24"/>
                <w:szCs w:val="24"/>
              </w:rPr>
              <w:t>”处理工艺，处理能力15m</w:t>
            </w:r>
            <w:r>
              <w:rPr>
                <w:rFonts w:hint="eastAsia" w:ascii="Times New Roman" w:hAnsi="Times New Roman" w:eastAsia="宋体" w:cs="Times New Roman"/>
                <w:color w:val="auto"/>
                <w:kern w:val="0"/>
                <w:sz w:val="24"/>
                <w:szCs w:val="24"/>
                <w:vertAlign w:val="superscript"/>
              </w:rPr>
              <w:t>3</w:t>
            </w:r>
            <w:r>
              <w:rPr>
                <w:rFonts w:hint="eastAsia" w:ascii="Times New Roman" w:hAnsi="Times New Roman" w:eastAsia="宋体" w:cs="Times New Roman"/>
                <w:color w:val="auto"/>
                <w:kern w:val="0"/>
                <w:sz w:val="24"/>
                <w:szCs w:val="24"/>
              </w:rPr>
              <w:t>/h），</w:t>
            </w:r>
            <w:r>
              <w:rPr>
                <w:rFonts w:hint="eastAsia" w:ascii="Times New Roman" w:hAnsi="Times New Roman" w:eastAsia="宋体" w:cs="Times New Roman"/>
                <w:color w:val="auto"/>
                <w:kern w:val="0"/>
                <w:sz w:val="24"/>
                <w:szCs w:val="24"/>
                <w:lang w:val="en-US" w:eastAsia="zh-CN"/>
              </w:rPr>
              <w:t>类比同类企业和处理工艺，出水可满足</w:t>
            </w:r>
            <w:r>
              <w:rPr>
                <w:rFonts w:hint="eastAsia" w:ascii="Times New Roman" w:hAnsi="Times New Roman" w:eastAsia="宋体" w:cs="Times New Roman"/>
                <w:color w:val="auto"/>
                <w:kern w:val="0"/>
                <w:sz w:val="24"/>
                <w:szCs w:val="24"/>
              </w:rPr>
              <w:t>《污水再生利用工程设计规范》</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GB50335-2002</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中相关要求</w:t>
            </w:r>
            <w:r>
              <w:rPr>
                <w:rFonts w:hint="eastAsia" w:ascii="Times New Roman" w:hAnsi="Times New Roman" w:eastAsia="宋体" w:cs="Times New Roman"/>
                <w:color w:val="auto"/>
                <w:kern w:val="0"/>
                <w:sz w:val="24"/>
                <w:szCs w:val="24"/>
              </w:rPr>
              <w:t>。</w:t>
            </w:r>
          </w:p>
          <w:p>
            <w:pPr>
              <w:spacing w:line="46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lang w:val="en-US" w:eastAsia="zh-CN"/>
              </w:rPr>
              <w:t>C.</w:t>
            </w:r>
            <w:r>
              <w:rPr>
                <w:rFonts w:ascii="Times New Roman" w:hAnsi="Times New Roman" w:eastAsia="宋体" w:cs="Times New Roman"/>
                <w:color w:val="auto"/>
                <w:sz w:val="24"/>
                <w:szCs w:val="32"/>
              </w:rPr>
              <w:t>运输车辆</w:t>
            </w:r>
            <w:r>
              <w:rPr>
                <w:rFonts w:hint="eastAsia" w:ascii="Times New Roman" w:hAnsi="Times New Roman" w:eastAsia="宋体" w:cs="Times New Roman"/>
                <w:color w:val="auto"/>
                <w:kern w:val="0"/>
                <w:sz w:val="24"/>
                <w:szCs w:val="24"/>
              </w:rPr>
              <w:t>轮胎车身</w:t>
            </w:r>
            <w:r>
              <w:rPr>
                <w:rFonts w:ascii="Times New Roman" w:hAnsi="Times New Roman" w:eastAsia="宋体" w:cs="Times New Roman"/>
                <w:color w:val="auto"/>
                <w:sz w:val="24"/>
                <w:szCs w:val="32"/>
              </w:rPr>
              <w:t>冲洗</w:t>
            </w:r>
            <w:r>
              <w:rPr>
                <w:rFonts w:hint="eastAsia" w:ascii="Times New Roman" w:hAnsi="Times New Roman" w:eastAsia="宋体" w:cs="Times New Roman"/>
                <w:color w:val="auto"/>
                <w:sz w:val="24"/>
                <w:szCs w:val="32"/>
                <w:lang w:val="en-US" w:eastAsia="zh-CN"/>
              </w:rPr>
              <w:t>废</w:t>
            </w:r>
            <w:r>
              <w:rPr>
                <w:rFonts w:ascii="Times New Roman" w:hAnsi="Times New Roman" w:eastAsia="宋体" w:cs="Times New Roman"/>
                <w:color w:val="auto"/>
                <w:sz w:val="24"/>
                <w:szCs w:val="32"/>
              </w:rPr>
              <w:t>水</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kern w:val="0"/>
                <w:sz w:val="24"/>
                <w:szCs w:val="24"/>
              </w:rPr>
              <w:t>运输车辆轮胎车身冲洗废水按用水量的80%计算，则冲洗废水量约为3.</w:t>
            </w:r>
            <w:r>
              <w:rPr>
                <w:rFonts w:hint="eastAsia" w:ascii="Times New Roman" w:hAnsi="Times New Roman" w:eastAsia="宋体" w:cs="Times New Roman"/>
                <w:color w:val="auto"/>
                <w:kern w:val="0"/>
                <w:sz w:val="24"/>
                <w:szCs w:val="24"/>
                <w:lang w:val="en-US" w:eastAsia="zh-CN"/>
              </w:rPr>
              <w:t>84</w:t>
            </w:r>
            <w:r>
              <w:rPr>
                <w:rFonts w:hint="eastAsia" w:ascii="Times New Roman" w:hAnsi="Times New Roman" w:eastAsia="宋体" w:cs="Times New Roman"/>
                <w:color w:val="auto"/>
                <w:kern w:val="0"/>
                <w:sz w:val="24"/>
                <w:szCs w:val="24"/>
              </w:rPr>
              <w:t>m</w:t>
            </w:r>
            <w:r>
              <w:rPr>
                <w:rFonts w:hint="eastAsia" w:ascii="Times New Roman" w:hAnsi="Times New Roman" w:eastAsia="宋体" w:cs="Times New Roman"/>
                <w:color w:val="auto"/>
                <w:kern w:val="0"/>
                <w:sz w:val="24"/>
                <w:szCs w:val="24"/>
                <w:vertAlign w:val="superscript"/>
              </w:rPr>
              <w:t>3</w:t>
            </w:r>
            <w:r>
              <w:rPr>
                <w:rFonts w:hint="eastAsia" w:ascii="Times New Roman" w:hAnsi="Times New Roman" w:eastAsia="宋体" w:cs="Times New Roman"/>
                <w:color w:val="auto"/>
                <w:kern w:val="0"/>
                <w:sz w:val="24"/>
                <w:szCs w:val="24"/>
              </w:rPr>
              <w:t>/d，排入洗车平台沉淀池循环使用，不外排。</w:t>
            </w:r>
          </w:p>
          <w:p>
            <w:pPr>
              <w:spacing w:line="46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本项目用排水情况见表2-6，水平衡见图2-1。</w:t>
            </w:r>
          </w:p>
          <w:p>
            <w:pPr>
              <w:widowControl/>
              <w:adjustRightInd w:val="0"/>
              <w:snapToGrid w:val="0"/>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表2-</w:t>
            </w:r>
            <w:r>
              <w:rPr>
                <w:rFonts w:hint="eastAsia" w:ascii="Times New Roman" w:hAnsi="Times New Roman" w:eastAsia="宋体" w:cs="Times New Roman"/>
                <w:color w:val="auto"/>
                <w:sz w:val="24"/>
                <w:szCs w:val="32"/>
                <w:lang w:val="en-US" w:eastAsia="zh-CN"/>
              </w:rPr>
              <w:t>8</w:t>
            </w:r>
            <w:r>
              <w:rPr>
                <w:rFonts w:ascii="Times New Roman" w:hAnsi="Times New Roman" w:eastAsia="宋体" w:cs="Times New Roman"/>
                <w:color w:val="auto"/>
                <w:sz w:val="24"/>
                <w:szCs w:val="32"/>
              </w:rPr>
              <w:t xml:space="preserve">  项目用水量产排情况</w:t>
            </w:r>
          </w:p>
          <w:tbl>
            <w:tblPr>
              <w:tblStyle w:val="26"/>
              <w:tblW w:w="8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154"/>
              <w:gridCol w:w="924"/>
              <w:gridCol w:w="1084"/>
              <w:gridCol w:w="1084"/>
              <w:gridCol w:w="1150"/>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5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用水项目</w:t>
                  </w:r>
                </w:p>
              </w:tc>
              <w:tc>
                <w:tcPr>
                  <w:tcW w:w="115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用水定额</w:t>
                  </w:r>
                </w:p>
              </w:tc>
              <w:tc>
                <w:tcPr>
                  <w:tcW w:w="92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数量</w:t>
                  </w:r>
                </w:p>
              </w:tc>
              <w:tc>
                <w:tcPr>
                  <w:tcW w:w="108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用水量(m</w:t>
                  </w:r>
                  <w:r>
                    <w:rPr>
                      <w:rFonts w:ascii="Times New Roman" w:hAnsi="Times New Roman" w:eastAsia="宋体" w:cs="Times New Roman"/>
                      <w:bCs/>
                      <w:color w:val="auto"/>
                      <w:szCs w:val="24"/>
                      <w:vertAlign w:val="superscript"/>
                    </w:rPr>
                    <w:t>3</w:t>
                  </w:r>
                  <w:r>
                    <w:rPr>
                      <w:rFonts w:ascii="Times New Roman" w:hAnsi="Times New Roman" w:eastAsia="宋体" w:cs="Times New Roman"/>
                      <w:bCs/>
                      <w:color w:val="auto"/>
                      <w:szCs w:val="24"/>
                    </w:rPr>
                    <w:t>/d)</w:t>
                  </w:r>
                </w:p>
              </w:tc>
              <w:tc>
                <w:tcPr>
                  <w:tcW w:w="108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废水产生量(m</w:t>
                  </w:r>
                  <w:r>
                    <w:rPr>
                      <w:rFonts w:ascii="Times New Roman" w:hAnsi="Times New Roman" w:eastAsia="宋体" w:cs="Times New Roman"/>
                      <w:bCs/>
                      <w:color w:val="auto"/>
                      <w:szCs w:val="24"/>
                      <w:vertAlign w:val="superscript"/>
                    </w:rPr>
                    <w:t>3</w:t>
                  </w:r>
                  <w:r>
                    <w:rPr>
                      <w:rFonts w:ascii="Times New Roman" w:hAnsi="Times New Roman" w:eastAsia="宋体" w:cs="Times New Roman"/>
                      <w:bCs/>
                      <w:color w:val="auto"/>
                      <w:szCs w:val="24"/>
                    </w:rPr>
                    <w:t>/d)</w:t>
                  </w:r>
                </w:p>
              </w:tc>
              <w:tc>
                <w:tcPr>
                  <w:tcW w:w="1150"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废水</w:t>
                  </w:r>
                  <w:r>
                    <w:rPr>
                      <w:rFonts w:hint="eastAsia" w:ascii="Times New Roman" w:hAnsi="Times New Roman" w:eastAsia="宋体" w:cs="Times New Roman"/>
                      <w:bCs/>
                      <w:color w:val="auto"/>
                      <w:szCs w:val="24"/>
                      <w:lang w:val="en-US" w:eastAsia="zh-CN"/>
                    </w:rPr>
                    <w:t>排放</w:t>
                  </w:r>
                  <w:r>
                    <w:rPr>
                      <w:rFonts w:ascii="Times New Roman" w:hAnsi="Times New Roman" w:eastAsia="宋体" w:cs="Times New Roman"/>
                      <w:bCs/>
                      <w:color w:val="auto"/>
                      <w:szCs w:val="24"/>
                    </w:rPr>
                    <w:t>量(m</w:t>
                  </w:r>
                  <w:r>
                    <w:rPr>
                      <w:rFonts w:ascii="Times New Roman" w:hAnsi="Times New Roman" w:eastAsia="宋体" w:cs="Times New Roman"/>
                      <w:bCs/>
                      <w:color w:val="auto"/>
                      <w:szCs w:val="24"/>
                      <w:vertAlign w:val="superscript"/>
                    </w:rPr>
                    <w:t>3</w:t>
                  </w:r>
                  <w:r>
                    <w:rPr>
                      <w:rFonts w:ascii="Times New Roman" w:hAnsi="Times New Roman" w:eastAsia="宋体" w:cs="Times New Roman"/>
                      <w:bCs/>
                      <w:color w:val="auto"/>
                      <w:szCs w:val="24"/>
                    </w:rPr>
                    <w:t>/d)</w:t>
                  </w:r>
                </w:p>
              </w:tc>
              <w:tc>
                <w:tcPr>
                  <w:tcW w:w="130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45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生活用水</w:t>
                  </w:r>
                </w:p>
              </w:tc>
              <w:tc>
                <w:tcPr>
                  <w:tcW w:w="115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9</w:t>
                  </w:r>
                  <w:r>
                    <w:rPr>
                      <w:rFonts w:ascii="Times New Roman" w:hAnsi="Times New Roman" w:eastAsia="宋体" w:cs="Times New Roman"/>
                      <w:bCs/>
                      <w:color w:val="auto"/>
                      <w:szCs w:val="24"/>
                    </w:rPr>
                    <w:t>0L/人·d</w:t>
                  </w:r>
                </w:p>
              </w:tc>
              <w:tc>
                <w:tcPr>
                  <w:tcW w:w="92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19人</w:t>
                  </w:r>
                </w:p>
              </w:tc>
              <w:tc>
                <w:tcPr>
                  <w:tcW w:w="108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1.71</w:t>
                  </w:r>
                </w:p>
              </w:tc>
              <w:tc>
                <w:tcPr>
                  <w:tcW w:w="1084"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1.37</w:t>
                  </w:r>
                </w:p>
              </w:tc>
              <w:tc>
                <w:tcPr>
                  <w:tcW w:w="1150"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0</w:t>
                  </w:r>
                </w:p>
              </w:tc>
              <w:tc>
                <w:tcPr>
                  <w:tcW w:w="1305"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洒水抑尘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5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color w:val="auto"/>
                      <w:szCs w:val="21"/>
                    </w:rPr>
                    <w:t>冷却用水</w:t>
                  </w:r>
                </w:p>
              </w:tc>
              <w:tc>
                <w:tcPr>
                  <w:tcW w:w="1154"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w:t>
                  </w:r>
                </w:p>
              </w:tc>
              <w:tc>
                <w:tcPr>
                  <w:tcW w:w="924"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w:t>
                  </w:r>
                </w:p>
              </w:tc>
              <w:tc>
                <w:tcPr>
                  <w:tcW w:w="1084"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100（</w:t>
                  </w:r>
                  <w:r>
                    <w:rPr>
                      <w:rFonts w:ascii="Times New Roman" w:hAnsi="Times New Roman" w:eastAsia="宋体" w:cs="Times New Roman"/>
                      <w:color w:val="auto"/>
                      <w:szCs w:val="21"/>
                    </w:rPr>
                    <w:t>其中补充水</w:t>
                  </w:r>
                  <w:r>
                    <w:rPr>
                      <w:rFonts w:ascii="Times New Roman" w:hAnsi="Times New Roman" w:eastAsia="宋体" w:cs="Times New Roman"/>
                      <w:bCs/>
                      <w:color w:val="auto"/>
                      <w:szCs w:val="21"/>
                    </w:rPr>
                    <w:t>2</w:t>
                  </w:r>
                  <w:r>
                    <w:rPr>
                      <w:rFonts w:hint="eastAsia" w:ascii="Times New Roman" w:hAnsi="Times New Roman" w:eastAsia="宋体" w:cs="Times New Roman"/>
                      <w:bCs/>
                      <w:color w:val="auto"/>
                      <w:szCs w:val="24"/>
                      <w:lang w:val="en-US" w:eastAsia="zh-CN"/>
                    </w:rPr>
                    <w:t>）</w:t>
                  </w:r>
                </w:p>
              </w:tc>
              <w:tc>
                <w:tcPr>
                  <w:tcW w:w="1084"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0.08</w:t>
                  </w:r>
                </w:p>
              </w:tc>
              <w:tc>
                <w:tcPr>
                  <w:tcW w:w="1150" w:type="dxa"/>
                  <w:vAlign w:val="center"/>
                </w:tcPr>
                <w:p>
                  <w:pPr>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w:t>
                  </w:r>
                </w:p>
              </w:tc>
              <w:tc>
                <w:tcPr>
                  <w:tcW w:w="1305" w:type="dxa"/>
                  <w:vMerge w:val="restart"/>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color w:val="auto"/>
                      <w:szCs w:val="21"/>
                    </w:rPr>
                    <w:t>经喷淋循环水处理系统处理后循环使用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55"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rPr>
                    <w:t>废气喷淋系统</w:t>
                  </w:r>
                  <w:r>
                    <w:rPr>
                      <w:rFonts w:hint="eastAsia" w:ascii="Times New Roman" w:hAnsi="Times New Roman" w:eastAsia="宋体" w:cs="Times New Roman"/>
                      <w:bCs/>
                      <w:color w:val="auto"/>
                      <w:szCs w:val="24"/>
                      <w:lang w:val="en-US" w:eastAsia="zh-CN"/>
                    </w:rPr>
                    <w:t>用水</w:t>
                  </w:r>
                </w:p>
              </w:tc>
              <w:tc>
                <w:tcPr>
                  <w:tcW w:w="1154" w:type="dxa"/>
                  <w:vAlign w:val="center"/>
                </w:tcPr>
                <w:p>
                  <w:pPr>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924"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w:t>
                  </w:r>
                </w:p>
              </w:tc>
              <w:tc>
                <w:tcPr>
                  <w:tcW w:w="1084"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300（</w:t>
                  </w:r>
                  <w:r>
                    <w:rPr>
                      <w:rFonts w:ascii="Times New Roman" w:hAnsi="Times New Roman" w:eastAsia="宋体" w:cs="Times New Roman"/>
                      <w:color w:val="auto"/>
                      <w:szCs w:val="21"/>
                    </w:rPr>
                    <w:t>其中补充水</w:t>
                  </w:r>
                  <w:r>
                    <w:rPr>
                      <w:rFonts w:hint="eastAsia" w:ascii="Times New Roman" w:hAnsi="Times New Roman" w:eastAsia="宋体" w:cs="Times New Roman"/>
                      <w:bCs/>
                      <w:color w:val="auto"/>
                      <w:szCs w:val="21"/>
                      <w:lang w:val="en-US" w:eastAsia="zh-CN"/>
                    </w:rPr>
                    <w:t>6</w:t>
                  </w:r>
                  <w:r>
                    <w:rPr>
                      <w:rFonts w:hint="eastAsia" w:ascii="Times New Roman" w:hAnsi="Times New Roman" w:eastAsia="宋体" w:cs="Times New Roman"/>
                      <w:bCs/>
                      <w:color w:val="auto"/>
                      <w:szCs w:val="24"/>
                      <w:lang w:val="en-US" w:eastAsia="zh-CN"/>
                    </w:rPr>
                    <w:t>）</w:t>
                  </w:r>
                </w:p>
              </w:tc>
              <w:tc>
                <w:tcPr>
                  <w:tcW w:w="1084"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300</w:t>
                  </w:r>
                </w:p>
              </w:tc>
              <w:tc>
                <w:tcPr>
                  <w:tcW w:w="1150"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0</w:t>
                  </w:r>
                </w:p>
              </w:tc>
              <w:tc>
                <w:tcPr>
                  <w:tcW w:w="1305" w:type="dxa"/>
                  <w:vMerge w:val="continue"/>
                  <w:vAlign w:val="center"/>
                </w:tcPr>
                <w:p>
                  <w:pPr>
                    <w:jc w:val="center"/>
                    <w:rPr>
                      <w:rFonts w:ascii="Times New Roman" w:hAnsi="Times New Roman" w:eastAsia="宋体" w:cs="Times New Roman"/>
                      <w:bCs/>
                      <w:color w:val="auto"/>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45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绿化用水</w:t>
                  </w:r>
                </w:p>
              </w:tc>
              <w:tc>
                <w:tcPr>
                  <w:tcW w:w="115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3.6</w:t>
                  </w:r>
                  <w:r>
                    <w:rPr>
                      <w:rFonts w:ascii="Times New Roman" w:hAnsi="Times New Roman" w:eastAsia="宋体" w:cs="Times New Roman"/>
                      <w:bCs/>
                      <w:color w:val="auto"/>
                      <w:szCs w:val="24"/>
                    </w:rPr>
                    <w:t>L/m</w:t>
                  </w:r>
                  <w:r>
                    <w:rPr>
                      <w:rFonts w:ascii="Times New Roman" w:hAnsi="Times New Roman" w:eastAsia="宋体" w:cs="Times New Roman"/>
                      <w:bCs/>
                      <w:color w:val="auto"/>
                      <w:szCs w:val="24"/>
                      <w:vertAlign w:val="superscript"/>
                    </w:rPr>
                    <w:t>2</w:t>
                  </w:r>
                  <w:r>
                    <w:rPr>
                      <w:rFonts w:ascii="Times New Roman" w:hAnsi="Times New Roman" w:eastAsia="宋体" w:cs="Times New Roman"/>
                      <w:bCs/>
                      <w:color w:val="auto"/>
                      <w:szCs w:val="24"/>
                    </w:rPr>
                    <w:t>·d</w:t>
                  </w:r>
                </w:p>
              </w:tc>
              <w:tc>
                <w:tcPr>
                  <w:tcW w:w="92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lang w:val="en-US" w:eastAsia="zh-CN"/>
                    </w:rPr>
                    <w:t>5</w:t>
                  </w:r>
                  <w:r>
                    <w:rPr>
                      <w:rFonts w:hint="eastAsia" w:ascii="Times New Roman" w:hAnsi="Times New Roman" w:eastAsia="宋体" w:cs="Times New Roman"/>
                      <w:bCs/>
                      <w:color w:val="auto"/>
                      <w:szCs w:val="24"/>
                    </w:rPr>
                    <w:t>0</w:t>
                  </w:r>
                  <w:r>
                    <w:rPr>
                      <w:rFonts w:ascii="Times New Roman" w:hAnsi="Times New Roman" w:eastAsia="宋体" w:cs="Times New Roman"/>
                      <w:bCs/>
                      <w:color w:val="auto"/>
                      <w:szCs w:val="24"/>
                    </w:rPr>
                    <w:t>0m</w:t>
                  </w:r>
                  <w:r>
                    <w:rPr>
                      <w:rFonts w:ascii="Times New Roman" w:hAnsi="Times New Roman" w:eastAsia="宋体" w:cs="Times New Roman"/>
                      <w:bCs/>
                      <w:color w:val="auto"/>
                      <w:szCs w:val="24"/>
                      <w:vertAlign w:val="superscript"/>
                    </w:rPr>
                    <w:t>2</w:t>
                  </w:r>
                </w:p>
              </w:tc>
              <w:tc>
                <w:tcPr>
                  <w:tcW w:w="1084" w:type="dxa"/>
                  <w:vAlign w:val="center"/>
                </w:tcPr>
                <w:p>
                  <w:pPr>
                    <w:jc w:val="center"/>
                    <w:rPr>
                      <w:rFonts w:hint="default"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1.8</w:t>
                  </w:r>
                </w:p>
              </w:tc>
              <w:tc>
                <w:tcPr>
                  <w:tcW w:w="108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0</w:t>
                  </w:r>
                </w:p>
              </w:tc>
              <w:tc>
                <w:tcPr>
                  <w:tcW w:w="1150"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0</w:t>
                  </w:r>
                </w:p>
              </w:tc>
              <w:tc>
                <w:tcPr>
                  <w:tcW w:w="1305"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455" w:type="dxa"/>
                  <w:vAlign w:val="center"/>
                </w:tcPr>
                <w:p>
                  <w:pPr>
                    <w:jc w:val="center"/>
                    <w:rPr>
                      <w:rFonts w:ascii="Times New Roman" w:hAnsi="Times New Roman" w:eastAsia="宋体" w:cs="Times New Roman"/>
                      <w:bCs/>
                      <w:color w:val="auto"/>
                      <w:szCs w:val="24"/>
                    </w:rPr>
                  </w:pPr>
                  <w:r>
                    <w:rPr>
                      <w:rFonts w:ascii="Times New Roman" w:hAnsi="Times New Roman" w:eastAsia="宋体" w:cs="Times New Roman"/>
                      <w:bCs/>
                      <w:color w:val="auto"/>
                      <w:szCs w:val="24"/>
                    </w:rPr>
                    <w:t>道路洒水</w:t>
                  </w:r>
                </w:p>
              </w:tc>
              <w:tc>
                <w:tcPr>
                  <w:tcW w:w="115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2.0</w:t>
                  </w:r>
                  <w:r>
                    <w:rPr>
                      <w:rFonts w:ascii="Times New Roman" w:hAnsi="Times New Roman" w:eastAsia="宋体" w:cs="Times New Roman"/>
                      <w:bCs/>
                      <w:color w:val="auto"/>
                      <w:szCs w:val="24"/>
                    </w:rPr>
                    <w:t>L/m</w:t>
                  </w:r>
                  <w:r>
                    <w:rPr>
                      <w:rFonts w:ascii="Times New Roman" w:hAnsi="Times New Roman" w:eastAsia="宋体" w:cs="Times New Roman"/>
                      <w:bCs/>
                      <w:color w:val="auto"/>
                      <w:szCs w:val="24"/>
                      <w:vertAlign w:val="superscript"/>
                    </w:rPr>
                    <w:t>2</w:t>
                  </w:r>
                  <w:r>
                    <w:rPr>
                      <w:rFonts w:ascii="Times New Roman" w:hAnsi="Times New Roman" w:eastAsia="宋体" w:cs="Times New Roman"/>
                      <w:bCs/>
                      <w:color w:val="auto"/>
                      <w:szCs w:val="24"/>
                    </w:rPr>
                    <w:t>·d</w:t>
                  </w:r>
                </w:p>
              </w:tc>
              <w:tc>
                <w:tcPr>
                  <w:tcW w:w="92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lang w:val="en-US" w:eastAsia="zh-CN"/>
                    </w:rPr>
                    <w:t>2</w:t>
                  </w:r>
                  <w:r>
                    <w:rPr>
                      <w:rFonts w:hint="eastAsia" w:ascii="Times New Roman" w:hAnsi="Times New Roman" w:eastAsia="宋体" w:cs="Times New Roman"/>
                      <w:bCs/>
                      <w:color w:val="auto"/>
                      <w:szCs w:val="24"/>
                    </w:rPr>
                    <w:t>0</w:t>
                  </w:r>
                  <w:r>
                    <w:rPr>
                      <w:rFonts w:ascii="Times New Roman" w:hAnsi="Times New Roman" w:eastAsia="宋体" w:cs="Times New Roman"/>
                      <w:bCs/>
                      <w:color w:val="auto"/>
                      <w:szCs w:val="24"/>
                    </w:rPr>
                    <w:t>00m</w:t>
                  </w:r>
                  <w:r>
                    <w:rPr>
                      <w:rFonts w:ascii="Times New Roman" w:hAnsi="Times New Roman" w:eastAsia="宋体" w:cs="Times New Roman"/>
                      <w:bCs/>
                      <w:color w:val="auto"/>
                      <w:szCs w:val="24"/>
                      <w:vertAlign w:val="superscript"/>
                    </w:rPr>
                    <w:t>2</w:t>
                  </w:r>
                </w:p>
              </w:tc>
              <w:tc>
                <w:tcPr>
                  <w:tcW w:w="108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lang w:val="en-US" w:eastAsia="zh-CN"/>
                    </w:rPr>
                    <w:t>4.</w:t>
                  </w:r>
                  <w:r>
                    <w:rPr>
                      <w:rFonts w:ascii="Times New Roman" w:hAnsi="Times New Roman" w:eastAsia="宋体" w:cs="Times New Roman"/>
                      <w:bCs/>
                      <w:color w:val="auto"/>
                      <w:szCs w:val="24"/>
                    </w:rPr>
                    <w:t>0</w:t>
                  </w:r>
                </w:p>
              </w:tc>
              <w:tc>
                <w:tcPr>
                  <w:tcW w:w="1084"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0</w:t>
                  </w:r>
                </w:p>
              </w:tc>
              <w:tc>
                <w:tcPr>
                  <w:tcW w:w="1150" w:type="dxa"/>
                  <w:vAlign w:val="center"/>
                </w:tcPr>
                <w:p>
                  <w:pPr>
                    <w:jc w:val="center"/>
                    <w:rPr>
                      <w:rFonts w:hint="eastAsia" w:ascii="Times New Roman" w:hAnsi="Times New Roman" w:eastAsia="宋体" w:cs="Times New Roman"/>
                      <w:bCs/>
                      <w:color w:val="auto"/>
                      <w:szCs w:val="24"/>
                      <w:lang w:val="en-US" w:eastAsia="zh-CN"/>
                    </w:rPr>
                  </w:pPr>
                  <w:r>
                    <w:rPr>
                      <w:rFonts w:hint="eastAsia" w:ascii="Times New Roman" w:hAnsi="Times New Roman" w:eastAsia="宋体" w:cs="Times New Roman"/>
                      <w:bCs/>
                      <w:color w:val="auto"/>
                      <w:szCs w:val="24"/>
                      <w:lang w:val="en-US" w:eastAsia="zh-CN"/>
                    </w:rPr>
                    <w:t>0</w:t>
                  </w:r>
                </w:p>
              </w:tc>
              <w:tc>
                <w:tcPr>
                  <w:tcW w:w="1305" w:type="dxa"/>
                  <w:vAlign w:val="center"/>
                </w:tcPr>
                <w:p>
                  <w:pPr>
                    <w:jc w:val="center"/>
                    <w:rPr>
                      <w:rFonts w:ascii="Times New Roman" w:hAnsi="Times New Roman" w:eastAsia="宋体" w:cs="Times New Roman"/>
                      <w:bCs/>
                      <w:color w:val="auto"/>
                      <w:szCs w:val="24"/>
                    </w:rPr>
                  </w:pPr>
                  <w:r>
                    <w:rPr>
                      <w:rFonts w:hint="eastAsia" w:ascii="Times New Roman" w:hAnsi="Times New Roman" w:eastAsia="宋体" w:cs="Times New Roman"/>
                      <w:bCs/>
                      <w:color w:val="auto"/>
                      <w:szCs w:val="24"/>
                    </w:rPr>
                    <w:t>蒸发</w:t>
                  </w:r>
                </w:p>
              </w:tc>
            </w:tr>
          </w:tbl>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r>
              <w:rPr>
                <w:color w:val="auto"/>
                <w:sz w:val="21"/>
              </w:rPr>
              <mc:AlternateContent>
                <mc:Choice Requires="wpg">
                  <w:drawing>
                    <wp:anchor distT="0" distB="0" distL="114300" distR="114300" simplePos="0" relativeHeight="251706368" behindDoc="0" locked="0" layoutInCell="1" allowOverlap="1">
                      <wp:simplePos x="0" y="0"/>
                      <wp:positionH relativeFrom="column">
                        <wp:posOffset>-19050</wp:posOffset>
                      </wp:positionH>
                      <wp:positionV relativeFrom="paragraph">
                        <wp:posOffset>59055</wp:posOffset>
                      </wp:positionV>
                      <wp:extent cx="5087620" cy="3648075"/>
                      <wp:effectExtent l="4445" t="0" r="13970" b="12700"/>
                      <wp:wrapNone/>
                      <wp:docPr id="72" name="组合 72"/>
                      <wp:cNvGraphicFramePr/>
                      <a:graphic xmlns:a="http://schemas.openxmlformats.org/drawingml/2006/main">
                        <a:graphicData uri="http://schemas.microsoft.com/office/word/2010/wordprocessingGroup">
                          <wpg:wgp>
                            <wpg:cNvGrpSpPr/>
                            <wpg:grpSpPr>
                              <a:xfrm>
                                <a:off x="0" y="0"/>
                                <a:ext cx="5087620" cy="3648075"/>
                                <a:chOff x="6104" y="347893"/>
                                <a:chExt cx="8012" cy="5745"/>
                              </a:xfrm>
                            </wpg:grpSpPr>
                            <wps:wsp>
                              <wps:cNvPr id="85" name="矩形 85"/>
                              <wps:cNvSpPr/>
                              <wps:spPr>
                                <a:xfrm>
                                  <a:off x="12245" y="349855"/>
                                  <a:ext cx="1699" cy="60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喷淋循环水</w:t>
                                    </w:r>
                                  </w:p>
                                  <w:p>
                                    <w:pPr>
                                      <w:adjustRightInd w:val="0"/>
                                      <w:snapToGrid w:val="0"/>
                                      <w:jc w:val="center"/>
                                    </w:pPr>
                                    <w:r>
                                      <w:rPr>
                                        <w:rFonts w:hint="eastAsia" w:ascii="Times New Roman" w:hAnsi="Times New Roman" w:eastAsia="宋体" w:cs="Times New Roman"/>
                                        <w:szCs w:val="21"/>
                                      </w:rPr>
                                      <w:t>处理系统</w:t>
                                    </w:r>
                                  </w:p>
                                </w:txbxContent>
                              </wps:txbx>
                              <wps:bodyPr lIns="0" tIns="0" rIns="0" bIns="0" upright="1"/>
                            </wps:wsp>
                            <wps:wsp>
                              <wps:cNvPr id="86" name="矩形 86"/>
                              <wps:cNvSpPr/>
                              <wps:spPr>
                                <a:xfrm>
                                  <a:off x="9318" y="350852"/>
                                  <a:ext cx="1667" cy="36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废气喷淋系统</w:t>
                                    </w:r>
                                  </w:p>
                                </w:txbxContent>
                              </wps:txbx>
                              <wps:bodyPr lIns="0" tIns="34920" rIns="0" bIns="34920" upright="1"/>
                            </wps:wsp>
                            <wps:wsp>
                              <wps:cNvPr id="87" name="矩形 87"/>
                              <wps:cNvSpPr/>
                              <wps:spPr>
                                <a:xfrm>
                                  <a:off x="11141" y="350697"/>
                                  <a:ext cx="712" cy="381"/>
                                </a:xfrm>
                                <a:prstGeom prst="rect">
                                  <a:avLst/>
                                </a:prstGeom>
                                <a:noFill/>
                                <a:ln>
                                  <a:noFill/>
                                </a:ln>
                              </wps:spPr>
                              <wps:txbx>
                                <w:txbxContent>
                                  <w:p>
                                    <w:pPr>
                                      <w:jc w:val="center"/>
                                    </w:pPr>
                                    <w:r>
                                      <w:rPr>
                                        <w:rFonts w:hint="eastAsia"/>
                                      </w:rPr>
                                      <w:t>300</w:t>
                                    </w:r>
                                  </w:p>
                                </w:txbxContent>
                              </wps:txbx>
                              <wps:bodyPr lIns="0" tIns="45720" rIns="0" bIns="45720" upright="1"/>
                            </wps:wsp>
                            <wps:wsp>
                              <wps:cNvPr id="88" name="矩形 88"/>
                              <wps:cNvSpPr/>
                              <wps:spPr>
                                <a:xfrm>
                                  <a:off x="9836" y="347893"/>
                                  <a:ext cx="772" cy="331"/>
                                </a:xfrm>
                                <a:prstGeom prst="rect">
                                  <a:avLst/>
                                </a:prstGeom>
                                <a:noFill/>
                                <a:ln>
                                  <a:noFill/>
                                </a:ln>
                              </wps:spPr>
                              <wps:txbx>
                                <w:txbxContent>
                                  <w:p>
                                    <w:pPr>
                                      <w:jc w:val="center"/>
                                      <w:rPr>
                                        <w:rFonts w:hint="default" w:eastAsiaTheme="minorEastAsia"/>
                                        <w:lang w:val="en-US" w:eastAsia="zh-CN"/>
                                      </w:rPr>
                                    </w:pPr>
                                    <w:r>
                                      <w:rPr>
                                        <w:rFonts w:hint="eastAsia"/>
                                        <w:lang w:val="en-US" w:eastAsia="zh-CN"/>
                                      </w:rPr>
                                      <w:t>0.34</w:t>
                                    </w:r>
                                  </w:p>
                                </w:txbxContent>
                              </wps:txbx>
                              <wps:bodyPr lIns="0" tIns="0" rIns="0" bIns="0" upright="1"/>
                            </wps:wsp>
                            <wps:wsp>
                              <wps:cNvPr id="89" name="矩形 89"/>
                              <wps:cNvSpPr/>
                              <wps:spPr>
                                <a:xfrm>
                                  <a:off x="11302" y="348343"/>
                                  <a:ext cx="1117" cy="46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eastAsiaTheme="minorEastAsia"/>
                                        <w:lang w:val="en-US" w:eastAsia="zh-CN"/>
                                      </w:rPr>
                                    </w:pPr>
                                    <w:r>
                                      <w:rPr>
                                        <w:rFonts w:hint="eastAsia"/>
                                        <w:lang w:val="en-US" w:eastAsia="zh-CN"/>
                                      </w:rPr>
                                      <w:t>化粪池</w:t>
                                    </w:r>
                                  </w:p>
                                </w:txbxContent>
                              </wps:txbx>
                              <wps:bodyPr upright="1"/>
                            </wps:wsp>
                            <wps:wsp>
                              <wps:cNvPr id="151" name="直接连接符 151"/>
                              <wps:cNvCnPr/>
                              <wps:spPr>
                                <a:xfrm>
                                  <a:off x="8277" y="349941"/>
                                  <a:ext cx="4" cy="1059"/>
                                </a:xfrm>
                                <a:prstGeom prst="line">
                                  <a:avLst/>
                                </a:prstGeom>
                                <a:ln w="9525" cap="flat" cmpd="sng">
                                  <a:solidFill>
                                    <a:srgbClr val="000000"/>
                                  </a:solidFill>
                                  <a:prstDash val="solid"/>
                                  <a:headEnd type="none" w="med" len="med"/>
                                  <a:tailEnd type="none" w="med" len="med"/>
                                </a:ln>
                              </wps:spPr>
                              <wps:bodyPr upright="1"/>
                            </wps:wsp>
                            <wps:wsp>
                              <wps:cNvPr id="90" name="矩形 90"/>
                              <wps:cNvSpPr/>
                              <wps:spPr>
                                <a:xfrm>
                                  <a:off x="9032" y="348376"/>
                                  <a:ext cx="1337" cy="3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生活用水</w:t>
                                    </w:r>
                                  </w:p>
                                </w:txbxContent>
                              </wps:txbx>
                              <wps:bodyPr lIns="91440" tIns="31320" rIns="91440" bIns="31320" upright="1"/>
                            </wps:wsp>
                            <wps:wsp>
                              <wps:cNvPr id="152" name="直接连接符 152"/>
                              <wps:cNvCnPr/>
                              <wps:spPr>
                                <a:xfrm>
                                  <a:off x="8305" y="349940"/>
                                  <a:ext cx="997" cy="0"/>
                                </a:xfrm>
                                <a:prstGeom prst="line">
                                  <a:avLst/>
                                </a:prstGeom>
                                <a:ln w="9525" cap="flat" cmpd="sng">
                                  <a:solidFill>
                                    <a:srgbClr val="000000"/>
                                  </a:solidFill>
                                  <a:prstDash val="solid"/>
                                  <a:headEnd type="none" w="med" len="med"/>
                                  <a:tailEnd type="triangle" w="med" len="med"/>
                                </a:ln>
                              </wps:spPr>
                              <wps:bodyPr upright="1"/>
                            </wps:wsp>
                            <wps:wsp>
                              <wps:cNvPr id="91" name="矩形 91"/>
                              <wps:cNvSpPr/>
                              <wps:spPr>
                                <a:xfrm>
                                  <a:off x="10402" y="348180"/>
                                  <a:ext cx="740" cy="379"/>
                                </a:xfrm>
                                <a:prstGeom prst="rect">
                                  <a:avLst/>
                                </a:prstGeom>
                                <a:noFill/>
                                <a:ln>
                                  <a:noFill/>
                                </a:ln>
                              </wps:spPr>
                              <wps:txbx>
                                <w:txbxContent>
                                  <w:p>
                                    <w:pPr>
                                      <w:rPr>
                                        <w:rFonts w:hint="default" w:eastAsiaTheme="minorEastAsia"/>
                                        <w:lang w:val="en-US" w:eastAsia="zh-CN"/>
                                      </w:rPr>
                                    </w:pPr>
                                    <w:r>
                                      <w:rPr>
                                        <w:rFonts w:hint="eastAsia"/>
                                        <w:lang w:val="en-US" w:eastAsia="zh-CN"/>
                                      </w:rPr>
                                      <w:t>1.37</w:t>
                                    </w:r>
                                  </w:p>
                                </w:txbxContent>
                              </wps:txbx>
                              <wps:bodyPr upright="1"/>
                            </wps:wsp>
                            <wps:wsp>
                              <wps:cNvPr id="153" name="矩形 153"/>
                              <wps:cNvSpPr/>
                              <wps:spPr>
                                <a:xfrm>
                                  <a:off x="9333" y="349740"/>
                                  <a:ext cx="1103" cy="36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冷却用水</w:t>
                                    </w:r>
                                  </w:p>
                                </w:txbxContent>
                              </wps:txbx>
                              <wps:bodyPr lIns="91440" tIns="31320" rIns="91440" bIns="31320" upright="1"/>
                            </wps:wsp>
                            <wps:wsp>
                              <wps:cNvPr id="92" name="矩形 92"/>
                              <wps:cNvSpPr/>
                              <wps:spPr>
                                <a:xfrm>
                                  <a:off x="8296" y="348204"/>
                                  <a:ext cx="672" cy="342"/>
                                </a:xfrm>
                                <a:prstGeom prst="rect">
                                  <a:avLst/>
                                </a:prstGeom>
                                <a:noFill/>
                                <a:ln>
                                  <a:noFill/>
                                </a:ln>
                              </wps:spPr>
                              <wps:txbx>
                                <w:txbxContent>
                                  <w:p>
                                    <w:pPr>
                                      <w:adjustRightInd w:val="0"/>
                                      <w:snapToGrid w:val="0"/>
                                      <w:ind w:firstLine="105" w:firstLineChars="50"/>
                                      <w:jc w:val="left"/>
                                      <w:rPr>
                                        <w:rFonts w:hint="default" w:eastAsiaTheme="minorEastAsia"/>
                                        <w:lang w:val="en-US" w:eastAsia="zh-CN"/>
                                      </w:rPr>
                                    </w:pPr>
                                    <w:r>
                                      <w:rPr>
                                        <w:rFonts w:hint="eastAsia"/>
                                        <w:lang w:val="en-US" w:eastAsia="zh-CN"/>
                                      </w:rPr>
                                      <w:t>1.71</w:t>
                                    </w:r>
                                  </w:p>
                                </w:txbxContent>
                              </wps:txbx>
                              <wps:bodyPr lIns="0" tIns="0" rIns="0" bIns="0" upright="1"/>
                            </wps:wsp>
                            <wps:wsp>
                              <wps:cNvPr id="154" name="矩形 154"/>
                              <wps:cNvSpPr/>
                              <wps:spPr>
                                <a:xfrm>
                                  <a:off x="8501" y="349546"/>
                                  <a:ext cx="672" cy="441"/>
                                </a:xfrm>
                                <a:prstGeom prst="rect">
                                  <a:avLst/>
                                </a:prstGeom>
                                <a:noFill/>
                                <a:ln>
                                  <a:noFill/>
                                </a:ln>
                              </wps:spPr>
                              <wps:txbx>
                                <w:txbxContent>
                                  <w:p>
                                    <w:pPr>
                                      <w:adjustRightInd w:val="0"/>
                                      <w:snapToGrid w:val="0"/>
                                      <w:ind w:firstLine="105" w:firstLineChars="50"/>
                                      <w:jc w:val="left"/>
                                    </w:pPr>
                                    <w:r>
                                      <w:rPr>
                                        <w:rFonts w:hint="eastAsia"/>
                                      </w:rPr>
                                      <w:t>2</w:t>
                                    </w:r>
                                  </w:p>
                                </w:txbxContent>
                              </wps:txbx>
                              <wps:bodyPr lIns="0" tIns="45720" rIns="0" bIns="45720" upright="1"/>
                            </wps:wsp>
                            <wps:wsp>
                              <wps:cNvPr id="95" name="直接连接符 95"/>
                              <wps:cNvCnPr/>
                              <wps:spPr>
                                <a:xfrm>
                                  <a:off x="7472" y="348562"/>
                                  <a:ext cx="1596" cy="14"/>
                                </a:xfrm>
                                <a:prstGeom prst="line">
                                  <a:avLst/>
                                </a:prstGeom>
                                <a:ln w="9525" cap="flat" cmpd="sng">
                                  <a:solidFill>
                                    <a:srgbClr val="000000"/>
                                  </a:solidFill>
                                  <a:prstDash val="solid"/>
                                  <a:headEnd type="none" w="med" len="med"/>
                                  <a:tailEnd type="triangle" w="med" len="med"/>
                                </a:ln>
                              </wps:spPr>
                              <wps:bodyPr upright="1"/>
                            </wps:wsp>
                            <wps:wsp>
                              <wps:cNvPr id="148" name="任意多边形 148"/>
                              <wps:cNvSpPr/>
                              <wps:spPr>
                                <a:xfrm>
                                  <a:off x="9904" y="348167"/>
                                  <a:ext cx="166" cy="229"/>
                                </a:xfrm>
                                <a:custGeom>
                                  <a:avLst/>
                                  <a:gdLst/>
                                  <a:ahLst/>
                                  <a:cxnLst/>
                                  <a:pathLst>
                                    <a:path w="360" h="338">
                                      <a:moveTo>
                                        <a:pt x="0" y="312"/>
                                      </a:moveTo>
                                      <a:cubicBezTo>
                                        <a:pt x="75" y="234"/>
                                        <a:pt x="150" y="156"/>
                                        <a:pt x="180" y="156"/>
                                      </a:cubicBezTo>
                                      <a:cubicBezTo>
                                        <a:pt x="210" y="156"/>
                                        <a:pt x="150" y="338"/>
                                        <a:pt x="180" y="312"/>
                                      </a:cubicBezTo>
                                      <a:cubicBezTo>
                                        <a:pt x="210" y="286"/>
                                        <a:pt x="330" y="52"/>
                                        <a:pt x="360" y="0"/>
                                      </a:cubicBezTo>
                                    </a:path>
                                  </a:pathLst>
                                </a:custGeom>
                                <a:noFill/>
                                <a:ln w="9525" cap="flat" cmpd="sng">
                                  <a:solidFill>
                                    <a:srgbClr val="000000"/>
                                  </a:solidFill>
                                  <a:prstDash val="solid"/>
                                  <a:headEnd type="none" w="med" len="med"/>
                                  <a:tailEnd type="triangle" w="med" len="med"/>
                                </a:ln>
                              </wps:spPr>
                              <wps:bodyPr upright="1"/>
                            </wps:wsp>
                            <wps:wsp>
                              <wps:cNvPr id="149" name="直接连接符 149"/>
                              <wps:cNvCnPr/>
                              <wps:spPr>
                                <a:xfrm>
                                  <a:off x="10358" y="348534"/>
                                  <a:ext cx="910" cy="1"/>
                                </a:xfrm>
                                <a:prstGeom prst="line">
                                  <a:avLst/>
                                </a:prstGeom>
                                <a:ln w="9525" cap="flat" cmpd="sng">
                                  <a:solidFill>
                                    <a:srgbClr val="000000"/>
                                  </a:solidFill>
                                  <a:prstDash val="solid"/>
                                  <a:headEnd type="none" w="med" len="med"/>
                                  <a:tailEnd type="triangle" w="med" len="med"/>
                                </a:ln>
                              </wps:spPr>
                              <wps:bodyPr upright="1"/>
                            </wps:wsp>
                            <wps:wsp>
                              <wps:cNvPr id="155" name="任意多边形 155"/>
                              <wps:cNvSpPr/>
                              <wps:spPr>
                                <a:xfrm>
                                  <a:off x="9884" y="349508"/>
                                  <a:ext cx="166" cy="229"/>
                                </a:xfrm>
                                <a:custGeom>
                                  <a:avLst/>
                                  <a:gdLst/>
                                  <a:ahLst/>
                                  <a:cxnLst/>
                                  <a:pathLst>
                                    <a:path w="360" h="338">
                                      <a:moveTo>
                                        <a:pt x="0" y="312"/>
                                      </a:moveTo>
                                      <a:cubicBezTo>
                                        <a:pt x="75" y="234"/>
                                        <a:pt x="150" y="156"/>
                                        <a:pt x="180" y="156"/>
                                      </a:cubicBezTo>
                                      <a:cubicBezTo>
                                        <a:pt x="210" y="156"/>
                                        <a:pt x="150" y="338"/>
                                        <a:pt x="180" y="312"/>
                                      </a:cubicBezTo>
                                      <a:cubicBezTo>
                                        <a:pt x="210" y="286"/>
                                        <a:pt x="330" y="52"/>
                                        <a:pt x="360" y="0"/>
                                      </a:cubicBezTo>
                                    </a:path>
                                  </a:pathLst>
                                </a:custGeom>
                                <a:noFill/>
                                <a:ln w="9525" cap="flat" cmpd="sng">
                                  <a:solidFill>
                                    <a:srgbClr val="000000"/>
                                  </a:solidFill>
                                  <a:prstDash val="solid"/>
                                  <a:headEnd type="none" w="med" len="med"/>
                                  <a:tailEnd type="triangle" w="med" len="med"/>
                                </a:ln>
                              </wps:spPr>
                              <wps:bodyPr upright="1"/>
                            </wps:wsp>
                            <wps:wsp>
                              <wps:cNvPr id="156" name="直接连接符 156"/>
                              <wps:cNvCnPr/>
                              <wps:spPr>
                                <a:xfrm>
                                  <a:off x="10474" y="349998"/>
                                  <a:ext cx="1759" cy="11"/>
                                </a:xfrm>
                                <a:prstGeom prst="line">
                                  <a:avLst/>
                                </a:prstGeom>
                                <a:ln w="9525" cap="flat" cmpd="sng">
                                  <a:solidFill>
                                    <a:srgbClr val="000000"/>
                                  </a:solidFill>
                                  <a:prstDash val="solid"/>
                                  <a:headEnd type="none" w="med" len="med"/>
                                  <a:tailEnd type="triangle" w="med" len="med"/>
                                </a:ln>
                              </wps:spPr>
                              <wps:bodyPr upright="1"/>
                            </wps:wsp>
                            <wps:wsp>
                              <wps:cNvPr id="157" name="矩形 157"/>
                              <wps:cNvSpPr/>
                              <wps:spPr>
                                <a:xfrm>
                                  <a:off x="6104" y="349417"/>
                                  <a:ext cx="1103" cy="39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水</w:t>
                                    </w:r>
                                  </w:p>
                                </w:txbxContent>
                              </wps:txbx>
                              <wps:bodyPr lIns="91440" tIns="45720" rIns="91440" bIns="24120" upright="1"/>
                            </wps:wsp>
                            <wps:wsp>
                              <wps:cNvPr id="158" name="矩形 158"/>
                              <wps:cNvSpPr/>
                              <wps:spPr>
                                <a:xfrm>
                                  <a:off x="9751" y="350293"/>
                                  <a:ext cx="712" cy="498"/>
                                </a:xfrm>
                                <a:prstGeom prst="rect">
                                  <a:avLst/>
                                </a:prstGeom>
                                <a:noFill/>
                                <a:ln>
                                  <a:noFill/>
                                </a:ln>
                              </wps:spPr>
                              <wps:txbx>
                                <w:txbxContent>
                                  <w:p>
                                    <w:pPr>
                                      <w:jc w:val="center"/>
                                    </w:pPr>
                                    <w:r>
                                      <w:rPr>
                                        <w:rFonts w:hint="eastAsia"/>
                                      </w:rPr>
                                      <w:t>6</w:t>
                                    </w:r>
                                  </w:p>
                                </w:txbxContent>
                              </wps:txbx>
                              <wps:bodyPr lIns="0" tIns="45720" rIns="0" bIns="45720" upright="1"/>
                            </wps:wsp>
                            <wps:wsp>
                              <wps:cNvPr id="159" name="任意多边形 159"/>
                              <wps:cNvSpPr/>
                              <wps:spPr>
                                <a:xfrm>
                                  <a:off x="9985" y="350631"/>
                                  <a:ext cx="166" cy="229"/>
                                </a:xfrm>
                                <a:custGeom>
                                  <a:avLst/>
                                  <a:gdLst/>
                                  <a:ahLst/>
                                  <a:cxnLst/>
                                  <a:pathLst>
                                    <a:path w="360" h="338">
                                      <a:moveTo>
                                        <a:pt x="0" y="312"/>
                                      </a:moveTo>
                                      <a:cubicBezTo>
                                        <a:pt x="75" y="234"/>
                                        <a:pt x="150" y="156"/>
                                        <a:pt x="180" y="156"/>
                                      </a:cubicBezTo>
                                      <a:cubicBezTo>
                                        <a:pt x="210" y="156"/>
                                        <a:pt x="150" y="338"/>
                                        <a:pt x="180" y="312"/>
                                      </a:cubicBezTo>
                                      <a:cubicBezTo>
                                        <a:pt x="210" y="286"/>
                                        <a:pt x="330" y="52"/>
                                        <a:pt x="360" y="0"/>
                                      </a:cubicBezTo>
                                    </a:path>
                                  </a:pathLst>
                                </a:custGeom>
                                <a:noFill/>
                                <a:ln w="9525" cap="flat" cmpd="sng">
                                  <a:solidFill>
                                    <a:srgbClr val="000000"/>
                                  </a:solidFill>
                                  <a:prstDash val="solid"/>
                                  <a:headEnd type="none" w="med" len="med"/>
                                  <a:tailEnd type="triangle" w="med" len="med"/>
                                </a:ln>
                              </wps:spPr>
                              <wps:bodyPr upright="1"/>
                            </wps:wsp>
                            <wps:wsp>
                              <wps:cNvPr id="160" name="直接连接符 160"/>
                              <wps:cNvCnPr/>
                              <wps:spPr>
                                <a:xfrm>
                                  <a:off x="8293" y="351014"/>
                                  <a:ext cx="997" cy="0"/>
                                </a:xfrm>
                                <a:prstGeom prst="line">
                                  <a:avLst/>
                                </a:prstGeom>
                                <a:ln w="9525" cap="flat" cmpd="sng">
                                  <a:solidFill>
                                    <a:srgbClr val="000000"/>
                                  </a:solidFill>
                                  <a:prstDash val="solid"/>
                                  <a:headEnd type="none" w="med" len="med"/>
                                  <a:tailEnd type="triangle" w="med" len="med"/>
                                </a:ln>
                              </wps:spPr>
                              <wps:bodyPr upright="1"/>
                            </wps:wsp>
                            <wps:wsp>
                              <wps:cNvPr id="161" name="矩形 161"/>
                              <wps:cNvSpPr/>
                              <wps:spPr>
                                <a:xfrm>
                                  <a:off x="8623" y="350551"/>
                                  <a:ext cx="672" cy="441"/>
                                </a:xfrm>
                                <a:prstGeom prst="rect">
                                  <a:avLst/>
                                </a:prstGeom>
                                <a:noFill/>
                                <a:ln>
                                  <a:noFill/>
                                </a:ln>
                              </wps:spPr>
                              <wps:txbx>
                                <w:txbxContent>
                                  <w:p>
                                    <w:pPr>
                                      <w:adjustRightInd w:val="0"/>
                                      <w:snapToGrid w:val="0"/>
                                      <w:ind w:firstLine="105" w:firstLineChars="50"/>
                                      <w:jc w:val="left"/>
                                    </w:pPr>
                                    <w:r>
                                      <w:rPr>
                                        <w:rFonts w:hint="eastAsia"/>
                                      </w:rPr>
                                      <w:t>6</w:t>
                                    </w:r>
                                  </w:p>
                                </w:txbxContent>
                              </wps:txbx>
                              <wps:bodyPr lIns="0" tIns="45720" rIns="0" bIns="45720" upright="1"/>
                            </wps:wsp>
                            <wps:wsp>
                              <wps:cNvPr id="162" name="直接连接符 162"/>
                              <wps:cNvCnPr/>
                              <wps:spPr>
                                <a:xfrm flipV="1">
                                  <a:off x="9893" y="350099"/>
                                  <a:ext cx="5" cy="278"/>
                                </a:xfrm>
                                <a:prstGeom prst="line">
                                  <a:avLst/>
                                </a:prstGeom>
                                <a:ln w="9525" cap="flat" cmpd="sng">
                                  <a:solidFill>
                                    <a:srgbClr val="000000"/>
                                  </a:solidFill>
                                  <a:prstDash val="solid"/>
                                  <a:headEnd type="none" w="med" len="med"/>
                                  <a:tailEnd type="triangle" w="med" len="med"/>
                                </a:ln>
                              </wps:spPr>
                              <wps:bodyPr upright="1"/>
                            </wps:wsp>
                            <wps:wsp>
                              <wps:cNvPr id="163" name="直接连接符 163"/>
                              <wps:cNvCnPr/>
                              <wps:spPr>
                                <a:xfrm flipH="1" flipV="1">
                                  <a:off x="12922" y="350503"/>
                                  <a:ext cx="1" cy="588"/>
                                </a:xfrm>
                                <a:prstGeom prst="line">
                                  <a:avLst/>
                                </a:prstGeom>
                                <a:ln w="9525" cap="flat" cmpd="sng">
                                  <a:solidFill>
                                    <a:srgbClr val="000000"/>
                                  </a:solidFill>
                                  <a:prstDash val="solid"/>
                                  <a:headEnd type="none" w="med" len="med"/>
                                  <a:tailEnd type="triangle" w="med" len="med"/>
                                </a:ln>
                              </wps:spPr>
                              <wps:bodyPr upright="1"/>
                            </wps:wsp>
                            <wps:wsp>
                              <wps:cNvPr id="164" name="矩形 164"/>
                              <wps:cNvSpPr/>
                              <wps:spPr>
                                <a:xfrm>
                                  <a:off x="9739" y="349132"/>
                                  <a:ext cx="672" cy="459"/>
                                </a:xfrm>
                                <a:prstGeom prst="rect">
                                  <a:avLst/>
                                </a:prstGeom>
                                <a:noFill/>
                                <a:ln>
                                  <a:noFill/>
                                </a:ln>
                              </wps:spPr>
                              <wps:txbx>
                                <w:txbxContent>
                                  <w:p>
                                    <w:pPr>
                                      <w:adjustRightInd w:val="0"/>
                                      <w:snapToGrid w:val="0"/>
                                      <w:ind w:firstLine="105" w:firstLineChars="50"/>
                                      <w:jc w:val="left"/>
                                    </w:pPr>
                                    <w:r>
                                      <w:rPr>
                                        <w:rFonts w:hint="eastAsia"/>
                                      </w:rPr>
                                      <w:t>2</w:t>
                                    </w:r>
                                  </w:p>
                                </w:txbxContent>
                              </wps:txbx>
                              <wps:bodyPr lIns="0" tIns="45720" rIns="0" bIns="45720" upright="1"/>
                            </wps:wsp>
                            <wps:wsp>
                              <wps:cNvPr id="165" name="直接连接符 165"/>
                              <wps:cNvCnPr/>
                              <wps:spPr>
                                <a:xfrm>
                                  <a:off x="9893" y="350369"/>
                                  <a:ext cx="2327" cy="6"/>
                                </a:xfrm>
                                <a:prstGeom prst="line">
                                  <a:avLst/>
                                </a:prstGeom>
                                <a:ln w="9525" cap="flat" cmpd="sng">
                                  <a:solidFill>
                                    <a:srgbClr val="000000"/>
                                  </a:solidFill>
                                  <a:prstDash val="solid"/>
                                  <a:headEnd type="none" w="med" len="med"/>
                                  <a:tailEnd type="none" w="med" len="med"/>
                                </a:ln>
                              </wps:spPr>
                              <wps:bodyPr upright="1"/>
                            </wps:wsp>
                            <wps:wsp>
                              <wps:cNvPr id="166" name="矩形 166"/>
                              <wps:cNvSpPr/>
                              <wps:spPr>
                                <a:xfrm>
                                  <a:off x="10944" y="349889"/>
                                  <a:ext cx="672" cy="425"/>
                                </a:xfrm>
                                <a:prstGeom prst="rect">
                                  <a:avLst/>
                                </a:prstGeom>
                                <a:noFill/>
                                <a:ln>
                                  <a:noFill/>
                                </a:ln>
                              </wps:spPr>
                              <wps:txbx>
                                <w:txbxContent>
                                  <w:p>
                                    <w:pPr>
                                      <w:adjustRightInd w:val="0"/>
                                      <w:snapToGrid w:val="0"/>
                                      <w:ind w:firstLine="105" w:firstLineChars="50"/>
                                      <w:jc w:val="left"/>
                                      <w:rPr>
                                        <w:rFonts w:hint="default" w:eastAsiaTheme="minorEastAsia"/>
                                        <w:lang w:val="en-US" w:eastAsia="zh-CN"/>
                                      </w:rPr>
                                    </w:pPr>
                                    <w:r>
                                      <w:rPr>
                                        <w:rFonts w:hint="eastAsia"/>
                                      </w:rPr>
                                      <w:t>0.</w:t>
                                    </w:r>
                                    <w:r>
                                      <w:rPr>
                                        <w:rFonts w:hint="eastAsia"/>
                                        <w:lang w:val="en-US" w:eastAsia="zh-CN"/>
                                      </w:rPr>
                                      <w:t>08</w:t>
                                    </w:r>
                                  </w:p>
                                </w:txbxContent>
                              </wps:txbx>
                              <wps:bodyPr lIns="0" tIns="45720" rIns="0" bIns="45720" upright="1"/>
                            </wps:wsp>
                            <wps:wsp>
                              <wps:cNvPr id="167" name="矩形 167"/>
                              <wps:cNvSpPr/>
                              <wps:spPr>
                                <a:xfrm>
                                  <a:off x="10947" y="350309"/>
                                  <a:ext cx="672" cy="460"/>
                                </a:xfrm>
                                <a:prstGeom prst="rect">
                                  <a:avLst/>
                                </a:prstGeom>
                                <a:noFill/>
                                <a:ln>
                                  <a:noFill/>
                                </a:ln>
                              </wps:spPr>
                              <wps:txbx>
                                <w:txbxContent>
                                  <w:p>
                                    <w:pPr>
                                      <w:adjustRightInd w:val="0"/>
                                      <w:snapToGrid w:val="0"/>
                                      <w:ind w:firstLine="105" w:firstLineChars="50"/>
                                      <w:jc w:val="left"/>
                                      <w:rPr>
                                        <w:rFonts w:hint="default" w:eastAsiaTheme="minorEastAsia"/>
                                        <w:lang w:val="en-US" w:eastAsia="zh-CN"/>
                                      </w:rPr>
                                    </w:pPr>
                                    <w:r>
                                      <w:rPr>
                                        <w:rFonts w:hint="eastAsia"/>
                                      </w:rPr>
                                      <w:t>0.</w:t>
                                    </w:r>
                                    <w:r>
                                      <w:rPr>
                                        <w:rFonts w:hint="eastAsia"/>
                                        <w:lang w:val="en-US" w:eastAsia="zh-CN"/>
                                      </w:rPr>
                                      <w:t>08</w:t>
                                    </w:r>
                                  </w:p>
                                </w:txbxContent>
                              </wps:txbx>
                              <wps:bodyPr lIns="0" tIns="45720" rIns="0" bIns="45720" upright="1"/>
                            </wps:wsp>
                            <wps:wsp>
                              <wps:cNvPr id="168" name="直接连接符 168"/>
                              <wps:cNvCnPr/>
                              <wps:spPr>
                                <a:xfrm>
                                  <a:off x="9975" y="351447"/>
                                  <a:ext cx="3281" cy="12"/>
                                </a:xfrm>
                                <a:prstGeom prst="line">
                                  <a:avLst/>
                                </a:prstGeom>
                                <a:ln w="9525" cap="flat" cmpd="sng">
                                  <a:solidFill>
                                    <a:srgbClr val="000000"/>
                                  </a:solidFill>
                                  <a:prstDash val="solid"/>
                                  <a:headEnd type="none" w="med" len="med"/>
                                  <a:tailEnd type="none" w="med" len="med"/>
                                </a:ln>
                              </wps:spPr>
                              <wps:bodyPr upright="1"/>
                            </wps:wsp>
                            <wps:wsp>
                              <wps:cNvPr id="169" name="直接连接符 169"/>
                              <wps:cNvCnPr/>
                              <wps:spPr>
                                <a:xfrm>
                                  <a:off x="13255" y="350498"/>
                                  <a:ext cx="9" cy="973"/>
                                </a:xfrm>
                                <a:prstGeom prst="line">
                                  <a:avLst/>
                                </a:prstGeom>
                                <a:ln w="9525" cap="flat" cmpd="sng">
                                  <a:solidFill>
                                    <a:srgbClr val="000000"/>
                                  </a:solidFill>
                                  <a:prstDash val="solid"/>
                                  <a:headEnd type="none" w="med" len="med"/>
                                  <a:tailEnd type="none" w="med" len="med"/>
                                </a:ln>
                              </wps:spPr>
                              <wps:bodyPr upright="1"/>
                            </wps:wsp>
                            <wps:wsp>
                              <wps:cNvPr id="170" name="直接连接符 170"/>
                              <wps:cNvCnPr/>
                              <wps:spPr>
                                <a:xfrm flipH="1">
                                  <a:off x="7461" y="348544"/>
                                  <a:ext cx="1" cy="4966"/>
                                </a:xfrm>
                                <a:prstGeom prst="line">
                                  <a:avLst/>
                                </a:prstGeom>
                                <a:ln w="9525" cap="flat" cmpd="sng">
                                  <a:solidFill>
                                    <a:srgbClr val="000000"/>
                                  </a:solidFill>
                                  <a:prstDash val="solid"/>
                                  <a:headEnd type="none" w="med" len="med"/>
                                  <a:tailEnd type="none" w="med" len="med"/>
                                </a:ln>
                              </wps:spPr>
                              <wps:bodyPr upright="1"/>
                            </wps:wsp>
                            <wps:wsp>
                              <wps:cNvPr id="171" name="直接连接符 171"/>
                              <wps:cNvCnPr/>
                              <wps:spPr>
                                <a:xfrm flipV="1">
                                  <a:off x="7453" y="350494"/>
                                  <a:ext cx="845" cy="1"/>
                                </a:xfrm>
                                <a:prstGeom prst="line">
                                  <a:avLst/>
                                </a:prstGeom>
                                <a:ln w="9525" cap="flat" cmpd="sng">
                                  <a:solidFill>
                                    <a:srgbClr val="000000"/>
                                  </a:solidFill>
                                  <a:prstDash val="solid"/>
                                  <a:headEnd type="none" w="med" len="med"/>
                                  <a:tailEnd type="triangle" w="med" len="med"/>
                                </a:ln>
                              </wps:spPr>
                              <wps:bodyPr upright="1"/>
                            </wps:wsp>
                            <wps:wsp>
                              <wps:cNvPr id="172" name="矩形 172"/>
                              <wps:cNvSpPr/>
                              <wps:spPr>
                                <a:xfrm>
                                  <a:off x="7579" y="350113"/>
                                  <a:ext cx="672" cy="367"/>
                                </a:xfrm>
                                <a:prstGeom prst="rect">
                                  <a:avLst/>
                                </a:prstGeom>
                                <a:noFill/>
                                <a:ln>
                                  <a:noFill/>
                                </a:ln>
                              </wps:spPr>
                              <wps:txbx>
                                <w:txbxContent>
                                  <w:p>
                                    <w:pPr>
                                      <w:ind w:left="-105" w:leftChars="-50"/>
                                      <w:jc w:val="center"/>
                                      <w:rPr>
                                        <w:szCs w:val="21"/>
                                      </w:rPr>
                                    </w:pPr>
                                    <w:r>
                                      <w:rPr>
                                        <w:rFonts w:hint="eastAsia"/>
                                        <w:szCs w:val="21"/>
                                      </w:rPr>
                                      <w:t>8</w:t>
                                    </w:r>
                                  </w:p>
                                </w:txbxContent>
                              </wps:txbx>
                              <wps:bodyPr lIns="0" tIns="45720" rIns="0" bIns="45720" upright="1"/>
                            </wps:wsp>
                            <wps:wsp>
                              <wps:cNvPr id="173" name="直接连接符 173"/>
                              <wps:cNvCnPr/>
                              <wps:spPr>
                                <a:xfrm flipV="1">
                                  <a:off x="10003" y="351193"/>
                                  <a:ext cx="5" cy="278"/>
                                </a:xfrm>
                                <a:prstGeom prst="line">
                                  <a:avLst/>
                                </a:prstGeom>
                                <a:ln w="9525" cap="flat" cmpd="sng">
                                  <a:solidFill>
                                    <a:srgbClr val="000000"/>
                                  </a:solidFill>
                                  <a:prstDash val="solid"/>
                                  <a:headEnd type="none" w="med" len="med"/>
                                  <a:tailEnd type="triangle" w="med" len="med"/>
                                </a:ln>
                              </wps:spPr>
                              <wps:bodyPr upright="1"/>
                            </wps:wsp>
                            <wps:wsp>
                              <wps:cNvPr id="174" name="矩形 174"/>
                              <wps:cNvSpPr/>
                              <wps:spPr>
                                <a:xfrm>
                                  <a:off x="11969" y="351114"/>
                                  <a:ext cx="712" cy="381"/>
                                </a:xfrm>
                                <a:prstGeom prst="rect">
                                  <a:avLst/>
                                </a:prstGeom>
                                <a:noFill/>
                                <a:ln>
                                  <a:noFill/>
                                </a:ln>
                              </wps:spPr>
                              <wps:txbx>
                                <w:txbxContent>
                                  <w:p>
                                    <w:pPr>
                                      <w:jc w:val="center"/>
                                    </w:pPr>
                                    <w:r>
                                      <w:rPr>
                                        <w:rFonts w:hint="eastAsia"/>
                                      </w:rPr>
                                      <w:t>300</w:t>
                                    </w:r>
                                  </w:p>
                                </w:txbxContent>
                              </wps:txbx>
                              <wps:bodyPr lIns="0" tIns="45720" rIns="0" bIns="45720" upright="1"/>
                            </wps:wsp>
                            <wps:wsp>
                              <wps:cNvPr id="175" name="直接连接符 175"/>
                              <wps:cNvCnPr/>
                              <wps:spPr>
                                <a:xfrm>
                                  <a:off x="10308" y="349379"/>
                                  <a:ext cx="1194" cy="11"/>
                                </a:xfrm>
                                <a:prstGeom prst="line">
                                  <a:avLst/>
                                </a:prstGeom>
                                <a:ln w="9525" cap="flat" cmpd="sng">
                                  <a:solidFill>
                                    <a:srgbClr val="000000"/>
                                  </a:solidFill>
                                  <a:prstDash val="solid"/>
                                  <a:headEnd type="none" w="med" len="med"/>
                                  <a:tailEnd type="triangle" w="med" len="med"/>
                                </a:ln>
                              </wps:spPr>
                              <wps:bodyPr upright="1"/>
                            </wps:wsp>
                            <wps:wsp>
                              <wps:cNvPr id="176" name="直接连接符 176"/>
                              <wps:cNvCnPr/>
                              <wps:spPr>
                                <a:xfrm flipH="1">
                                  <a:off x="10284" y="349393"/>
                                  <a:ext cx="6" cy="336"/>
                                </a:xfrm>
                                <a:prstGeom prst="line">
                                  <a:avLst/>
                                </a:prstGeom>
                                <a:ln w="9525" cap="flat" cmpd="sng">
                                  <a:solidFill>
                                    <a:srgbClr val="000000"/>
                                  </a:solidFill>
                                  <a:prstDash val="solid"/>
                                  <a:headEnd type="none" w="med" len="med"/>
                                  <a:tailEnd type="none" w="med" len="med"/>
                                </a:ln>
                              </wps:spPr>
                              <wps:bodyPr upright="1"/>
                            </wps:wsp>
                            <wps:wsp>
                              <wps:cNvPr id="177" name="矩形 177"/>
                              <wps:cNvSpPr/>
                              <wps:spPr>
                                <a:xfrm>
                                  <a:off x="11536" y="349100"/>
                                  <a:ext cx="1736" cy="46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冷却水循环水池</w:t>
                                    </w:r>
                                  </w:p>
                                </w:txbxContent>
                              </wps:txbx>
                              <wps:bodyPr upright="1"/>
                            </wps:wsp>
                            <wps:wsp>
                              <wps:cNvPr id="178" name="直接连接符 178"/>
                              <wps:cNvCnPr/>
                              <wps:spPr>
                                <a:xfrm flipH="1" flipV="1">
                                  <a:off x="7182" y="349614"/>
                                  <a:ext cx="295" cy="4"/>
                                </a:xfrm>
                                <a:prstGeom prst="line">
                                  <a:avLst/>
                                </a:prstGeom>
                                <a:ln w="9525" cap="flat" cmpd="sng">
                                  <a:solidFill>
                                    <a:srgbClr val="000000"/>
                                  </a:solidFill>
                                  <a:prstDash val="solid"/>
                                  <a:headEnd type="none" w="med" len="med"/>
                                  <a:tailEnd type="none" w="med" len="med"/>
                                </a:ln>
                              </wps:spPr>
                              <wps:bodyPr upright="1"/>
                            </wps:wsp>
                            <wps:wsp>
                              <wps:cNvPr id="179" name="直接连接符 179"/>
                              <wps:cNvCnPr/>
                              <wps:spPr>
                                <a:xfrm flipH="1" flipV="1">
                                  <a:off x="10975" y="351054"/>
                                  <a:ext cx="1937" cy="3"/>
                                </a:xfrm>
                                <a:prstGeom prst="line">
                                  <a:avLst/>
                                </a:prstGeom>
                                <a:ln w="9525" cap="flat" cmpd="sng">
                                  <a:solidFill>
                                    <a:srgbClr val="000000"/>
                                  </a:solidFill>
                                  <a:prstDash val="solid"/>
                                  <a:headEnd type="none" w="med" len="med"/>
                                  <a:tailEnd type="none" w="med" len="med"/>
                                </a:ln>
                              </wps:spPr>
                              <wps:bodyPr upright="1"/>
                            </wps:wsp>
                            <wps:wsp>
                              <wps:cNvPr id="180" name="直接连接符 180"/>
                              <wps:cNvCnPr/>
                              <wps:spPr>
                                <a:xfrm flipH="1">
                                  <a:off x="12050" y="349580"/>
                                  <a:ext cx="6" cy="221"/>
                                </a:xfrm>
                                <a:prstGeom prst="line">
                                  <a:avLst/>
                                </a:prstGeom>
                                <a:ln w="9525" cap="flat" cmpd="sng">
                                  <a:solidFill>
                                    <a:srgbClr val="000000"/>
                                  </a:solidFill>
                                  <a:prstDash val="solid"/>
                                  <a:headEnd type="none" w="med" len="med"/>
                                  <a:tailEnd type="none" w="med" len="med"/>
                                </a:ln>
                              </wps:spPr>
                              <wps:bodyPr upright="1"/>
                            </wps:wsp>
                            <wps:wsp>
                              <wps:cNvPr id="181" name="直接连接符 181"/>
                              <wps:cNvCnPr/>
                              <wps:spPr>
                                <a:xfrm flipH="1">
                                  <a:off x="10441" y="349797"/>
                                  <a:ext cx="1619" cy="12"/>
                                </a:xfrm>
                                <a:prstGeom prst="line">
                                  <a:avLst/>
                                </a:prstGeom>
                                <a:ln w="9525" cap="flat" cmpd="sng">
                                  <a:solidFill>
                                    <a:srgbClr val="000000"/>
                                  </a:solidFill>
                                  <a:prstDash val="solid"/>
                                  <a:headEnd type="none" w="med" len="med"/>
                                  <a:tailEnd type="triangle" w="med" len="med"/>
                                </a:ln>
                              </wps:spPr>
                              <wps:bodyPr upright="1"/>
                            </wps:wsp>
                            <wps:wsp>
                              <wps:cNvPr id="182" name="矩形 182"/>
                              <wps:cNvSpPr/>
                              <wps:spPr>
                                <a:xfrm>
                                  <a:off x="10821" y="349438"/>
                                  <a:ext cx="672" cy="392"/>
                                </a:xfrm>
                                <a:prstGeom prst="rect">
                                  <a:avLst/>
                                </a:prstGeom>
                                <a:noFill/>
                                <a:ln>
                                  <a:noFill/>
                                </a:ln>
                              </wps:spPr>
                              <wps:txbx>
                                <w:txbxContent>
                                  <w:p>
                                    <w:pPr>
                                      <w:adjustRightInd w:val="0"/>
                                      <w:snapToGrid w:val="0"/>
                                      <w:ind w:firstLine="105" w:firstLineChars="50"/>
                                      <w:jc w:val="left"/>
                                    </w:pPr>
                                    <w:r>
                                      <w:rPr>
                                        <w:rFonts w:hint="eastAsia"/>
                                      </w:rPr>
                                      <w:t>100</w:t>
                                    </w:r>
                                  </w:p>
                                </w:txbxContent>
                              </wps:txbx>
                              <wps:bodyPr lIns="0" tIns="45720" rIns="0" bIns="45720" upright="1"/>
                            </wps:wsp>
                            <wps:wsp>
                              <wps:cNvPr id="183" name="矩形 183"/>
                              <wps:cNvSpPr/>
                              <wps:spPr>
                                <a:xfrm>
                                  <a:off x="10806" y="348940"/>
                                  <a:ext cx="672" cy="410"/>
                                </a:xfrm>
                                <a:prstGeom prst="rect">
                                  <a:avLst/>
                                </a:prstGeom>
                                <a:noFill/>
                                <a:ln>
                                  <a:noFill/>
                                </a:ln>
                              </wps:spPr>
                              <wps:txbx>
                                <w:txbxContent>
                                  <w:p>
                                    <w:pPr>
                                      <w:adjustRightInd w:val="0"/>
                                      <w:snapToGrid w:val="0"/>
                                      <w:ind w:firstLine="105" w:firstLineChars="50"/>
                                      <w:jc w:val="left"/>
                                    </w:pPr>
                                    <w:r>
                                      <w:rPr>
                                        <w:rFonts w:hint="eastAsia"/>
                                      </w:rPr>
                                      <w:t>100</w:t>
                                    </w:r>
                                  </w:p>
                                </w:txbxContent>
                              </wps:txbx>
                              <wps:bodyPr lIns="0" tIns="45720" rIns="0" bIns="45720" upright="1"/>
                            </wps:wsp>
                            <wps:wsp>
                              <wps:cNvPr id="184" name="矩形 184"/>
                              <wps:cNvSpPr/>
                              <wps:spPr>
                                <a:xfrm>
                                  <a:off x="7565" y="352055"/>
                                  <a:ext cx="672" cy="367"/>
                                </a:xfrm>
                                <a:prstGeom prst="rect">
                                  <a:avLst/>
                                </a:prstGeom>
                                <a:noFill/>
                                <a:ln>
                                  <a:noFill/>
                                </a:ln>
                              </wps:spPr>
                              <wps:txbx>
                                <w:txbxContent>
                                  <w:p>
                                    <w:pPr>
                                      <w:ind w:left="-105" w:leftChars="-50"/>
                                      <w:jc w:val="center"/>
                                      <w:rPr>
                                        <w:rFonts w:hint="default" w:eastAsiaTheme="minorEastAsia"/>
                                        <w:szCs w:val="21"/>
                                        <w:lang w:val="en-US" w:eastAsia="zh-CN"/>
                                      </w:rPr>
                                    </w:pPr>
                                    <w:r>
                                      <w:rPr>
                                        <w:rFonts w:hint="eastAsia"/>
                                        <w:szCs w:val="21"/>
                                        <w:lang w:val="en-US" w:eastAsia="zh-CN"/>
                                      </w:rPr>
                                      <w:t>1.8</w:t>
                                    </w:r>
                                  </w:p>
                                </w:txbxContent>
                              </wps:txbx>
                              <wps:bodyPr lIns="0" tIns="45720" rIns="0" bIns="45720" upright="1"/>
                            </wps:wsp>
                            <wps:wsp>
                              <wps:cNvPr id="185" name="直接连接符 185"/>
                              <wps:cNvCnPr/>
                              <wps:spPr>
                                <a:xfrm flipV="1">
                                  <a:off x="7479" y="352449"/>
                                  <a:ext cx="985" cy="1"/>
                                </a:xfrm>
                                <a:prstGeom prst="line">
                                  <a:avLst/>
                                </a:prstGeom>
                                <a:ln w="9525" cap="flat" cmpd="sng">
                                  <a:solidFill>
                                    <a:srgbClr val="000000"/>
                                  </a:solidFill>
                                  <a:prstDash val="solid"/>
                                  <a:headEnd type="none" w="med" len="med"/>
                                  <a:tailEnd type="triangle" w="med" len="med"/>
                                </a:ln>
                              </wps:spPr>
                              <wps:bodyPr upright="1"/>
                            </wps:wsp>
                            <wps:wsp>
                              <wps:cNvPr id="186" name="矩形 186"/>
                              <wps:cNvSpPr/>
                              <wps:spPr>
                                <a:xfrm>
                                  <a:off x="8463" y="352243"/>
                                  <a:ext cx="1292" cy="3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绿化用水</w:t>
                                    </w:r>
                                  </w:p>
                                </w:txbxContent>
                              </wps:txbx>
                              <wps:bodyPr lIns="91440" tIns="31320" rIns="91440" bIns="31320" upright="1"/>
                            </wps:wsp>
                            <wps:wsp>
                              <wps:cNvPr id="187" name="任意多边形 187"/>
                              <wps:cNvSpPr/>
                              <wps:spPr>
                                <a:xfrm>
                                  <a:off x="9050" y="352024"/>
                                  <a:ext cx="166" cy="229"/>
                                </a:xfrm>
                                <a:custGeom>
                                  <a:avLst/>
                                  <a:gdLst/>
                                  <a:ahLst/>
                                  <a:cxnLst/>
                                  <a:pathLst>
                                    <a:path w="360" h="338">
                                      <a:moveTo>
                                        <a:pt x="0" y="312"/>
                                      </a:moveTo>
                                      <a:cubicBezTo>
                                        <a:pt x="75" y="234"/>
                                        <a:pt x="150" y="156"/>
                                        <a:pt x="180" y="156"/>
                                      </a:cubicBezTo>
                                      <a:cubicBezTo>
                                        <a:pt x="210" y="156"/>
                                        <a:pt x="150" y="338"/>
                                        <a:pt x="180" y="312"/>
                                      </a:cubicBezTo>
                                      <a:cubicBezTo>
                                        <a:pt x="210" y="286"/>
                                        <a:pt x="330" y="52"/>
                                        <a:pt x="360" y="0"/>
                                      </a:cubicBezTo>
                                    </a:path>
                                  </a:pathLst>
                                </a:custGeom>
                                <a:noFill/>
                                <a:ln w="9525" cap="flat" cmpd="sng">
                                  <a:solidFill>
                                    <a:srgbClr val="000000"/>
                                  </a:solidFill>
                                  <a:prstDash val="solid"/>
                                  <a:headEnd type="none" w="med" len="med"/>
                                  <a:tailEnd type="triangle" w="med" len="med"/>
                                </a:ln>
                              </wps:spPr>
                              <wps:bodyPr upright="1"/>
                            </wps:wsp>
                            <wps:wsp>
                              <wps:cNvPr id="188" name="矩形 188"/>
                              <wps:cNvSpPr/>
                              <wps:spPr>
                                <a:xfrm>
                                  <a:off x="9019" y="351679"/>
                                  <a:ext cx="672" cy="493"/>
                                </a:xfrm>
                                <a:prstGeom prst="rect">
                                  <a:avLst/>
                                </a:prstGeom>
                                <a:noFill/>
                                <a:ln>
                                  <a:noFill/>
                                </a:ln>
                              </wps:spPr>
                              <wps:txbx>
                                <w:txbxContent>
                                  <w:p>
                                    <w:pPr>
                                      <w:adjustRightInd w:val="0"/>
                                      <w:snapToGrid w:val="0"/>
                                      <w:ind w:firstLine="105" w:firstLineChars="50"/>
                                      <w:jc w:val="left"/>
                                      <w:rPr>
                                        <w:rFonts w:hint="default" w:eastAsiaTheme="minorEastAsia"/>
                                        <w:lang w:val="en-US" w:eastAsia="zh-CN"/>
                                      </w:rPr>
                                    </w:pPr>
                                    <w:r>
                                      <w:rPr>
                                        <w:rFonts w:hint="eastAsia"/>
                                        <w:lang w:val="en-US" w:eastAsia="zh-CN"/>
                                      </w:rPr>
                                      <w:t>1.8</w:t>
                                    </w:r>
                                  </w:p>
                                </w:txbxContent>
                              </wps:txbx>
                              <wps:bodyPr lIns="0" tIns="45720" rIns="0" bIns="45720" upright="1"/>
                            </wps:wsp>
                            <wps:wsp>
                              <wps:cNvPr id="194" name="直接连接符 194"/>
                              <wps:cNvCnPr/>
                              <wps:spPr>
                                <a:xfrm flipV="1">
                                  <a:off x="7456" y="353489"/>
                                  <a:ext cx="985" cy="1"/>
                                </a:xfrm>
                                <a:prstGeom prst="line">
                                  <a:avLst/>
                                </a:prstGeom>
                                <a:ln w="9525" cap="flat" cmpd="sng">
                                  <a:solidFill>
                                    <a:srgbClr val="000000"/>
                                  </a:solidFill>
                                  <a:prstDash val="solid"/>
                                  <a:headEnd type="none" w="med" len="med"/>
                                  <a:tailEnd type="triangle" w="med" len="med"/>
                                </a:ln>
                              </wps:spPr>
                              <wps:bodyPr upright="1"/>
                            </wps:wsp>
                            <wps:wsp>
                              <wps:cNvPr id="195" name="矩形 195"/>
                              <wps:cNvSpPr/>
                              <wps:spPr>
                                <a:xfrm>
                                  <a:off x="7593" y="353120"/>
                                  <a:ext cx="672" cy="367"/>
                                </a:xfrm>
                                <a:prstGeom prst="rect">
                                  <a:avLst/>
                                </a:prstGeom>
                                <a:noFill/>
                                <a:ln>
                                  <a:noFill/>
                                </a:ln>
                              </wps:spPr>
                              <wps:txbx>
                                <w:txbxContent>
                                  <w:p>
                                    <w:pPr>
                                      <w:ind w:left="-105" w:leftChars="-50"/>
                                      <w:jc w:val="center"/>
                                      <w:rPr>
                                        <w:rFonts w:hint="default" w:eastAsiaTheme="minorEastAsia"/>
                                        <w:szCs w:val="21"/>
                                        <w:lang w:val="en-US" w:eastAsia="zh-CN"/>
                                      </w:rPr>
                                    </w:pPr>
                                    <w:r>
                                      <w:rPr>
                                        <w:rFonts w:hint="eastAsia"/>
                                        <w:szCs w:val="21"/>
                                        <w:lang w:val="en-US" w:eastAsia="zh-CN"/>
                                      </w:rPr>
                                      <w:t>4.0</w:t>
                                    </w:r>
                                  </w:p>
                                </w:txbxContent>
                              </wps:txbx>
                              <wps:bodyPr lIns="0" tIns="45720" rIns="0" bIns="45720" upright="1"/>
                            </wps:wsp>
                            <wps:wsp>
                              <wps:cNvPr id="196" name="矩形 196"/>
                              <wps:cNvSpPr/>
                              <wps:spPr>
                                <a:xfrm>
                                  <a:off x="8453" y="353270"/>
                                  <a:ext cx="1315" cy="3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lang w:val="en-US" w:eastAsia="zh-CN"/>
                                      </w:rPr>
                                      <w:t>道路洒</w:t>
                                    </w:r>
                                    <w:r>
                                      <w:rPr>
                                        <w:rFonts w:hint="eastAsia"/>
                                      </w:rPr>
                                      <w:t>水</w:t>
                                    </w:r>
                                  </w:p>
                                </w:txbxContent>
                              </wps:txbx>
                              <wps:bodyPr lIns="91440" tIns="31320" rIns="91440" bIns="31320" upright="1"/>
                            </wps:wsp>
                            <wps:wsp>
                              <wps:cNvPr id="197" name="任意多边形 197"/>
                              <wps:cNvSpPr/>
                              <wps:spPr>
                                <a:xfrm>
                                  <a:off x="8903" y="353064"/>
                                  <a:ext cx="166" cy="229"/>
                                </a:xfrm>
                                <a:custGeom>
                                  <a:avLst/>
                                  <a:gdLst/>
                                  <a:ahLst/>
                                  <a:cxnLst/>
                                  <a:pathLst>
                                    <a:path w="360" h="338">
                                      <a:moveTo>
                                        <a:pt x="0" y="312"/>
                                      </a:moveTo>
                                      <a:cubicBezTo>
                                        <a:pt x="75" y="234"/>
                                        <a:pt x="150" y="156"/>
                                        <a:pt x="180" y="156"/>
                                      </a:cubicBezTo>
                                      <a:cubicBezTo>
                                        <a:pt x="210" y="156"/>
                                        <a:pt x="150" y="338"/>
                                        <a:pt x="180" y="312"/>
                                      </a:cubicBezTo>
                                      <a:cubicBezTo>
                                        <a:pt x="210" y="286"/>
                                        <a:pt x="330" y="52"/>
                                        <a:pt x="360" y="0"/>
                                      </a:cubicBezTo>
                                    </a:path>
                                  </a:pathLst>
                                </a:custGeom>
                                <a:noFill/>
                                <a:ln w="9525" cap="flat" cmpd="sng">
                                  <a:solidFill>
                                    <a:srgbClr val="000000"/>
                                  </a:solidFill>
                                  <a:prstDash val="solid"/>
                                  <a:headEnd type="none" w="med" len="med"/>
                                  <a:tailEnd type="triangle" w="med" len="med"/>
                                </a:ln>
                              </wps:spPr>
                              <wps:bodyPr upright="1"/>
                            </wps:wsp>
                            <wps:wsp>
                              <wps:cNvPr id="198" name="矩形 198"/>
                              <wps:cNvSpPr/>
                              <wps:spPr>
                                <a:xfrm>
                                  <a:off x="8934" y="352694"/>
                                  <a:ext cx="672" cy="493"/>
                                </a:xfrm>
                                <a:prstGeom prst="rect">
                                  <a:avLst/>
                                </a:prstGeom>
                                <a:noFill/>
                                <a:ln>
                                  <a:noFill/>
                                </a:ln>
                              </wps:spPr>
                              <wps:txbx>
                                <w:txbxContent>
                                  <w:p>
                                    <w:pPr>
                                      <w:adjustRightInd w:val="0"/>
                                      <w:snapToGrid w:val="0"/>
                                      <w:ind w:firstLine="105" w:firstLineChars="50"/>
                                      <w:jc w:val="left"/>
                                      <w:rPr>
                                        <w:rFonts w:hint="default" w:eastAsiaTheme="minorEastAsia"/>
                                        <w:lang w:val="en-US" w:eastAsia="zh-CN"/>
                                      </w:rPr>
                                    </w:pPr>
                                    <w:r>
                                      <w:rPr>
                                        <w:rFonts w:hint="eastAsia"/>
                                        <w:lang w:val="en-US" w:eastAsia="zh-CN"/>
                                      </w:rPr>
                                      <w:t>4.0</w:t>
                                    </w:r>
                                  </w:p>
                                </w:txbxContent>
                              </wps:txbx>
                              <wps:bodyPr lIns="0" tIns="45720" rIns="0" bIns="45720" upright="1"/>
                            </wps:wsp>
                            <wps:wsp>
                              <wps:cNvPr id="9" name="直接连接符 9"/>
                              <wps:cNvCnPr/>
                              <wps:spPr>
                                <a:xfrm flipV="1">
                                  <a:off x="12451" y="348559"/>
                                  <a:ext cx="556" cy="1"/>
                                </a:xfrm>
                                <a:prstGeom prst="line">
                                  <a:avLst/>
                                </a:prstGeom>
                                <a:ln w="9525" cap="flat" cmpd="sng">
                                  <a:solidFill>
                                    <a:srgbClr val="000000"/>
                                  </a:solidFill>
                                  <a:prstDash val="solid"/>
                                  <a:headEnd type="none" w="med" len="med"/>
                                  <a:tailEnd type="triangle" w="med" len="med"/>
                                </a:ln>
                              </wps:spPr>
                              <wps:bodyPr upright="1"/>
                            </wps:wsp>
                            <wps:wsp>
                              <wps:cNvPr id="11" name="矩形 11"/>
                              <wps:cNvSpPr/>
                              <wps:spPr>
                                <a:xfrm>
                                  <a:off x="13000" y="348208"/>
                                  <a:ext cx="1117" cy="69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Theme="minorEastAsia"/>
                                        <w:lang w:val="en-US" w:eastAsia="zh-CN"/>
                                      </w:rPr>
                                    </w:pPr>
                                    <w:r>
                                      <w:rPr>
                                        <w:rFonts w:hint="eastAsia"/>
                                        <w:lang w:val="en-US" w:eastAsia="zh-CN"/>
                                      </w:rPr>
                                      <w:t>污水处理厂</w:t>
                                    </w:r>
                                  </w:p>
                                </w:txbxContent>
                              </wps:txbx>
                              <wps:bodyPr upright="1"/>
                            </wps:wsp>
                          </wpg:wgp>
                        </a:graphicData>
                      </a:graphic>
                    </wp:anchor>
                  </w:drawing>
                </mc:Choice>
                <mc:Fallback>
                  <w:pict>
                    <v:group id="_x0000_s1026" o:spid="_x0000_s1026" o:spt="203" style="position:absolute;left:0pt;margin-left:-1.5pt;margin-top:4.65pt;height:287.25pt;width:400.6pt;z-index:251706368;mso-width-relative:page;mso-height-relative:page;" coordorigin="6104,347893" coordsize="8012,5745" o:gfxdata="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">
                      <o:lock v:ext="edit" aspectratio="f"/>
                      <v:rect id="_x0000_s1026" o:spid="_x0000_s1026" o:spt="1" style="position:absolute;left:12245;top:349855;height:605;width:1699;" fillcolor="#FFFFFF" filled="t" stroked="t" coordsize="21600,21600" o:gfxdata="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dab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inset="0mm,0mm,0mm,0mm">
                          <w:txbxContent>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rPr>
                                <w:t>喷淋循环水</w:t>
                              </w:r>
                            </w:p>
                            <w:p>
                              <w:pPr>
                                <w:adjustRightInd w:val="0"/>
                                <w:snapToGrid w:val="0"/>
                                <w:jc w:val="center"/>
                              </w:pPr>
                              <w:r>
                                <w:rPr>
                                  <w:rFonts w:hint="eastAsia" w:ascii="Times New Roman" w:hAnsi="Times New Roman" w:eastAsia="宋体" w:cs="Times New Roman"/>
                                  <w:szCs w:val="21"/>
                                </w:rPr>
                                <w:t>处理系统</w:t>
                              </w:r>
                            </w:p>
                          </w:txbxContent>
                        </v:textbox>
                      </v:rect>
                      <v:rect id="_x0000_s1026" o:spid="_x0000_s1026" o:spt="1" style="position:absolute;left:9318;top:350852;height:367;width:1667;" fillcolor="#FFFFFF" filled="t" stroked="t" coordsize="21600,21600" o:gfxdata="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oE/vK/&#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inset="0mm,0.97mm,0mm,0.97mm">
                          <w:txbxContent>
                            <w:p>
                              <w:pPr>
                                <w:jc w:val="center"/>
                              </w:pPr>
                              <w:r>
                                <w:rPr>
                                  <w:rFonts w:hint="eastAsia"/>
                                </w:rPr>
                                <w:t>废气喷淋系统</w:t>
                              </w:r>
                            </w:p>
                          </w:txbxContent>
                        </v:textbox>
                      </v:rect>
                      <v:rect id="_x0000_s1026" o:spid="_x0000_s1026" o:spt="1" style="position:absolute;left:11141;top:350697;height:381;width:712;" filled="f" stroked="f" coordsize="21600,21600" o:gfxdata="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93CvQAA&#10;ANsAAAAPAAAAAAAAAAEAIAAAACIAAABkcnMvZG93bnJldi54bWxQSwECFAAUAAAACACHTuJAMy8F&#10;njsAAAA5AAAAEAAAAAAAAAABACAAAAAMAQAAZHJzL3NoYXBleG1sLnhtbFBLBQYAAAAABgAGAFsB&#10;AAC2AwAAAAA=&#10;">
                        <v:fill on="f" focussize="0,0"/>
                        <v:stroke on="f"/>
                        <v:imagedata o:title=""/>
                        <o:lock v:ext="edit" aspectratio="f"/>
                        <v:textbox inset="0mm,1.27mm,0mm,1.27mm">
                          <w:txbxContent>
                            <w:p>
                              <w:pPr>
                                <w:jc w:val="center"/>
                              </w:pPr>
                              <w:r>
                                <w:rPr>
                                  <w:rFonts w:hint="eastAsia"/>
                                </w:rPr>
                                <w:t>300</w:t>
                              </w:r>
                            </w:p>
                          </w:txbxContent>
                        </v:textbox>
                      </v:rect>
                      <v:rect id="_x0000_s1026" o:spid="_x0000_s1026" o:spt="1" style="position:absolute;left:9836;top:347893;height:331;width:772;" filled="f" stroked="f" coordsize="21600,21600" o:gfxdata="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7sziO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pPr>
                                <w:jc w:val="center"/>
                                <w:rPr>
                                  <w:rFonts w:hint="default" w:eastAsiaTheme="minorEastAsia"/>
                                  <w:lang w:val="en-US" w:eastAsia="zh-CN"/>
                                </w:rPr>
                              </w:pPr>
                              <w:r>
                                <w:rPr>
                                  <w:rFonts w:hint="eastAsia"/>
                                  <w:lang w:val="en-US" w:eastAsia="zh-CN"/>
                                </w:rPr>
                                <w:t>0.34</w:t>
                              </w:r>
                            </w:p>
                          </w:txbxContent>
                        </v:textbox>
                      </v:rect>
                      <v:rect id="_x0000_s1026" o:spid="_x0000_s1026" o:spt="1" style="position:absolute;left:11302;top:348343;height:462;width:1117;" fillcolor="#FFFFFF" filled="t" stroked="t" coordsize="21600,21600" o:gfxdata="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wii7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hint="eastAsia" w:eastAsiaTheme="minorEastAsia"/>
                                  <w:lang w:val="en-US" w:eastAsia="zh-CN"/>
                                </w:rPr>
                              </w:pPr>
                              <w:r>
                                <w:rPr>
                                  <w:rFonts w:hint="eastAsia"/>
                                  <w:lang w:val="en-US" w:eastAsia="zh-CN"/>
                                </w:rPr>
                                <w:t>化粪池</w:t>
                              </w:r>
                            </w:p>
                          </w:txbxContent>
                        </v:textbox>
                      </v:rect>
                      <v:line id="_x0000_s1026" o:spid="_x0000_s1026" o:spt="20" style="position:absolute;left:8277;top:349941;height:1059;width:4;" filled="f" stroked="t" coordsize="21600,21600" o:gfxdata="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ITo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rect id="_x0000_s1026" o:spid="_x0000_s1026" o:spt="1" style="position:absolute;left:9032;top:348376;height:368;width:1337;" fillcolor="#FFFFFF" filled="t" stroked="t" coordsize="21600,21600" o:gfxdata="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0bHw+2AAAA2wAAAA8A&#10;AAAAAAAAAQAgAAAAIgAAAGRycy9kb3ducmV2LnhtbFBLAQIUABQAAAAIAIdO4kAzLwWeOwAAADkA&#10;AAAQAAAAAAAAAAEAIAAAAAUBAABkcnMvc2hhcGV4bWwueG1sUEsFBgAAAAAGAAYAWwEAAK8DAAAA&#10;AA==&#10;">
                        <v:fill on="t" focussize="0,0"/>
                        <v:stroke color="#000000" joinstyle="miter"/>
                        <v:imagedata o:title=""/>
                        <o:lock v:ext="edit" aspectratio="f"/>
                        <v:textbox inset="2.54mm,0.87mm,2.54mm,0.87mm">
                          <w:txbxContent>
                            <w:p>
                              <w:pPr>
                                <w:jc w:val="center"/>
                              </w:pPr>
                              <w:r>
                                <w:rPr>
                                  <w:rFonts w:hint="eastAsia"/>
                                </w:rPr>
                                <w:t>生活用水</w:t>
                              </w:r>
                            </w:p>
                          </w:txbxContent>
                        </v:textbox>
                      </v:rect>
                      <v:line id="_x0000_s1026" o:spid="_x0000_s1026" o:spt="20" style="position:absolute;left:8305;top:349940;height:0;width:997;" filled="f" stroked="t" coordsize="21600,21600" o:gfxdata="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pDqR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10402;top:348180;height:379;width:740;" filled="f" stroked="f" coordsize="21600,21600" o:gfxdata="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oALR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rPr>
                                  <w:rFonts w:hint="default" w:eastAsiaTheme="minorEastAsia"/>
                                  <w:lang w:val="en-US" w:eastAsia="zh-CN"/>
                                </w:rPr>
                              </w:pPr>
                              <w:r>
                                <w:rPr>
                                  <w:rFonts w:hint="eastAsia"/>
                                  <w:lang w:val="en-US" w:eastAsia="zh-CN"/>
                                </w:rPr>
                                <w:t>1.37</w:t>
                              </w:r>
                            </w:p>
                          </w:txbxContent>
                        </v:textbox>
                      </v:rect>
                      <v:rect id="_x0000_s1026" o:spid="_x0000_s1026" o:spt="1" style="position:absolute;left:9333;top:349740;height:367;width:1103;" fillcolor="#FFFFFF" filled="t" stroked="t" coordsize="21600,21600" o:gfxdata="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ikA565AAAA3AAA&#10;AA8AAAAAAAAAAQAgAAAAIgAAAGRycy9kb3ducmV2LnhtbFBLAQIUABQAAAAIAIdO4kAzLwWeOwAA&#10;ADkAAAAQAAAAAAAAAAEAIAAAAAgBAABkcnMvc2hhcGV4bWwueG1sUEsFBgAAAAAGAAYAWwEAALID&#10;AAAAAA==&#10;">
                        <v:fill on="t" focussize="0,0"/>
                        <v:stroke color="#000000" joinstyle="miter"/>
                        <v:imagedata o:title=""/>
                        <o:lock v:ext="edit" aspectratio="f"/>
                        <v:textbox inset="2.54mm,0.87mm,2.54mm,0.87mm">
                          <w:txbxContent>
                            <w:p>
                              <w:pPr>
                                <w:jc w:val="center"/>
                              </w:pPr>
                              <w:r>
                                <w:rPr>
                                  <w:rFonts w:hint="eastAsia"/>
                                </w:rPr>
                                <w:t>冷却用水</w:t>
                              </w:r>
                            </w:p>
                          </w:txbxContent>
                        </v:textbox>
                      </v:rect>
                      <v:rect id="_x0000_s1026" o:spid="_x0000_s1026" o:spt="1" style="position:absolute;left:8296;top:348204;height:342;width:672;" filled="f" stroked="f" coordsize="21600,21600" o:gfxdata="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4KZu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pPr>
                                <w:adjustRightInd w:val="0"/>
                                <w:snapToGrid w:val="0"/>
                                <w:ind w:firstLine="105" w:firstLineChars="50"/>
                                <w:jc w:val="left"/>
                                <w:rPr>
                                  <w:rFonts w:hint="default" w:eastAsiaTheme="minorEastAsia"/>
                                  <w:lang w:val="en-US" w:eastAsia="zh-CN"/>
                                </w:rPr>
                              </w:pPr>
                              <w:r>
                                <w:rPr>
                                  <w:rFonts w:hint="eastAsia"/>
                                  <w:lang w:val="en-US" w:eastAsia="zh-CN"/>
                                </w:rPr>
                                <w:t>1.71</w:t>
                              </w:r>
                            </w:p>
                          </w:txbxContent>
                        </v:textbox>
                      </v:rect>
                      <v:rect id="_x0000_s1026" o:spid="_x0000_s1026" o:spt="1" style="position:absolute;left:8501;top:349546;height:441;width:672;" filled="f" stroked="f" coordsize="21600,21600" o:gfxdata="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YT4+8AAAA&#10;3AAAAA8AAAAAAAAAAQAgAAAAIgAAAGRycy9kb3ducmV2LnhtbFBLAQIUABQAAAAIAIdO4kAzLwWe&#10;OwAAADkAAAAQAAAAAAAAAAEAIAAAAAsBAABkcnMvc2hhcGV4bWwueG1sUEsFBgAAAAAGAAYAWwEA&#10;ALUDAAAAAA==&#10;">
                        <v:fill on="f" focussize="0,0"/>
                        <v:stroke on="f"/>
                        <v:imagedata o:title=""/>
                        <o:lock v:ext="edit" aspectratio="f"/>
                        <v:textbox inset="0mm,1.27mm,0mm,1.27mm">
                          <w:txbxContent>
                            <w:p>
                              <w:pPr>
                                <w:adjustRightInd w:val="0"/>
                                <w:snapToGrid w:val="0"/>
                                <w:ind w:firstLine="105" w:firstLineChars="50"/>
                                <w:jc w:val="left"/>
                              </w:pPr>
                              <w:r>
                                <w:rPr>
                                  <w:rFonts w:hint="eastAsia"/>
                                </w:rPr>
                                <w:t>2</w:t>
                              </w:r>
                            </w:p>
                          </w:txbxContent>
                        </v:textbox>
                      </v:rect>
                      <v:line id="_x0000_s1026" o:spid="_x0000_s1026" o:spt="20" style="position:absolute;left:7472;top:348562;height:14;width:1596;" filled="f" stroked="t" coordsize="21600,21600" o:gfxdata="UEsDBAoAAAAAAIdO4kAAAAAAAAAAAAAAAAAEAAAAZHJzL1BLAwQUAAAACACHTuJAFA1cab8AAADb&#10;AAAADwAAAGRycy9kb3ducmV2LnhtbEWPT2vCQBTE7wW/w/KE3uomQkuM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NXG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100" style="position:absolute;left:9904;top:348167;height:229;width:166;" filled="f" stroked="t" coordsize="360,338" o:gfxdata="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RhmTL4A&#10;AADcAAAADwAAAAAAAAABACAAAAAiAAAAZHJzL2Rvd25yZXYueG1sUEsBAhQAFAAAAAgAh07iQDMv&#10;BZ47AAAAOQAAABAAAAAAAAAAAQAgAAAADQEAAGRycy9zaGFwZXhtbC54bWxQSwUGAAAAAAYABgBb&#10;AQAAtwMAAAAA&#10;" path="m0,312c75,234,150,156,180,156c210,156,150,338,180,312c210,286,330,52,360,0e">
                        <v:fill on="f" focussize="0,0"/>
                        <v:stroke color="#000000" joinstyle="round" endarrow="block"/>
                        <v:imagedata o:title=""/>
                        <o:lock v:ext="edit" aspectratio="f"/>
                      </v:shape>
                      <v:line id="_x0000_s1026" o:spid="_x0000_s1026" o:spt="20" style="position:absolute;left:10358;top:348534;height:1;width:910;" filled="f" stroked="t" coordsize="21600,21600" o:gfxdata="UEsDBAoAAAAAAIdO4kAAAAAAAAAAAAAAAAAEAAAAZHJzL1BLAwQUAAAACACHTuJA4e3u670AAADc&#10;AAAADwAAAGRycy9kb3ducmV2LnhtbEVPS2vCQBC+F/wPywi91U2klBh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7e7r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100" style="position:absolute;left:9884;top:349508;height:229;width:166;" filled="f" stroked="t" coordsize="360,338" o:gfxdata="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sBfD7sAAADc&#10;AAAADwAAAAAAAAABACAAAAAiAAAAZHJzL2Rvd25yZXYueG1sUEsBAhQAFAAAAAgAh07iQDMvBZ47&#10;AAAAOQAAABAAAAAAAAAAAQAgAAAACgEAAGRycy9zaGFwZXhtbC54bWxQSwUGAAAAAAYABgBbAQAA&#10;tAMAAAAA&#10;" path="m0,312c75,234,150,156,180,156c210,156,150,338,180,312c210,286,330,52,360,0e">
                        <v:fill on="f" focussize="0,0"/>
                        <v:stroke color="#000000" joinstyle="round" endarrow="block"/>
                        <v:imagedata o:title=""/>
                        <o:lock v:ext="edit" aspectratio="f"/>
                      </v:shape>
                      <v:line id="_x0000_s1026" o:spid="_x0000_s1026" o:spt="20" style="position:absolute;left:10474;top:349998;height:11;width:1759;" filled="f" stroked="t" coordsize="21600,21600" o:gfxdata="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q+xE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6104;top:349417;height:398;width:1103;" fillcolor="#FFFFFF" filled="t" stroked="t" coordsize="21600,21600" o:gfxdata="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6XB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inset="2.54mm,1.27mm,2.54mm,0.67mm">
                          <w:txbxContent>
                            <w:p>
                              <w:pPr>
                                <w:jc w:val="center"/>
                              </w:pPr>
                              <w:r>
                                <w:rPr>
                                  <w:rFonts w:hint="eastAsia"/>
                                </w:rPr>
                                <w:t>水</w:t>
                              </w:r>
                            </w:p>
                          </w:txbxContent>
                        </v:textbox>
                      </v:rect>
                      <v:rect id="_x0000_s1026" o:spid="_x0000_s1026" o:spt="1" style="position:absolute;left:9751;top:350293;height:498;width:712;" filled="f" stroked="f" coordsize="21600,21600" o:gfxdata="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BVFir4A&#10;AADcAAAADwAAAAAAAAABACAAAAAiAAAAZHJzL2Rvd25yZXYueG1sUEsBAhQAFAAAAAgAh07iQDMv&#10;BZ47AAAAOQAAABAAAAAAAAAAAQAgAAAADQEAAGRycy9zaGFwZXhtbC54bWxQSwUGAAAAAAYABgBb&#10;AQAAtwMAAAAA&#10;">
                        <v:fill on="f" focussize="0,0"/>
                        <v:stroke on="f"/>
                        <v:imagedata o:title=""/>
                        <o:lock v:ext="edit" aspectratio="f"/>
                        <v:textbox inset="0mm,1.27mm,0mm,1.27mm">
                          <w:txbxContent>
                            <w:p>
                              <w:pPr>
                                <w:jc w:val="center"/>
                              </w:pPr>
                              <w:r>
                                <w:rPr>
                                  <w:rFonts w:hint="eastAsia"/>
                                </w:rPr>
                                <w:t>6</w:t>
                              </w:r>
                            </w:p>
                          </w:txbxContent>
                        </v:textbox>
                      </v:rect>
                      <v:shape id="_x0000_s1026" o:spid="_x0000_s1026" o:spt="100" style="position:absolute;left:9985;top:350631;height:229;width:166;" filled="f" stroked="t" coordsize="360,338" o:gfxdata="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jVUKugAAANwA&#10;AAAPAAAAAAAAAAEAIAAAACIAAABkcnMvZG93bnJldi54bWxQSwECFAAUAAAACACHTuJAMy8FnjsA&#10;AAA5AAAAEAAAAAAAAAABACAAAAAJAQAAZHJzL3NoYXBleG1sLnhtbFBLBQYAAAAABgAGAFsBAACz&#10;AwAAAAA=&#10;" path="m0,312c75,234,150,156,180,156c210,156,150,338,180,312c210,286,330,52,360,0e">
                        <v:fill on="f" focussize="0,0"/>
                        <v:stroke color="#000000" joinstyle="round" endarrow="block"/>
                        <v:imagedata o:title=""/>
                        <o:lock v:ext="edit" aspectratio="f"/>
                      </v:shape>
                      <v:line id="_x0000_s1026" o:spid="_x0000_s1026" o:spt="20" style="position:absolute;left:8293;top:351014;height:0;width:997;" filled="f" stroked="t" coordsize="21600,21600" o:gfxdata="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7YhsW&#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rect id="_x0000_s1026" o:spid="_x0000_s1026" o:spt="1" style="position:absolute;left:8623;top:350551;height:441;width:672;" filled="f" stroked="f" coordsize="21600,21600" o:gfxdata="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0MmqrsAAADc&#10;AAAADwAAAAAAAAABACAAAAAiAAAAZHJzL2Rvd25yZXYueG1sUEsBAhQAFAAAAAgAh07iQDMvBZ47&#10;AAAAOQAAABAAAAAAAAAAAQAgAAAACgEAAGRycy9zaGFwZXhtbC54bWxQSwUGAAAAAAYABgBbAQAA&#10;tAMAAAAA&#10;">
                        <v:fill on="f" focussize="0,0"/>
                        <v:stroke on="f"/>
                        <v:imagedata o:title=""/>
                        <o:lock v:ext="edit" aspectratio="f"/>
                        <v:textbox inset="0mm,1.27mm,0mm,1.27mm">
                          <w:txbxContent>
                            <w:p>
                              <w:pPr>
                                <w:adjustRightInd w:val="0"/>
                                <w:snapToGrid w:val="0"/>
                                <w:ind w:firstLine="105" w:firstLineChars="50"/>
                                <w:jc w:val="left"/>
                              </w:pPr>
                              <w:r>
                                <w:rPr>
                                  <w:rFonts w:hint="eastAsia"/>
                                </w:rPr>
                                <w:t>6</w:t>
                              </w:r>
                            </w:p>
                          </w:txbxContent>
                        </v:textbox>
                      </v:rect>
                      <v:line id="_x0000_s1026" o:spid="_x0000_s1026" o:spt="20" style="position:absolute;left:9893;top:350099;flip:y;height:278;width:5;" filled="f" stroked="t" coordsize="21600,21600" o:gfxdata="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QixK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12922;top:350503;flip:x y;height:588;width:1;" filled="f" stroked="t" coordsize="21600,21600" o:gfxdata="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DtEy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rect id="_x0000_s1026" o:spid="_x0000_s1026" o:spt="1" style="position:absolute;left:9739;top:349132;height:459;width:672;" filled="f" stroked="f" coordsize="21600,21600" o:gfxdata="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zSFMrsAAADc&#10;AAAADwAAAAAAAAABACAAAAAiAAAAZHJzL2Rvd25yZXYueG1sUEsBAhQAFAAAAAgAh07iQDMvBZ47&#10;AAAAOQAAABAAAAAAAAAAAQAgAAAACgEAAGRycy9zaGFwZXhtbC54bWxQSwUGAAAAAAYABgBbAQAA&#10;tAMAAAAA&#10;">
                        <v:fill on="f" focussize="0,0"/>
                        <v:stroke on="f"/>
                        <v:imagedata o:title=""/>
                        <o:lock v:ext="edit" aspectratio="f"/>
                        <v:textbox inset="0mm,1.27mm,0mm,1.27mm">
                          <w:txbxContent>
                            <w:p>
                              <w:pPr>
                                <w:adjustRightInd w:val="0"/>
                                <w:snapToGrid w:val="0"/>
                                <w:ind w:firstLine="105" w:firstLineChars="50"/>
                                <w:jc w:val="left"/>
                              </w:pPr>
                              <w:r>
                                <w:rPr>
                                  <w:rFonts w:hint="eastAsia"/>
                                </w:rPr>
                                <w:t>2</w:t>
                              </w:r>
                            </w:p>
                          </w:txbxContent>
                        </v:textbox>
                      </v:rect>
                      <v:line id="_x0000_s1026" o:spid="_x0000_s1026" o:spt="20" style="position:absolute;left:9893;top:350369;height:6;width:2327;" filled="f" stroked="t" coordsize="21600,21600" o:gfxdata="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pVd8f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rect id="_x0000_s1026" o:spid="_x0000_s1026" o:spt="1" style="position:absolute;left:10944;top:349889;height:425;width:672;" filled="f" stroked="f" coordsize="21600,21600" o:gfxdata="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Kq+3rsAAADc&#10;AAAADwAAAAAAAAABACAAAAAiAAAAZHJzL2Rvd25yZXYueG1sUEsBAhQAFAAAAAgAh07iQDMvBZ47&#10;AAAAOQAAABAAAAAAAAAAAQAgAAAACgEAAGRycy9zaGFwZXhtbC54bWxQSwUGAAAAAAYABgBbAQAA&#10;tAMAAAAA&#10;">
                        <v:fill on="f" focussize="0,0"/>
                        <v:stroke on="f"/>
                        <v:imagedata o:title=""/>
                        <o:lock v:ext="edit" aspectratio="f"/>
                        <v:textbox inset="0mm,1.27mm,0mm,1.27mm">
                          <w:txbxContent>
                            <w:p>
                              <w:pPr>
                                <w:adjustRightInd w:val="0"/>
                                <w:snapToGrid w:val="0"/>
                                <w:ind w:firstLine="105" w:firstLineChars="50"/>
                                <w:jc w:val="left"/>
                                <w:rPr>
                                  <w:rFonts w:hint="default" w:eastAsiaTheme="minorEastAsia"/>
                                  <w:lang w:val="en-US" w:eastAsia="zh-CN"/>
                                </w:rPr>
                              </w:pPr>
                              <w:r>
                                <w:rPr>
                                  <w:rFonts w:hint="eastAsia"/>
                                </w:rPr>
                                <w:t>0.</w:t>
                              </w:r>
                              <w:r>
                                <w:rPr>
                                  <w:rFonts w:hint="eastAsia"/>
                                  <w:lang w:val="en-US" w:eastAsia="zh-CN"/>
                                </w:rPr>
                                <w:t>08</w:t>
                              </w:r>
                            </w:p>
                          </w:txbxContent>
                        </v:textbox>
                      </v:rect>
                      <v:rect id="_x0000_s1026" o:spid="_x0000_s1026" o:spt="1" style="position:absolute;left:10947;top:350309;height:460;width:672;" filled="f" stroked="f" coordsize="21600,21600" o:gfxdata="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YbRbsAAADc&#10;AAAADwAAAAAAAAABACAAAAAiAAAAZHJzL2Rvd25yZXYueG1sUEsBAhQAFAAAAAgAh07iQDMvBZ47&#10;AAAAOQAAABAAAAAAAAAAAQAgAAAACgEAAGRycy9zaGFwZXhtbC54bWxQSwUGAAAAAAYABgBbAQAA&#10;tAMAAAAA&#10;">
                        <v:fill on="f" focussize="0,0"/>
                        <v:stroke on="f"/>
                        <v:imagedata o:title=""/>
                        <o:lock v:ext="edit" aspectratio="f"/>
                        <v:textbox inset="0mm,1.27mm,0mm,1.27mm">
                          <w:txbxContent>
                            <w:p>
                              <w:pPr>
                                <w:adjustRightInd w:val="0"/>
                                <w:snapToGrid w:val="0"/>
                                <w:ind w:firstLine="105" w:firstLineChars="50"/>
                                <w:jc w:val="left"/>
                                <w:rPr>
                                  <w:rFonts w:hint="default" w:eastAsiaTheme="minorEastAsia"/>
                                  <w:lang w:val="en-US" w:eastAsia="zh-CN"/>
                                </w:rPr>
                              </w:pPr>
                              <w:r>
                                <w:rPr>
                                  <w:rFonts w:hint="eastAsia"/>
                                </w:rPr>
                                <w:t>0.</w:t>
                              </w:r>
                              <w:r>
                                <w:rPr>
                                  <w:rFonts w:hint="eastAsia"/>
                                  <w:lang w:val="en-US" w:eastAsia="zh-CN"/>
                                </w:rPr>
                                <w:t>08</w:t>
                              </w:r>
                            </w:p>
                          </w:txbxContent>
                        </v:textbox>
                      </v:rect>
                      <v:line id="_x0000_s1026" o:spid="_x0000_s1026" o:spt="20" style="position:absolute;left:9975;top:351447;height:12;width:3281;" filled="f" stroked="t" coordsize="21600,21600" o:gfxdata="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dUcIG/&#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13255;top:350498;height:973;width:9;" filled="f" stroked="t" coordsize="21600,21600" o:gfxdata="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GNUa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7461;top:348544;flip:x;height:4966;width:1;" filled="f" stroked="t" coordsize="21600,21600" o:gfxdata="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MUeC7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453;top:350494;flip:y;height:1;width:845;" filled="f" stroked="t" coordsize="21600,21600" o:gfxdata="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SSTg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7579;top:350113;height:367;width:672;" filled="f" stroked="f" coordsize="21600,21600" o:gfxdata="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kguALsAAADc&#10;AAAADwAAAAAAAAABACAAAAAiAAAAZHJzL2Rvd25yZXYueG1sUEsBAhQAFAAAAAgAh07iQDMvBZ47&#10;AAAAOQAAABAAAAAAAAAAAQAgAAAACgEAAGRycy9zaGFwZXhtbC54bWxQSwUGAAAAAAYABgBbAQAA&#10;tAMAAAAA&#10;">
                        <v:fill on="f" focussize="0,0"/>
                        <v:stroke on="f"/>
                        <v:imagedata o:title=""/>
                        <o:lock v:ext="edit" aspectratio="f"/>
                        <v:textbox inset="0mm,1.27mm,0mm,1.27mm">
                          <w:txbxContent>
                            <w:p>
                              <w:pPr>
                                <w:ind w:left="-105" w:leftChars="-50"/>
                                <w:jc w:val="center"/>
                                <w:rPr>
                                  <w:szCs w:val="21"/>
                                </w:rPr>
                              </w:pPr>
                              <w:r>
                                <w:rPr>
                                  <w:rFonts w:hint="eastAsia"/>
                                  <w:szCs w:val="21"/>
                                </w:rPr>
                                <w:t>8</w:t>
                              </w:r>
                            </w:p>
                          </w:txbxContent>
                        </v:textbox>
                      </v:rect>
                      <v:line id="_x0000_s1026" o:spid="_x0000_s1026" o:spt="20" style="position:absolute;left:10003;top:351193;flip:y;height:278;width:5;" filled="f" stroked="t" coordsize="21600,21600" o:gfxdata="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1x8M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11969;top:351114;height:381;width:712;" filled="f" stroked="f" coordsize="21600,21600" o:gfxdata="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7RPvvQAA&#10;ANwAAAAPAAAAAAAAAAEAIAAAACIAAABkcnMvZG93bnJldi54bWxQSwECFAAUAAAACACHTuJAMy8F&#10;njsAAAA5AAAAEAAAAAAAAAABACAAAAAMAQAAZHJzL3NoYXBleG1sLnhtbFBLBQYAAAAABgAGAFsB&#10;AAC2AwAAAAA=&#10;">
                        <v:fill on="f" focussize="0,0"/>
                        <v:stroke on="f"/>
                        <v:imagedata o:title=""/>
                        <o:lock v:ext="edit" aspectratio="f"/>
                        <v:textbox inset="0mm,1.27mm,0mm,1.27mm">
                          <w:txbxContent>
                            <w:p>
                              <w:pPr>
                                <w:jc w:val="center"/>
                              </w:pPr>
                              <w:r>
                                <w:rPr>
                                  <w:rFonts w:hint="eastAsia"/>
                                </w:rPr>
                                <w:t>300</w:t>
                              </w:r>
                            </w:p>
                          </w:txbxContent>
                        </v:textbox>
                      </v:rect>
                      <v:line id="_x0000_s1026" o:spid="_x0000_s1026" o:spt="20" style="position:absolute;left:10308;top:349379;height:11;width:1194;" filled="f" stroked="t" coordsize="21600,21600" o:gfxdata="UEsDBAoAAAAAAIdO4kAAAAAAAAAAAAAAAAAEAAAAZHJzL1BLAwQUAAAACACHTuJArswuU70AAADc&#10;AAAADwAAAGRycy9kb3ducmV2LnhtbEVPS2vCQBC+F/wPywi91U2E1hB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zC5T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10284;top:349393;flip:x;height:336;width:6;" filled="f" stroked="t" coordsize="21600,21600" o:gfxdata="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GAj5L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rect id="_x0000_s1026" o:spid="_x0000_s1026" o:spt="1" style="position:absolute;left:11536;top:349100;height:462;width:1736;" fillcolor="#FFFFFF" filled="t" stroked="t" coordsize="21600,21600" o:gfxdata="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cekxa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jc w:val="center"/>
                              </w:pPr>
                              <w:r>
                                <w:rPr>
                                  <w:rFonts w:hint="eastAsia"/>
                                </w:rPr>
                                <w:t>冷却水循环水池</w:t>
                              </w:r>
                            </w:p>
                          </w:txbxContent>
                        </v:textbox>
                      </v:rect>
                      <v:line id="_x0000_s1026" o:spid="_x0000_s1026" o:spt="20" style="position:absolute;left:7182;top:349614;flip:x y;height:4;width:295;" filled="f" stroked="t" coordsize="21600,21600" o:gfxdata="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ji4w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0975;top:351054;flip:x y;height:3;width:1937;" filled="f" stroked="t" coordsize="21600,21600" o:gfxdata="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cKLq7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12050;top:349580;flip:x;height:221;width:6;" filled="f" stroked="t" coordsize="21600,21600" o:gfxdata="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RBuLL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10441;top:349797;flip:x;height:12;width:1619;" filled="f" stroked="t" coordsize="21600,21600" o:gfxdata="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nFTH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10821;top:349438;height:392;width:672;" filled="f" stroked="f" coordsize="21600,21600" o:gfxdata="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OdXie8AAAA&#10;3AAAAA8AAAAAAAAAAQAgAAAAIgAAAGRycy9kb3ducmV2LnhtbFBLAQIUABQAAAAIAIdO4kAzLwWe&#10;OwAAADkAAAAQAAAAAAAAAAEAIAAAAAsBAABkcnMvc2hhcGV4bWwueG1sUEsFBgAAAAAGAAYAWwEA&#10;ALUDAAAAAA==&#10;">
                        <v:fill on="f" focussize="0,0"/>
                        <v:stroke on="f"/>
                        <v:imagedata o:title=""/>
                        <o:lock v:ext="edit" aspectratio="f"/>
                        <v:textbox inset="0mm,1.27mm,0mm,1.27mm">
                          <w:txbxContent>
                            <w:p>
                              <w:pPr>
                                <w:adjustRightInd w:val="0"/>
                                <w:snapToGrid w:val="0"/>
                                <w:ind w:firstLine="105" w:firstLineChars="50"/>
                                <w:jc w:val="left"/>
                              </w:pPr>
                              <w:r>
                                <w:rPr>
                                  <w:rFonts w:hint="eastAsia"/>
                                </w:rPr>
                                <w:t>100</w:t>
                              </w:r>
                            </w:p>
                          </w:txbxContent>
                        </v:textbox>
                      </v:rect>
                      <v:rect id="_x0000_s1026" o:spid="_x0000_s1026" o:spt="1" style="position:absolute;left:10806;top:348940;height:410;width:672;" filled="f" stroked="f" coordsize="21600,21600" o:gfxdata="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0fu8vQAA&#10;ANwAAAAPAAAAAAAAAAEAIAAAACIAAABkcnMvZG93bnJldi54bWxQSwECFAAUAAAACACHTuJAMy8F&#10;njsAAAA5AAAAEAAAAAAAAAABACAAAAAMAQAAZHJzL3NoYXBleG1sLnhtbFBLBQYAAAAABgAGAFsB&#10;AAC2AwAAAAA=&#10;">
                        <v:fill on="f" focussize="0,0"/>
                        <v:stroke on="f"/>
                        <v:imagedata o:title=""/>
                        <o:lock v:ext="edit" aspectratio="f"/>
                        <v:textbox inset="0mm,1.27mm,0mm,1.27mm">
                          <w:txbxContent>
                            <w:p>
                              <w:pPr>
                                <w:adjustRightInd w:val="0"/>
                                <w:snapToGrid w:val="0"/>
                                <w:ind w:firstLine="105" w:firstLineChars="50"/>
                                <w:jc w:val="left"/>
                              </w:pPr>
                              <w:r>
                                <w:rPr>
                                  <w:rFonts w:hint="eastAsia"/>
                                </w:rPr>
                                <w:t>100</w:t>
                              </w:r>
                            </w:p>
                          </w:txbxContent>
                        </v:textbox>
                      </v:rect>
                      <v:rect id="_x0000_s1026" o:spid="_x0000_s1026" o:spt="1" style="position:absolute;left:7565;top:352055;height:367;width:672;" filled="f" stroked="f" coordsize="21600,21600" o:gfxdata="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OGPIvQAA&#10;ANwAAAAPAAAAAAAAAAEAIAAAACIAAABkcnMvZG93bnJldi54bWxQSwECFAAUAAAACACHTuJAMy8F&#10;njsAAAA5AAAAEAAAAAAAAAABACAAAAAMAQAAZHJzL3NoYXBleG1sLnhtbFBLBQYAAAAABgAGAFsB&#10;AAC2AwAAAAA=&#10;">
                        <v:fill on="f" focussize="0,0"/>
                        <v:stroke on="f"/>
                        <v:imagedata o:title=""/>
                        <o:lock v:ext="edit" aspectratio="f"/>
                        <v:textbox inset="0mm,1.27mm,0mm,1.27mm">
                          <w:txbxContent>
                            <w:p>
                              <w:pPr>
                                <w:ind w:left="-105" w:leftChars="-50"/>
                                <w:jc w:val="center"/>
                                <w:rPr>
                                  <w:rFonts w:hint="default" w:eastAsiaTheme="minorEastAsia"/>
                                  <w:szCs w:val="21"/>
                                  <w:lang w:val="en-US" w:eastAsia="zh-CN"/>
                                </w:rPr>
                              </w:pPr>
                              <w:r>
                                <w:rPr>
                                  <w:rFonts w:hint="eastAsia"/>
                                  <w:szCs w:val="21"/>
                                  <w:lang w:val="en-US" w:eastAsia="zh-CN"/>
                                </w:rPr>
                                <w:t>1.8</w:t>
                              </w:r>
                            </w:p>
                          </w:txbxContent>
                        </v:textbox>
                      </v:rect>
                      <v:line id="_x0000_s1026" o:spid="_x0000_s1026" o:spt="20" style="position:absolute;left:7479;top:352449;flip:y;height:1;width:985;" filled="f" stroked="t" coordsize="21600,21600" o:gfxdata="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p1LE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8463;top:352243;height:368;width:1292;" fillcolor="#FFFFFF" filled="t" stroked="t" coordsize="21600,21600" o:gfxdata="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rOMQbgAAADc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inset="2.54mm,0.87mm,2.54mm,0.87mm">
                          <w:txbxContent>
                            <w:p>
                              <w:pPr>
                                <w:jc w:val="center"/>
                              </w:pPr>
                              <w:r>
                                <w:rPr>
                                  <w:rFonts w:hint="eastAsia"/>
                                </w:rPr>
                                <w:t>绿化用水</w:t>
                              </w:r>
                            </w:p>
                          </w:txbxContent>
                        </v:textbox>
                      </v:rect>
                      <v:shape id="_x0000_s1026" o:spid="_x0000_s1026" o:spt="100" style="position:absolute;left:9050;top:352024;height:229;width:166;" filled="f" stroked="t" coordsize="360,338" o:gfxdata="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PkikugAAANwA&#10;AAAPAAAAAAAAAAEAIAAAACIAAABkcnMvZG93bnJldi54bWxQSwECFAAUAAAACACHTuJAMy8FnjsA&#10;AAA5AAAAEAAAAAAAAAABACAAAAAJAQAAZHJzL3NoYXBleG1sLnhtbFBLBQYAAAAABgAGAFsBAACz&#10;AwAAAAA=&#10;" path="m0,312c75,234,150,156,180,156c210,156,150,338,180,312c210,286,330,52,360,0e">
                        <v:fill on="f" focussize="0,0"/>
                        <v:stroke color="#000000" joinstyle="round" endarrow="block"/>
                        <v:imagedata o:title=""/>
                        <o:lock v:ext="edit" aspectratio="f"/>
                      </v:shape>
                      <v:rect id="_x0000_s1026" o:spid="_x0000_s1026" o:spt="1" style="position:absolute;left:9019;top:351679;height:493;width:672;" filled="f" stroked="f" coordsize="21600,21600" o:gfxdata="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Vpzb4A&#10;AADcAAAADwAAAAAAAAABACAAAAAiAAAAZHJzL2Rvd25yZXYueG1sUEsBAhQAFAAAAAgAh07iQDMv&#10;BZ47AAAAOQAAABAAAAAAAAAAAQAgAAAADQEAAGRycy9zaGFwZXhtbC54bWxQSwUGAAAAAAYABgBb&#10;AQAAtwMAAAAA&#10;">
                        <v:fill on="f" focussize="0,0"/>
                        <v:stroke on="f"/>
                        <v:imagedata o:title=""/>
                        <o:lock v:ext="edit" aspectratio="f"/>
                        <v:textbox inset="0mm,1.27mm,0mm,1.27mm">
                          <w:txbxContent>
                            <w:p>
                              <w:pPr>
                                <w:adjustRightInd w:val="0"/>
                                <w:snapToGrid w:val="0"/>
                                <w:ind w:firstLine="105" w:firstLineChars="50"/>
                                <w:jc w:val="left"/>
                                <w:rPr>
                                  <w:rFonts w:hint="default" w:eastAsiaTheme="minorEastAsia"/>
                                  <w:lang w:val="en-US" w:eastAsia="zh-CN"/>
                                </w:rPr>
                              </w:pPr>
                              <w:r>
                                <w:rPr>
                                  <w:rFonts w:hint="eastAsia"/>
                                  <w:lang w:val="en-US" w:eastAsia="zh-CN"/>
                                </w:rPr>
                                <w:t>1.8</w:t>
                              </w:r>
                            </w:p>
                          </w:txbxContent>
                        </v:textbox>
                      </v:rect>
                      <v:line id="_x0000_s1026" o:spid="_x0000_s1026" o:spt="20" style="position:absolute;left:7456;top:353489;flip:y;height:1;width:985;" filled="f" stroked="t" coordsize="21600,21600" o:gfxdata="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MmGC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rect id="_x0000_s1026" o:spid="_x0000_s1026" o:spt="1" style="position:absolute;left:7593;top:353120;height:367;width:672;" filled="f" stroked="f" coordsize="21600,21600" o:gfxdata="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tUI68AAAA&#10;3AAAAA8AAAAAAAAAAQAgAAAAIgAAAGRycy9kb3ducmV2LnhtbFBLAQIUABQAAAAIAIdO4kAzLwWe&#10;OwAAADkAAAAQAAAAAAAAAAEAIAAAAAsBAABkcnMvc2hhcGV4bWwueG1sUEsFBgAAAAAGAAYAWwEA&#10;ALUDAAAAAA==&#10;">
                        <v:fill on="f" focussize="0,0"/>
                        <v:stroke on="f"/>
                        <v:imagedata o:title=""/>
                        <o:lock v:ext="edit" aspectratio="f"/>
                        <v:textbox inset="0mm,1.27mm,0mm,1.27mm">
                          <w:txbxContent>
                            <w:p>
                              <w:pPr>
                                <w:ind w:left="-105" w:leftChars="-50"/>
                                <w:jc w:val="center"/>
                                <w:rPr>
                                  <w:rFonts w:hint="default" w:eastAsiaTheme="minorEastAsia"/>
                                  <w:szCs w:val="21"/>
                                  <w:lang w:val="en-US" w:eastAsia="zh-CN"/>
                                </w:rPr>
                              </w:pPr>
                              <w:r>
                                <w:rPr>
                                  <w:rFonts w:hint="eastAsia"/>
                                  <w:szCs w:val="21"/>
                                  <w:lang w:val="en-US" w:eastAsia="zh-CN"/>
                                </w:rPr>
                                <w:t>4.0</w:t>
                              </w:r>
                            </w:p>
                          </w:txbxContent>
                        </v:textbox>
                      </v:rect>
                      <v:rect id="_x0000_s1026" o:spid="_x0000_s1026" o:spt="1" style="position:absolute;left:8453;top:353270;height:368;width:1315;" fillcolor="#FFFFFF" filled="t" stroked="t" coordsize="21600,21600" o:gfxdata="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42oanLgAAADcAAAA&#10;DwAAAAAAAAABACAAAAAiAAAAZHJzL2Rvd25yZXYueG1sUEsBAhQAFAAAAAgAh07iQDMvBZ47AAAA&#10;OQAAABAAAAAAAAAAAQAgAAAABwEAAGRycy9zaGFwZXhtbC54bWxQSwUGAAAAAAYABgBbAQAAsQMA&#10;AAAA&#10;">
                        <v:fill on="t" focussize="0,0"/>
                        <v:stroke color="#000000" joinstyle="miter"/>
                        <v:imagedata o:title=""/>
                        <o:lock v:ext="edit" aspectratio="f"/>
                        <v:textbox inset="2.54mm,0.87mm,2.54mm,0.87mm">
                          <w:txbxContent>
                            <w:p>
                              <w:pPr>
                                <w:jc w:val="center"/>
                              </w:pPr>
                              <w:r>
                                <w:rPr>
                                  <w:rFonts w:hint="eastAsia"/>
                                  <w:lang w:val="en-US" w:eastAsia="zh-CN"/>
                                </w:rPr>
                                <w:t>道路洒</w:t>
                              </w:r>
                              <w:r>
                                <w:rPr>
                                  <w:rFonts w:hint="eastAsia"/>
                                </w:rPr>
                                <w:t>水</w:t>
                              </w:r>
                            </w:p>
                          </w:txbxContent>
                        </v:textbox>
                      </v:rect>
                      <v:shape id="_x0000_s1026" o:spid="_x0000_s1026" o:spt="100" style="position:absolute;left:8903;top:353064;height:229;width:166;" filled="f" stroked="t" coordsize="360,338" o:gfxdata="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5955ugAAANwA&#10;AAAPAAAAAAAAAAEAIAAAACIAAABkcnMvZG93bnJldi54bWxQSwECFAAUAAAACACHTuJAMy8FnjsA&#10;AAA5AAAAEAAAAAAAAAABACAAAAAJAQAAZHJzL3NoYXBleG1sLnhtbFBLBQYAAAAABgAGAFsBAACz&#10;AwAAAAA=&#10;" path="m0,312c75,234,150,156,180,156c210,156,150,338,180,312c210,286,330,52,360,0e">
                        <v:fill on="f" focussize="0,0"/>
                        <v:stroke color="#000000" joinstyle="round" endarrow="block"/>
                        <v:imagedata o:title=""/>
                        <o:lock v:ext="edit" aspectratio="f"/>
                      </v:shape>
                      <v:rect id="_x0000_s1026" o:spid="_x0000_s1026" o:spt="1" style="position:absolute;left:8934;top:352694;height:493;width:672;" filled="f" stroked="f" coordsize="21600,21600" o:gfxdata="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6z/EL4A&#10;AADcAAAADwAAAAAAAAABACAAAAAiAAAAZHJzL2Rvd25yZXYueG1sUEsBAhQAFAAAAAgAh07iQDMv&#10;BZ47AAAAOQAAABAAAAAAAAAAAQAgAAAADQEAAGRycy9zaGFwZXhtbC54bWxQSwUGAAAAAAYABgBb&#10;AQAAtwMAAAAA&#10;">
                        <v:fill on="f" focussize="0,0"/>
                        <v:stroke on="f"/>
                        <v:imagedata o:title=""/>
                        <o:lock v:ext="edit" aspectratio="f"/>
                        <v:textbox inset="0mm,1.27mm,0mm,1.27mm">
                          <w:txbxContent>
                            <w:p>
                              <w:pPr>
                                <w:adjustRightInd w:val="0"/>
                                <w:snapToGrid w:val="0"/>
                                <w:ind w:firstLine="105" w:firstLineChars="50"/>
                                <w:jc w:val="left"/>
                                <w:rPr>
                                  <w:rFonts w:hint="default" w:eastAsiaTheme="minorEastAsia"/>
                                  <w:lang w:val="en-US" w:eastAsia="zh-CN"/>
                                </w:rPr>
                              </w:pPr>
                              <w:r>
                                <w:rPr>
                                  <w:rFonts w:hint="eastAsia"/>
                                  <w:lang w:val="en-US" w:eastAsia="zh-CN"/>
                                </w:rPr>
                                <w:t>4.0</w:t>
                              </w:r>
                            </w:p>
                          </w:txbxContent>
                        </v:textbox>
                      </v:rect>
                      <v:line id="_x0000_s1026" o:spid="_x0000_s1026" o:spt="20" style="position:absolute;left:12451;top:348559;flip:y;height:1;width:556;"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13000;top:348208;height:698;width:1117;"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pPr>
                                <w:jc w:val="center"/>
                                <w:rPr>
                                  <w:rFonts w:hint="default" w:eastAsiaTheme="minorEastAsia"/>
                                  <w:lang w:val="en-US" w:eastAsia="zh-CN"/>
                                </w:rPr>
                              </w:pPr>
                              <w:r>
                                <w:rPr>
                                  <w:rFonts w:hint="eastAsia"/>
                                  <w:lang w:val="en-US" w:eastAsia="zh-CN"/>
                                </w:rPr>
                                <w:t>污水处理厂</w:t>
                              </w:r>
                            </w:p>
                          </w:txbxContent>
                        </v:textbox>
                      </v:rect>
                    </v:group>
                  </w:pict>
                </mc:Fallback>
              </mc:AlternateContent>
            </w: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jc w:val="center"/>
              <w:rPr>
                <w:rFonts w:ascii="Times New Roman" w:hAnsi="Times New Roman" w:eastAsia="宋体" w:cs="Times New Roman"/>
                <w:color w:val="auto"/>
                <w:szCs w:val="24"/>
                <w:lang w:bidi="ar"/>
              </w:rPr>
            </w:pPr>
            <w:r>
              <w:rPr>
                <w:rFonts w:ascii="Times New Roman" w:hAnsi="Times New Roman" w:eastAsia="宋体" w:cs="Times New Roman"/>
                <w:color w:val="auto"/>
                <w:sz w:val="24"/>
                <w:szCs w:val="32"/>
                <w:lang w:bidi="ar"/>
              </w:rPr>
              <w:t>图2-1  本项目水平衡图  单位m</w:t>
            </w:r>
            <w:r>
              <w:rPr>
                <w:rFonts w:ascii="Times New Roman" w:hAnsi="Times New Roman" w:eastAsia="宋体" w:cs="Times New Roman"/>
                <w:color w:val="auto"/>
                <w:sz w:val="24"/>
                <w:szCs w:val="32"/>
                <w:vertAlign w:val="superscript"/>
                <w:lang w:bidi="ar"/>
              </w:rPr>
              <w:t>3</w:t>
            </w:r>
            <w:r>
              <w:rPr>
                <w:rFonts w:ascii="Times New Roman" w:hAnsi="Times New Roman" w:eastAsia="宋体" w:cs="Times New Roman"/>
                <w:color w:val="auto"/>
                <w:sz w:val="24"/>
                <w:szCs w:val="32"/>
                <w:lang w:bidi="ar"/>
              </w:rPr>
              <w:t>/d</w:t>
            </w: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widowControl/>
              <w:spacing w:line="460" w:lineRule="exact"/>
              <w:jc w:val="center"/>
              <w:rPr>
                <w:rFonts w:hint="eastAsia" w:ascii="Times New Roman" w:hAnsi="Times New Roman" w:eastAsia="宋体" w:cs="Times New Roman"/>
                <w:color w:val="auto"/>
                <w:sz w:val="24"/>
                <w:szCs w:val="32"/>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pPr>
              <w:widowControl/>
              <w:adjustRightInd w:val="0"/>
              <w:snapToGrid w:val="0"/>
              <w:jc w:val="center"/>
              <w:rPr>
                <w:rFonts w:ascii="Times New Roman" w:hAnsi="Times New Roman" w:eastAsia="宋体" w:cs="Times New Roman"/>
                <w:color w:val="auto"/>
                <w:kern w:val="0"/>
                <w:szCs w:val="21"/>
              </w:rPr>
            </w:pPr>
            <w:r>
              <w:rPr>
                <w:rFonts w:ascii="Times New Roman" w:hAnsi="Times New Roman" w:eastAsia="宋体" w:cs="Times New Roman"/>
                <w:color w:val="auto"/>
                <w:kern w:val="0"/>
                <w:sz w:val="24"/>
                <w:szCs w:val="24"/>
              </w:rPr>
              <w:t>工艺流程和产排污环节</w:t>
            </w:r>
          </w:p>
        </w:tc>
        <w:tc>
          <w:tcPr>
            <w:tcW w:w="8205" w:type="dxa"/>
          </w:tcPr>
          <w:p>
            <w:pPr>
              <w:adjustRightInd w:val="0"/>
              <w:snapToGrid w:val="0"/>
              <w:spacing w:line="460" w:lineRule="exact"/>
              <w:rPr>
                <w:rFonts w:ascii="Times New Roman" w:hAnsi="Times New Roman" w:eastAsia="宋体" w:cs="Times New Roman"/>
                <w:b/>
                <w:bCs/>
                <w:color w:val="auto"/>
                <w:sz w:val="24"/>
                <w:szCs w:val="32"/>
              </w:rPr>
            </w:pPr>
            <w:r>
              <w:rPr>
                <w:rFonts w:ascii="Times New Roman" w:hAnsi="Times New Roman" w:eastAsia="宋体" w:cs="Times New Roman"/>
                <w:b/>
                <w:bCs/>
                <w:color w:val="auto"/>
                <w:sz w:val="24"/>
                <w:szCs w:val="32"/>
              </w:rPr>
              <w:t>工艺流程：</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hint="eastAsia" w:ascii="宋体" w:hAnsi="宋体" w:eastAsia="宋体" w:cs="宋体"/>
                <w:color w:val="auto"/>
                <w:sz w:val="24"/>
                <w:szCs w:val="24"/>
                <w:lang w:val="en-US" w:eastAsia="zh-CN"/>
              </w:rPr>
              <w:t>SBS</w:t>
            </w:r>
            <w:r>
              <w:rPr>
                <w:rFonts w:ascii="宋体" w:hAnsi="宋体" w:eastAsia="宋体" w:cs="宋体"/>
                <w:color w:val="auto"/>
                <w:sz w:val="24"/>
                <w:szCs w:val="24"/>
              </w:rPr>
              <w:t>防水卷材生产工艺流程简述：</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ascii="宋体" w:hAnsi="宋体" w:eastAsia="宋体" w:cs="宋体"/>
                <w:color w:val="auto"/>
                <w:sz w:val="24"/>
                <w:szCs w:val="24"/>
              </w:rPr>
              <w:t>①</w:t>
            </w:r>
            <w:r>
              <w:rPr>
                <w:rFonts w:hint="eastAsia" w:ascii="宋体" w:hAnsi="宋体" w:eastAsia="宋体" w:cs="宋体"/>
                <w:color w:val="auto"/>
                <w:sz w:val="24"/>
                <w:szCs w:val="24"/>
              </w:rPr>
              <w:t>原料</w:t>
            </w:r>
            <w:r>
              <w:rPr>
                <w:rFonts w:hint="eastAsia" w:ascii="宋体" w:hAnsi="宋体" w:eastAsia="宋体" w:cs="宋体"/>
                <w:color w:val="auto"/>
                <w:sz w:val="24"/>
                <w:szCs w:val="24"/>
                <w:lang w:val="en-US" w:eastAsia="zh-CN"/>
              </w:rPr>
              <w:t>入场</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软化剂由油罐车运输入厂，经接口打入密闭式油罐，进料过程为电脑集中控制；沥青由油罐车运输入厂，经接口打入密闭式沥青储存罐，进料过程为电脑集中控制；</w:t>
            </w:r>
            <w:r>
              <w:rPr>
                <w:rFonts w:ascii="宋体" w:hAnsi="宋体" w:eastAsia="宋体" w:cs="宋体"/>
                <w:color w:val="auto"/>
                <w:sz w:val="24"/>
                <w:szCs w:val="24"/>
              </w:rPr>
              <w:t>滑石粉</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lang w:val="en-US" w:eastAsia="zh-CN"/>
              </w:rPr>
              <w:t>橡胶粉</w:t>
            </w:r>
            <w:r>
              <w:rPr>
                <w:rFonts w:hint="eastAsia" w:ascii="宋体" w:hAnsi="宋体" w:eastAsia="宋体" w:cs="宋体"/>
                <w:color w:val="auto"/>
                <w:sz w:val="24"/>
                <w:szCs w:val="24"/>
                <w:lang w:val="en-US" w:eastAsia="zh-CN"/>
              </w:rPr>
              <w:t>由槽罐车运输入厂，经接口打入密闭式</w:t>
            </w:r>
            <w:r>
              <w:rPr>
                <w:rFonts w:ascii="宋体" w:hAnsi="宋体" w:eastAsia="宋体" w:cs="宋体"/>
                <w:color w:val="auto"/>
                <w:sz w:val="24"/>
                <w:szCs w:val="24"/>
              </w:rPr>
              <w:t>滑石粉</w:t>
            </w:r>
            <w:r>
              <w:rPr>
                <w:rFonts w:hint="eastAsia" w:ascii="宋体" w:hAnsi="宋体" w:eastAsia="宋体" w:cs="宋体"/>
                <w:color w:val="auto"/>
                <w:sz w:val="24"/>
                <w:szCs w:val="24"/>
                <w:lang w:val="en-US" w:eastAsia="zh-CN"/>
              </w:rPr>
              <w:t>罐</w:t>
            </w:r>
            <w:r>
              <w:rPr>
                <w:rFonts w:hint="eastAsia" w:ascii="Times New Roman" w:hAnsi="Times New Roman" w:eastAsia="宋体" w:cs="Times New Roman"/>
                <w:color w:val="auto"/>
                <w:sz w:val="24"/>
                <w:szCs w:val="32"/>
                <w:lang w:eastAsia="zh-CN"/>
              </w:rPr>
              <w:t>、</w:t>
            </w:r>
            <w:r>
              <w:rPr>
                <w:rFonts w:hint="eastAsia" w:ascii="Times New Roman" w:hAnsi="Times New Roman" w:eastAsia="宋体" w:cs="Times New Roman"/>
                <w:color w:val="auto"/>
                <w:sz w:val="24"/>
                <w:szCs w:val="32"/>
                <w:lang w:val="en-US" w:eastAsia="zh-CN"/>
              </w:rPr>
              <w:t>橡胶粉</w:t>
            </w:r>
            <w:r>
              <w:rPr>
                <w:rFonts w:hint="eastAsia" w:ascii="宋体" w:hAnsi="宋体" w:eastAsia="宋体" w:cs="宋体"/>
                <w:color w:val="auto"/>
                <w:sz w:val="24"/>
                <w:szCs w:val="24"/>
                <w:lang w:val="en-US" w:eastAsia="zh-CN"/>
              </w:rPr>
              <w:t>罐，进料过程为电脑集中控制，呼吸粉尘经顶部脉冲除尘器处理后排放；其余原料除管道天然气外由车辆运输入厂。</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color w:val="auto"/>
                <w:kern w:val="0"/>
                <w:sz w:val="24"/>
                <w:szCs w:val="24"/>
                <w:lang w:val="en-US" w:eastAsia="zh-CN" w:bidi="ar"/>
              </w:rPr>
            </w:pPr>
            <w:r>
              <w:rPr>
                <w:rFonts w:ascii="宋体" w:hAnsi="宋体" w:eastAsia="宋体" w:cs="宋体"/>
                <w:color w:val="auto"/>
                <w:sz w:val="24"/>
                <w:szCs w:val="24"/>
              </w:rPr>
              <w:t>②</w:t>
            </w:r>
            <w:r>
              <w:rPr>
                <w:rFonts w:hint="eastAsia" w:ascii="宋体" w:hAnsi="宋体" w:eastAsia="宋体" w:cs="宋体"/>
                <w:color w:val="auto"/>
                <w:kern w:val="0"/>
                <w:sz w:val="24"/>
                <w:szCs w:val="24"/>
                <w:lang w:val="en-US" w:eastAsia="zh-CN" w:bidi="ar"/>
              </w:rPr>
              <w:t>胶浆制备</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80" w:firstLineChars="200"/>
              <w:jc w:val="left"/>
              <w:textAlignment w:val="auto"/>
              <w:rPr>
                <w:color w:val="auto"/>
              </w:rPr>
            </w:pPr>
            <w:r>
              <w:rPr>
                <w:rFonts w:hint="eastAsia" w:ascii="宋体" w:hAnsi="宋体" w:eastAsia="宋体" w:cs="宋体"/>
                <w:color w:val="auto"/>
                <w:kern w:val="0"/>
                <w:sz w:val="24"/>
                <w:szCs w:val="24"/>
                <w:lang w:val="en-US" w:eastAsia="zh-CN" w:bidi="ar"/>
              </w:rPr>
              <w:t>向搅拌罐中定量加入</w:t>
            </w:r>
            <w:r>
              <w:rPr>
                <w:rFonts w:hint="eastAsia" w:ascii="宋体" w:hAnsi="宋体" w:eastAsia="宋体" w:cs="宋体"/>
                <w:color w:val="auto"/>
                <w:sz w:val="24"/>
                <w:szCs w:val="24"/>
                <w:lang w:val="en-US" w:eastAsia="zh-CN"/>
              </w:rPr>
              <w:t>软化剂</w:t>
            </w:r>
            <w:r>
              <w:rPr>
                <w:rFonts w:hint="eastAsia" w:ascii="宋体" w:hAnsi="宋体" w:eastAsia="宋体" w:cs="宋体"/>
                <w:color w:val="auto"/>
                <w:kern w:val="0"/>
                <w:sz w:val="24"/>
                <w:szCs w:val="24"/>
                <w:lang w:val="en-US" w:eastAsia="zh-CN" w:bidi="ar"/>
              </w:rPr>
              <w:t>、</w:t>
            </w:r>
            <w:r>
              <w:rPr>
                <w:rFonts w:hint="eastAsia" w:ascii="Times New Roman" w:hAnsi="Times New Roman" w:eastAsia="宋体" w:cs="Times New Roman"/>
                <w:color w:val="auto"/>
                <w:sz w:val="24"/>
                <w:szCs w:val="32"/>
                <w:lang w:val="en-US" w:eastAsia="zh-CN"/>
              </w:rPr>
              <w:t>橡胶粉、</w:t>
            </w:r>
            <w:r>
              <w:rPr>
                <w:rFonts w:hint="default" w:ascii="Times New Roman" w:hAnsi="Times New Roman" w:eastAsia="宋体" w:cs="Times New Roman"/>
                <w:color w:val="auto"/>
                <w:kern w:val="0"/>
                <w:sz w:val="24"/>
                <w:szCs w:val="24"/>
                <w:lang w:val="en-US" w:eastAsia="zh-CN" w:bidi="ar"/>
              </w:rPr>
              <w:t>SBS</w:t>
            </w:r>
            <w:r>
              <w:rPr>
                <w:rFonts w:hint="eastAsia" w:ascii="宋体" w:hAnsi="宋体" w:eastAsia="宋体" w:cs="宋体"/>
                <w:color w:val="auto"/>
                <w:kern w:val="0"/>
                <w:sz w:val="24"/>
                <w:szCs w:val="24"/>
                <w:lang w:val="en-US" w:eastAsia="zh-CN" w:bidi="ar"/>
              </w:rPr>
              <w:t>，在</w:t>
            </w:r>
            <w:r>
              <w:rPr>
                <w:rFonts w:hint="default" w:ascii="Times New Roman" w:hAnsi="Times New Roman" w:eastAsia="宋体" w:cs="Times New Roman"/>
                <w:color w:val="auto"/>
                <w:kern w:val="0"/>
                <w:sz w:val="24"/>
                <w:szCs w:val="24"/>
                <w:lang w:val="en-US" w:eastAsia="zh-CN" w:bidi="ar"/>
              </w:rPr>
              <w:t>400r/min</w:t>
            </w:r>
            <w:r>
              <w:rPr>
                <w:rFonts w:hint="eastAsia" w:ascii="宋体" w:hAnsi="宋体" w:eastAsia="宋体" w:cs="宋体"/>
                <w:color w:val="auto"/>
                <w:kern w:val="0"/>
                <w:sz w:val="24"/>
                <w:szCs w:val="24"/>
                <w:lang w:val="en-US" w:eastAsia="zh-CN" w:bidi="ar"/>
              </w:rPr>
              <w:t>的条件下运行</w:t>
            </w:r>
            <w:r>
              <w:rPr>
                <w:rFonts w:hint="default" w:ascii="Times New Roman" w:hAnsi="Times New Roman" w:eastAsia="宋体" w:cs="Times New Roman"/>
                <w:color w:val="auto"/>
                <w:kern w:val="0"/>
                <w:sz w:val="24"/>
                <w:szCs w:val="24"/>
                <w:lang w:val="en-US" w:eastAsia="zh-CN" w:bidi="ar"/>
              </w:rPr>
              <w:t>90min</w:t>
            </w:r>
            <w:r>
              <w:rPr>
                <w:rFonts w:hint="eastAsia" w:ascii="宋体" w:hAnsi="宋体" w:eastAsia="宋体" w:cs="宋体"/>
                <w:color w:val="auto"/>
                <w:kern w:val="0"/>
                <w:sz w:val="24"/>
                <w:szCs w:val="24"/>
                <w:lang w:val="en-US" w:eastAsia="zh-CN" w:bidi="ar"/>
              </w:rPr>
              <w:t>，搅拌分散均匀；向装有上述分散料的搅拌罐中定量投入沥青，在</w:t>
            </w:r>
            <w:r>
              <w:rPr>
                <w:rFonts w:hint="default" w:ascii="Times New Roman" w:hAnsi="Times New Roman" w:eastAsia="宋体" w:cs="Times New Roman"/>
                <w:color w:val="auto"/>
                <w:kern w:val="0"/>
                <w:sz w:val="24"/>
                <w:szCs w:val="24"/>
                <w:lang w:val="en-US" w:eastAsia="zh-CN" w:bidi="ar"/>
              </w:rPr>
              <w:t>60r/min</w:t>
            </w:r>
            <w:r>
              <w:rPr>
                <w:rFonts w:hint="eastAsia" w:ascii="宋体" w:hAnsi="宋体" w:eastAsia="宋体" w:cs="宋体"/>
                <w:color w:val="auto"/>
                <w:kern w:val="0"/>
                <w:sz w:val="24"/>
                <w:szCs w:val="24"/>
                <w:lang w:val="en-US" w:eastAsia="zh-CN" w:bidi="ar"/>
              </w:rPr>
              <w:t>的条件下运行</w:t>
            </w:r>
            <w:r>
              <w:rPr>
                <w:rFonts w:hint="default" w:ascii="Times New Roman" w:hAnsi="Times New Roman" w:eastAsia="宋体" w:cs="Times New Roman"/>
                <w:color w:val="auto"/>
                <w:kern w:val="0"/>
                <w:sz w:val="24"/>
                <w:szCs w:val="24"/>
                <w:lang w:val="en-US" w:eastAsia="zh-CN" w:bidi="ar"/>
              </w:rPr>
              <w:t>60min</w:t>
            </w:r>
            <w:r>
              <w:rPr>
                <w:rFonts w:hint="eastAsia" w:ascii="宋体" w:hAnsi="宋体" w:eastAsia="宋体" w:cs="宋体"/>
                <w:color w:val="auto"/>
                <w:kern w:val="0"/>
                <w:sz w:val="24"/>
                <w:szCs w:val="24"/>
                <w:lang w:val="en-US" w:eastAsia="zh-CN" w:bidi="ar"/>
              </w:rPr>
              <w:t>，搅拌分散均匀；再定量投入</w:t>
            </w:r>
            <w:r>
              <w:rPr>
                <w:rFonts w:ascii="宋体" w:hAnsi="宋体" w:eastAsia="宋体" w:cs="宋体"/>
                <w:color w:val="auto"/>
                <w:sz w:val="24"/>
                <w:szCs w:val="24"/>
              </w:rPr>
              <w:t>滑石粉</w:t>
            </w:r>
            <w:r>
              <w:rPr>
                <w:rFonts w:hint="eastAsia" w:ascii="宋体" w:hAnsi="宋体" w:eastAsia="宋体" w:cs="宋体"/>
                <w:color w:val="auto"/>
                <w:kern w:val="0"/>
                <w:sz w:val="24"/>
                <w:szCs w:val="24"/>
                <w:lang w:val="en-US" w:eastAsia="zh-CN" w:bidi="ar"/>
              </w:rPr>
              <w:t>，在</w:t>
            </w:r>
            <w:r>
              <w:rPr>
                <w:rFonts w:hint="default" w:ascii="Times New Roman" w:hAnsi="Times New Roman" w:eastAsia="宋体" w:cs="Times New Roman"/>
                <w:color w:val="auto"/>
                <w:kern w:val="0"/>
                <w:sz w:val="24"/>
                <w:szCs w:val="24"/>
                <w:lang w:val="en-US" w:eastAsia="zh-CN" w:bidi="ar"/>
              </w:rPr>
              <w:t>60r/min</w:t>
            </w:r>
            <w:r>
              <w:rPr>
                <w:rFonts w:hint="eastAsia" w:ascii="宋体" w:hAnsi="宋体" w:eastAsia="宋体" w:cs="宋体"/>
                <w:color w:val="auto"/>
                <w:kern w:val="0"/>
                <w:sz w:val="24"/>
                <w:szCs w:val="24"/>
                <w:lang w:val="en-US" w:eastAsia="zh-CN" w:bidi="ar"/>
              </w:rPr>
              <w:t>的条件下运行</w:t>
            </w:r>
            <w:r>
              <w:rPr>
                <w:rFonts w:hint="default" w:ascii="Times New Roman" w:hAnsi="Times New Roman" w:eastAsia="宋体" w:cs="Times New Roman"/>
                <w:color w:val="auto"/>
                <w:kern w:val="0"/>
                <w:sz w:val="24"/>
                <w:szCs w:val="24"/>
                <w:lang w:val="en-US" w:eastAsia="zh-CN" w:bidi="ar"/>
              </w:rPr>
              <w:t>90min</w:t>
            </w:r>
            <w:r>
              <w:rPr>
                <w:rFonts w:hint="eastAsia" w:ascii="宋体" w:hAnsi="宋体" w:eastAsia="宋体" w:cs="宋体"/>
                <w:color w:val="auto"/>
                <w:kern w:val="0"/>
                <w:sz w:val="24"/>
                <w:szCs w:val="24"/>
                <w:lang w:val="en-US" w:eastAsia="zh-CN" w:bidi="ar"/>
              </w:rPr>
              <w:t>，搅拌分散均匀，搅拌时温度控制在</w:t>
            </w:r>
            <w:r>
              <w:rPr>
                <w:rFonts w:hint="default" w:ascii="Times New Roman" w:hAnsi="Times New Roman" w:eastAsia="宋体" w:cs="Times New Roman"/>
                <w:color w:val="auto"/>
                <w:kern w:val="0"/>
                <w:sz w:val="24"/>
                <w:szCs w:val="24"/>
                <w:lang w:val="en-US" w:eastAsia="zh-CN" w:bidi="ar"/>
              </w:rPr>
              <w:t>180~200</w:t>
            </w:r>
            <w:r>
              <w:rPr>
                <w:rFonts w:hint="eastAsia" w:ascii="宋体" w:hAnsi="宋体" w:eastAsia="宋体" w:cs="宋体"/>
                <w:color w:val="auto"/>
                <w:kern w:val="0"/>
                <w:sz w:val="24"/>
                <w:szCs w:val="24"/>
                <w:lang w:val="en-US" w:eastAsia="zh-CN" w:bidi="ar"/>
              </w:rPr>
              <w:t>℃，制得改性沥青。</w:t>
            </w:r>
            <w:r>
              <w:rPr>
                <w:rFonts w:ascii="宋体" w:hAnsi="宋体" w:eastAsia="宋体" w:cs="宋体"/>
                <w:color w:val="auto"/>
                <w:sz w:val="24"/>
                <w:szCs w:val="24"/>
              </w:rPr>
              <w:t>用泵输送至浸涂生产线的预浸池和浸涂机组。热源由导热油炉供给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导热油炉以天然气作为燃料，采用低氮燃烧技术，烟气通过排气筒直接排放。</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②胎基展开、烘干</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eastAsia="zh-CN"/>
              </w:rPr>
            </w:pPr>
            <w:r>
              <w:rPr>
                <w:rFonts w:ascii="宋体" w:hAnsi="宋体" w:eastAsia="宋体" w:cs="宋体"/>
                <w:color w:val="auto"/>
                <w:sz w:val="24"/>
                <w:szCs w:val="24"/>
              </w:rPr>
              <w:t>选用正确的胎基品种、规格，剔出卷头损坏、变形部分，保证接头平整、对正。胎基接头过程中不应产生折伤，连接</w:t>
            </w:r>
            <w:r>
              <w:rPr>
                <w:rFonts w:hint="eastAsia" w:ascii="宋体" w:hAnsi="宋体" w:eastAsia="宋体" w:cs="宋体"/>
                <w:color w:val="auto"/>
                <w:sz w:val="24"/>
                <w:szCs w:val="24"/>
                <w:lang w:val="en-US" w:eastAsia="zh-CN"/>
              </w:rPr>
              <w:t>时采用</w:t>
            </w:r>
            <w:r>
              <w:rPr>
                <w:rFonts w:ascii="宋体" w:hAnsi="宋体" w:eastAsia="宋体" w:cs="宋体"/>
                <w:color w:val="auto"/>
                <w:sz w:val="24"/>
                <w:szCs w:val="24"/>
              </w:rPr>
              <w:t>缝包机缝接</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③浸油、涂油（“油”指改性沥青）</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将合格的改性沥青由搅拌罐通过泵和管道打入预浸池内，保证适当的油位和温度（190~200℃），调整挤压滚的气压（一般为0.4MPa）和适当的车速，以保证胎基浸透、挤干。涂油岗位严格按操作规程进行操作，保持涂油池液位在一定水平，位于槽深的4/5处，温度控制范围为（180~190）℃。调整刮板和厚度控制器，使胎基两面涂油均匀，厚度达到标准要求，表面平整，控制厚度在规定的指标。</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④覆膜</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经过</w:t>
            </w:r>
            <w:r>
              <w:rPr>
                <w:rFonts w:hint="eastAsia" w:ascii="宋体" w:hAnsi="宋体" w:eastAsia="宋体" w:cs="宋体"/>
                <w:color w:val="auto"/>
                <w:sz w:val="24"/>
                <w:szCs w:val="24"/>
              </w:rPr>
              <w:t>浸涂</w:t>
            </w:r>
            <w:r>
              <w:rPr>
                <w:rFonts w:ascii="宋体" w:hAnsi="宋体" w:eastAsia="宋体" w:cs="宋体"/>
                <w:color w:val="auto"/>
                <w:sz w:val="24"/>
                <w:szCs w:val="24"/>
              </w:rPr>
              <w:t>后的胎基形成卷材，一般均须覆</w:t>
            </w:r>
            <w:r>
              <w:rPr>
                <w:rFonts w:hint="eastAsia" w:ascii="宋体" w:hAnsi="宋体" w:eastAsia="宋体" w:cs="宋体"/>
                <w:color w:val="auto"/>
                <w:sz w:val="24"/>
                <w:szCs w:val="24"/>
              </w:rPr>
              <w:t>聚乙烯</w:t>
            </w:r>
            <w:r>
              <w:rPr>
                <w:rFonts w:ascii="宋体" w:hAnsi="宋体" w:eastAsia="宋体" w:cs="宋体"/>
                <w:color w:val="auto"/>
                <w:sz w:val="24"/>
                <w:szCs w:val="24"/>
              </w:rPr>
              <w:t>膜作为保护仓，并有防粘结的作用</w:t>
            </w:r>
            <w:r>
              <w:rPr>
                <w:rFonts w:hint="eastAsia" w:ascii="宋体" w:hAnsi="宋体" w:eastAsia="宋体" w:cs="宋体"/>
                <w:color w:val="auto"/>
                <w:sz w:val="24"/>
                <w:szCs w:val="24"/>
                <w:lang w:eastAsia="zh-CN"/>
              </w:rPr>
              <w:t>，</w:t>
            </w:r>
            <w:r>
              <w:rPr>
                <w:rFonts w:ascii="宋体" w:hAnsi="宋体" w:eastAsia="宋体" w:cs="宋体"/>
                <w:color w:val="auto"/>
                <w:sz w:val="24"/>
                <w:szCs w:val="24"/>
              </w:rPr>
              <w:t>卷材两面均需要处理。</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⑤压纹</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两面</w:t>
            </w:r>
            <w:r>
              <w:rPr>
                <w:rFonts w:hint="eastAsia" w:ascii="宋体" w:hAnsi="宋体" w:eastAsia="宋体" w:cs="宋体"/>
                <w:color w:val="auto"/>
                <w:sz w:val="24"/>
                <w:szCs w:val="24"/>
              </w:rPr>
              <w:t>聚乙烯</w:t>
            </w:r>
            <w:r>
              <w:rPr>
                <w:rFonts w:ascii="宋体" w:hAnsi="宋体" w:eastAsia="宋体" w:cs="宋体"/>
                <w:color w:val="auto"/>
                <w:sz w:val="24"/>
                <w:szCs w:val="24"/>
              </w:rPr>
              <w:t>膜的卷材需要根据订单要求压纹，压纹采用带纹路的辊轴。</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⑥冷却定型</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卷材压纹后进行冷却定型，采用辊筒冷却机（辊筒内为间接循环冷却水，冷却温度约为20℃），然后进入贮存架。</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⑦计量、裁断、收卷</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卷毡系统的功能是将成品卷材按需要长度裁剪并卷绕打包。整个过程需要完成穿毡、卷毡、裁剪、打包、推卷等多个动作，最大卷速度200m/min。</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⑧包装入库</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eastAsia="宋体" w:cs="宋体"/>
                <w:color w:val="auto"/>
                <w:sz w:val="24"/>
                <w:szCs w:val="24"/>
              </w:rPr>
            </w:pPr>
            <w:r>
              <w:rPr>
                <w:rFonts w:ascii="宋体" w:hAnsi="宋体" w:eastAsia="宋体" w:cs="宋体"/>
                <w:color w:val="auto"/>
                <w:sz w:val="24"/>
                <w:szCs w:val="24"/>
              </w:rPr>
              <w:t>卷材经收卷后即成成品卷材，经检测合格后</w:t>
            </w:r>
            <w:r>
              <w:rPr>
                <w:rFonts w:hint="eastAsia" w:ascii="宋体" w:hAnsi="宋体" w:eastAsia="宋体" w:cs="宋体"/>
                <w:color w:val="auto"/>
                <w:sz w:val="24"/>
                <w:szCs w:val="24"/>
                <w:lang w:val="en-US" w:eastAsia="zh-CN"/>
              </w:rPr>
              <w:t>放入成品区待售</w:t>
            </w:r>
            <w:r>
              <w:rPr>
                <w:rFonts w:ascii="宋体" w:hAnsi="宋体" w:eastAsia="宋体" w:cs="宋体"/>
                <w:color w:val="auto"/>
                <w:sz w:val="24"/>
                <w:szCs w:val="24"/>
              </w:rPr>
              <w:t>。</w:t>
            </w:r>
          </w:p>
          <w:p>
            <w:pPr>
              <w:tabs>
                <w:tab w:val="left" w:pos="2295"/>
              </w:tabs>
              <w:spacing w:line="460" w:lineRule="exact"/>
              <w:ind w:firstLine="480" w:firstLineChars="200"/>
              <w:rPr>
                <w:rFonts w:hint="default" w:ascii="Times New Roman" w:hAnsi="Times New Roman" w:eastAsia="宋体" w:cs="Times New Roman"/>
                <w:color w:val="auto"/>
                <w:sz w:val="24"/>
                <w:szCs w:val="32"/>
                <w:lang w:val="en-US" w:eastAsia="zh-CN"/>
              </w:rPr>
            </w:pPr>
            <w:r>
              <w:rPr>
                <w:rFonts w:hint="eastAsia" w:ascii="Times New Roman" w:hAnsi="Times New Roman" w:eastAsia="宋体" w:cs="Times New Roman"/>
                <w:color w:val="auto"/>
                <w:sz w:val="24"/>
                <w:szCs w:val="32"/>
                <w:lang w:val="en-US" w:eastAsia="zh-CN"/>
              </w:rPr>
              <w:t>生产工艺流程见图2-2。</w:t>
            </w:r>
          </w:p>
          <w:p>
            <w:pPr>
              <w:tabs>
                <w:tab w:val="left" w:pos="2295"/>
              </w:tabs>
              <w:spacing w:line="460" w:lineRule="exact"/>
              <w:ind w:firstLine="480" w:firstLineChars="200"/>
              <w:rPr>
                <w:rFonts w:hint="eastAsia" w:ascii="Times New Roman" w:hAnsi="Times New Roman" w:eastAsia="宋体" w:cs="Times New Roman"/>
                <w:color w:val="auto"/>
                <w:sz w:val="24"/>
                <w:szCs w:val="32"/>
              </w:rPr>
            </w:pPr>
            <w:r>
              <w:rPr>
                <w:rFonts w:hint="eastAsia" w:ascii="Times New Roman" w:hAnsi="Times New Roman" w:eastAsia="宋体" w:cs="Times New Roman"/>
                <w:color w:val="auto"/>
                <w:sz w:val="24"/>
                <w:szCs w:val="32"/>
              </w:rPr>
              <w:pict>
                <v:shape id="_x0000_s1158" o:spid="_x0000_s1158" o:spt="75" type="#_x0000_t75" style="position:absolute;left:0pt;margin-left:53.2pt;margin-top:14.6pt;height:391.4pt;width:292.8pt;z-index:251681792;mso-width-relative:page;mso-height-relative:page;" o:ole="t" filled="f" o:preferrelative="t" stroked="f" coordsize="21600,21600">
                  <v:path/>
                  <v:fill on="f" focussize="0,0"/>
                  <v:stroke on="f"/>
                  <v:imagedata r:id="rId28" o:title=""/>
                  <o:lock v:ext="edit" aspectratio="f"/>
                </v:shape>
                <o:OLEObject Type="Embed" ProgID="Visio.Drawing.11" ShapeID="_x0000_s1158" DrawAspect="Content" ObjectID="_1468075725" r:id="rId27">
                  <o:LockedField>false</o:LockedField>
                </o:OLEObject>
              </w:pict>
            </w: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widowControl/>
              <w:adjustRightInd w:val="0"/>
              <w:snapToGrid w:val="0"/>
              <w:spacing w:line="460" w:lineRule="exact"/>
              <w:ind w:firstLine="480"/>
              <w:jc w:val="left"/>
              <w:rPr>
                <w:rFonts w:ascii="Times New Roman" w:hAnsi="Times New Roman" w:eastAsia="宋体" w:cs="Times New Roman"/>
                <w:color w:val="auto"/>
                <w:szCs w:val="24"/>
                <w:lang w:bidi="ar"/>
              </w:rPr>
            </w:pPr>
          </w:p>
          <w:p>
            <w:pPr>
              <w:tabs>
                <w:tab w:val="left" w:pos="2295"/>
              </w:tabs>
              <w:spacing w:line="460" w:lineRule="exact"/>
              <w:ind w:firstLine="480" w:firstLineChars="200"/>
              <w:rPr>
                <w:rFonts w:hint="eastAsia" w:ascii="Times New Roman" w:hAnsi="Times New Roman" w:eastAsia="宋体" w:cs="Times New Roman"/>
                <w:color w:val="auto"/>
                <w:sz w:val="24"/>
                <w:szCs w:val="32"/>
              </w:rPr>
            </w:pPr>
          </w:p>
          <w:p>
            <w:pPr>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图2-</w:t>
            </w:r>
            <w:r>
              <w:rPr>
                <w:rFonts w:hint="eastAsia" w:ascii="Times New Roman" w:hAnsi="Times New Roman" w:eastAsia="宋体" w:cs="Times New Roman"/>
                <w:color w:val="auto"/>
                <w:sz w:val="24"/>
                <w:szCs w:val="32"/>
                <w:lang w:val="en-US" w:eastAsia="zh-CN"/>
              </w:rPr>
              <w:t>2</w:t>
            </w:r>
            <w:r>
              <w:rPr>
                <w:rFonts w:ascii="Times New Roman" w:hAnsi="Times New Roman" w:eastAsia="宋体" w:cs="Times New Roman"/>
                <w:color w:val="auto"/>
                <w:sz w:val="24"/>
                <w:szCs w:val="32"/>
              </w:rPr>
              <w:t xml:space="preserve">  生产工艺流程及产污环节图</w:t>
            </w:r>
          </w:p>
          <w:p>
            <w:pPr>
              <w:adjustRightInd w:val="0"/>
              <w:snapToGrid w:val="0"/>
              <w:spacing w:line="460" w:lineRule="exact"/>
              <w:rPr>
                <w:rFonts w:ascii="Times New Roman" w:hAnsi="Times New Roman" w:eastAsia="宋体" w:cs="Times New Roman"/>
                <w:b/>
                <w:bCs/>
                <w:color w:val="auto"/>
                <w:sz w:val="24"/>
                <w:szCs w:val="32"/>
              </w:rPr>
            </w:pPr>
            <w:r>
              <w:rPr>
                <w:rFonts w:ascii="Times New Roman" w:hAnsi="Times New Roman" w:eastAsia="宋体" w:cs="Times New Roman"/>
                <w:b/>
                <w:bCs/>
                <w:color w:val="auto"/>
                <w:sz w:val="24"/>
                <w:szCs w:val="32"/>
              </w:rPr>
              <w:t>产污分析：</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一、施工期：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本项目施工期影响主要表现在厂区开挖及建设等方面。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1、废气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主要为施工物料产生的粉尘、清理场地、主体工程环节产生的扬尘，运输车辆和施工机械产生的尾气。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2、废水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施工人员生活污水及车辆清洗废水。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3、固废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主要包括清理场地过程中产生的固废，施工建设过程中产生的建筑垃圾，施工人员产生的生活垃圾。</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4、噪声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Times New Roman" w:hAnsi="Times New Roman" w:eastAsia="宋体" w:cs="Times New Roman"/>
                <w:color w:val="auto"/>
                <w:sz w:val="24"/>
                <w:szCs w:val="32"/>
              </w:rPr>
            </w:pPr>
            <w:r>
              <w:rPr>
                <w:rFonts w:hint="default" w:ascii="Times New Roman" w:hAnsi="Times New Roman" w:eastAsia="宋体" w:cs="Times New Roman"/>
                <w:color w:val="auto"/>
                <w:sz w:val="24"/>
                <w:szCs w:val="32"/>
              </w:rPr>
              <w:t>施工期各个环节产生的机械噪声、施工作业噪声和施工车辆噪声。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二、运营期：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1、废气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⑴导热油炉在运行过程中产生烟尘、SO</w:t>
            </w:r>
            <w:r>
              <w:rPr>
                <w:rFonts w:hint="default" w:ascii="Times New Roman" w:hAnsi="Times New Roman" w:eastAsia="宋体" w:cs="Times New Roman"/>
                <w:b w:val="0"/>
                <w:bCs w:val="0"/>
                <w:color w:val="auto"/>
                <w:sz w:val="24"/>
                <w:szCs w:val="32"/>
                <w:vertAlign w:val="subscript"/>
              </w:rPr>
              <w:t>2</w:t>
            </w:r>
            <w:r>
              <w:rPr>
                <w:rFonts w:hint="default" w:ascii="Times New Roman" w:hAnsi="Times New Roman" w:eastAsia="宋体" w:cs="Times New Roman"/>
                <w:b w:val="0"/>
                <w:bCs w:val="0"/>
                <w:color w:val="auto"/>
                <w:sz w:val="24"/>
                <w:szCs w:val="32"/>
              </w:rPr>
              <w:t>、NO</w:t>
            </w:r>
            <w:r>
              <w:rPr>
                <w:rFonts w:hint="default" w:ascii="Times New Roman" w:hAnsi="Times New Roman" w:eastAsia="宋体" w:cs="Times New Roman"/>
                <w:b w:val="0"/>
                <w:bCs w:val="0"/>
                <w:color w:val="auto"/>
                <w:sz w:val="24"/>
                <w:szCs w:val="32"/>
                <w:vertAlign w:val="subscript"/>
              </w:rPr>
              <w:t>x</w:t>
            </w:r>
            <w:r>
              <w:rPr>
                <w:rFonts w:hint="default" w:ascii="Times New Roman" w:hAnsi="Times New Roman" w:eastAsia="宋体" w:cs="Times New Roman"/>
                <w:b w:val="0"/>
                <w:bCs w:val="0"/>
                <w:color w:val="auto"/>
                <w:sz w:val="24"/>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⑵</w:t>
            </w:r>
            <w:r>
              <w:rPr>
                <w:rFonts w:hint="default" w:ascii="Times New Roman" w:hAnsi="Times New Roman" w:eastAsia="宋体" w:cs="Times New Roman"/>
                <w:b w:val="0"/>
                <w:bCs w:val="0"/>
                <w:color w:val="auto"/>
                <w:sz w:val="24"/>
                <w:lang w:val="en-US" w:eastAsia="zh-CN"/>
              </w:rPr>
              <w:t>沥青</w:t>
            </w:r>
            <w:r>
              <w:rPr>
                <w:rFonts w:hint="default" w:ascii="Times New Roman" w:hAnsi="Times New Roman" w:eastAsia="宋体" w:cs="Times New Roman"/>
                <w:b w:val="0"/>
                <w:bCs w:val="0"/>
                <w:color w:val="auto"/>
                <w:kern w:val="44"/>
                <w:sz w:val="24"/>
                <w:lang w:val="en-US" w:eastAsia="zh-CN"/>
              </w:rPr>
              <w:t>加热</w:t>
            </w:r>
            <w:r>
              <w:rPr>
                <w:rFonts w:hint="default" w:ascii="Times New Roman" w:hAnsi="Times New Roman" w:eastAsia="宋体" w:cs="Times New Roman"/>
                <w:b w:val="0"/>
                <w:bCs w:val="0"/>
                <w:color w:val="auto"/>
                <w:sz w:val="24"/>
                <w:szCs w:val="24"/>
                <w:highlight w:val="none"/>
                <w:lang w:val="en-US" w:eastAsia="zh-CN"/>
              </w:rPr>
              <w:t>储存</w:t>
            </w:r>
            <w:r>
              <w:rPr>
                <w:rFonts w:hint="default" w:ascii="Times New Roman" w:hAnsi="Times New Roman" w:eastAsia="宋体" w:cs="Times New Roman"/>
                <w:b w:val="0"/>
                <w:bCs w:val="0"/>
                <w:color w:val="auto"/>
                <w:kern w:val="44"/>
                <w:sz w:val="24"/>
              </w:rPr>
              <w:t>、</w:t>
            </w:r>
            <w:r>
              <w:rPr>
                <w:rFonts w:hint="default" w:ascii="Times New Roman" w:hAnsi="Times New Roman" w:eastAsia="宋体" w:cs="Times New Roman"/>
                <w:b w:val="0"/>
                <w:bCs w:val="0"/>
                <w:color w:val="auto"/>
                <w:sz w:val="24"/>
                <w:lang w:val="en-US" w:eastAsia="zh-CN"/>
              </w:rPr>
              <w:t>配料、</w:t>
            </w:r>
            <w:r>
              <w:rPr>
                <w:rFonts w:hint="default" w:ascii="Times New Roman" w:hAnsi="Times New Roman" w:eastAsia="宋体" w:cs="Times New Roman"/>
                <w:b w:val="0"/>
                <w:bCs w:val="0"/>
                <w:color w:val="auto"/>
                <w:sz w:val="24"/>
              </w:rPr>
              <w:t>搅拌、浸油、涂油</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覆膜</w:t>
            </w:r>
            <w:r>
              <w:rPr>
                <w:rFonts w:hint="eastAsia" w:ascii="Times New Roman" w:hAnsi="Times New Roman" w:eastAsia="宋体" w:cs="Times New Roman"/>
                <w:b w:val="0"/>
                <w:bCs w:val="0"/>
                <w:color w:val="auto"/>
                <w:sz w:val="24"/>
                <w:lang w:val="en-US" w:eastAsia="zh-CN"/>
              </w:rPr>
              <w:t>和冷却</w:t>
            </w:r>
            <w:r>
              <w:rPr>
                <w:rFonts w:hint="default" w:ascii="Times New Roman" w:hAnsi="Times New Roman" w:eastAsia="宋体" w:cs="Times New Roman"/>
                <w:b w:val="0"/>
                <w:bCs w:val="0"/>
                <w:color w:val="auto"/>
                <w:sz w:val="24"/>
                <w:lang w:val="en-US" w:eastAsia="zh-CN"/>
              </w:rPr>
              <w:t>过程中</w:t>
            </w:r>
            <w:r>
              <w:rPr>
                <w:rFonts w:hint="default" w:ascii="Times New Roman" w:hAnsi="Times New Roman" w:eastAsia="宋体" w:cs="Times New Roman"/>
                <w:b w:val="0"/>
                <w:bCs w:val="0"/>
                <w:color w:val="auto"/>
                <w:sz w:val="24"/>
                <w:szCs w:val="32"/>
              </w:rPr>
              <w:t>产生的</w:t>
            </w:r>
            <w:r>
              <w:rPr>
                <w:rFonts w:hint="eastAsia" w:ascii="Times New Roman" w:hAnsi="Times New Roman" w:eastAsia="宋体" w:cs="Times New Roman"/>
                <w:b w:val="0"/>
                <w:bCs w:val="0"/>
                <w:color w:val="auto"/>
                <w:sz w:val="24"/>
                <w:szCs w:val="32"/>
                <w:lang w:val="en-US" w:eastAsia="zh-CN"/>
              </w:rPr>
              <w:t>工艺</w:t>
            </w:r>
            <w:r>
              <w:rPr>
                <w:rFonts w:hint="default" w:ascii="Times New Roman" w:hAnsi="Times New Roman" w:eastAsia="宋体" w:cs="Times New Roman"/>
                <w:b w:val="0"/>
                <w:bCs w:val="0"/>
                <w:color w:val="auto"/>
                <w:sz w:val="24"/>
                <w:szCs w:val="32"/>
                <w:lang w:val="en-US" w:eastAsia="zh-CN"/>
              </w:rPr>
              <w:t>废气</w:t>
            </w:r>
            <w:r>
              <w:rPr>
                <w:rFonts w:hint="default" w:ascii="Times New Roman" w:hAnsi="Times New Roman" w:eastAsia="宋体" w:cs="Times New Roman"/>
                <w:b w:val="0"/>
                <w:bCs w:val="0"/>
                <w:color w:val="auto"/>
                <w:sz w:val="24"/>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lang w:eastAsia="zh-CN"/>
              </w:rPr>
            </w:pPr>
            <w:r>
              <w:rPr>
                <w:rFonts w:hint="default" w:ascii="Times New Roman" w:hAnsi="Times New Roman" w:eastAsia="宋体" w:cs="Times New Roman"/>
                <w:b w:val="0"/>
                <w:bCs w:val="0"/>
                <w:color w:val="auto"/>
                <w:sz w:val="24"/>
                <w:szCs w:val="32"/>
              </w:rPr>
              <w:t>⑶</w:t>
            </w:r>
            <w:r>
              <w:rPr>
                <w:rFonts w:hint="eastAsia" w:ascii="Times New Roman" w:hAnsi="Times New Roman" w:eastAsia="宋体" w:cs="Times New Roman"/>
                <w:b w:val="0"/>
                <w:bCs w:val="0"/>
                <w:color w:val="auto"/>
                <w:sz w:val="24"/>
                <w:szCs w:val="32"/>
                <w:lang w:val="en-US" w:eastAsia="zh-CN"/>
              </w:rPr>
              <w:t>滑石粉、橡胶粉</w:t>
            </w:r>
            <w:r>
              <w:rPr>
                <w:rFonts w:hint="default" w:ascii="Times New Roman" w:hAnsi="Times New Roman" w:eastAsia="宋体" w:cs="Times New Roman"/>
                <w:b w:val="0"/>
                <w:bCs w:val="0"/>
                <w:color w:val="auto"/>
                <w:sz w:val="24"/>
                <w:szCs w:val="32"/>
                <w:lang w:val="en-US" w:eastAsia="zh-CN"/>
              </w:rPr>
              <w:t>储罐</w:t>
            </w:r>
            <w:r>
              <w:rPr>
                <w:rFonts w:hint="default" w:ascii="Times New Roman" w:hAnsi="Times New Roman" w:eastAsia="宋体" w:cs="Times New Roman"/>
                <w:b w:val="0"/>
                <w:bCs w:val="0"/>
                <w:color w:val="auto"/>
                <w:sz w:val="24"/>
                <w:szCs w:val="32"/>
              </w:rPr>
              <w:t>仓顶</w:t>
            </w:r>
            <w:r>
              <w:rPr>
                <w:rFonts w:hint="eastAsia" w:ascii="Times New Roman" w:hAnsi="Times New Roman" w:eastAsia="宋体" w:cs="Times New Roman"/>
                <w:b w:val="0"/>
                <w:bCs w:val="0"/>
                <w:color w:val="auto"/>
                <w:sz w:val="24"/>
                <w:szCs w:val="32"/>
                <w:lang w:val="en-US" w:eastAsia="zh-CN"/>
              </w:rPr>
              <w:t>及粉料输送</w:t>
            </w:r>
            <w:r>
              <w:rPr>
                <w:rFonts w:hint="default" w:ascii="Times New Roman" w:hAnsi="Times New Roman" w:eastAsia="宋体" w:cs="Times New Roman"/>
                <w:b w:val="0"/>
                <w:bCs w:val="0"/>
                <w:color w:val="auto"/>
                <w:sz w:val="24"/>
                <w:szCs w:val="32"/>
              </w:rPr>
              <w:t>产生粉尘</w:t>
            </w:r>
            <w:r>
              <w:rPr>
                <w:rFonts w:hint="default" w:ascii="Times New Roman" w:hAnsi="Times New Roman" w:eastAsia="宋体" w:cs="Times New Roman"/>
                <w:b w:val="0"/>
                <w:bCs w:val="0"/>
                <w:color w:val="auto"/>
                <w:sz w:val="24"/>
                <w:szCs w:val="32"/>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2、废水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⑴职工日常生活和办公产生的生活污水；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lang w:eastAsia="zh-CN"/>
              </w:rPr>
            </w:pPr>
            <w:r>
              <w:rPr>
                <w:rFonts w:hint="default" w:ascii="Times New Roman" w:hAnsi="Times New Roman" w:eastAsia="宋体" w:cs="Times New Roman"/>
                <w:b w:val="0"/>
                <w:bCs w:val="0"/>
                <w:color w:val="auto"/>
                <w:sz w:val="24"/>
                <w:szCs w:val="32"/>
              </w:rPr>
              <w:t>⑵</w:t>
            </w:r>
            <w:r>
              <w:rPr>
                <w:rFonts w:hint="default" w:ascii="Times New Roman" w:hAnsi="Times New Roman" w:eastAsia="宋体" w:cs="Times New Roman"/>
                <w:b w:val="0"/>
                <w:bCs w:val="0"/>
                <w:color w:val="auto"/>
                <w:sz w:val="24"/>
                <w:szCs w:val="32"/>
                <w:lang w:val="en-US" w:eastAsia="zh-CN"/>
              </w:rPr>
              <w:t>冷</w:t>
            </w:r>
            <w:r>
              <w:rPr>
                <w:rFonts w:hint="default" w:ascii="Times New Roman" w:hAnsi="Times New Roman" w:eastAsia="宋体" w:cs="Times New Roman"/>
                <w:b w:val="0"/>
                <w:bCs w:val="0"/>
                <w:color w:val="auto"/>
                <w:sz w:val="24"/>
                <w:szCs w:val="32"/>
              </w:rPr>
              <w:t>却</w:t>
            </w:r>
            <w:r>
              <w:rPr>
                <w:rFonts w:hint="eastAsia" w:ascii="Times New Roman" w:hAnsi="Times New Roman" w:eastAsia="宋体" w:cs="Times New Roman"/>
                <w:b w:val="0"/>
                <w:bCs w:val="0"/>
                <w:color w:val="auto"/>
                <w:sz w:val="24"/>
                <w:szCs w:val="32"/>
                <w:lang w:val="en-US" w:eastAsia="zh-CN"/>
              </w:rPr>
              <w:t>废水</w:t>
            </w:r>
            <w:r>
              <w:rPr>
                <w:rFonts w:hint="default" w:ascii="Times New Roman" w:hAnsi="Times New Roman" w:eastAsia="宋体" w:cs="Times New Roman"/>
                <w:b w:val="0"/>
                <w:bCs w:val="0"/>
                <w:color w:val="auto"/>
                <w:sz w:val="24"/>
                <w:szCs w:val="32"/>
              </w:rPr>
              <w:t>、</w:t>
            </w:r>
            <w:r>
              <w:rPr>
                <w:rFonts w:hint="default" w:ascii="Times New Roman" w:hAnsi="Times New Roman" w:eastAsia="宋体" w:cs="Times New Roman"/>
                <w:b w:val="0"/>
                <w:bCs w:val="0"/>
                <w:color w:val="auto"/>
                <w:kern w:val="0"/>
                <w:sz w:val="24"/>
                <w:szCs w:val="24"/>
              </w:rPr>
              <w:t>喷淋</w:t>
            </w:r>
            <w:r>
              <w:rPr>
                <w:rFonts w:hint="eastAsia" w:ascii="Times New Roman" w:hAnsi="Times New Roman" w:eastAsia="宋体" w:cs="Times New Roman"/>
                <w:b w:val="0"/>
                <w:bCs w:val="0"/>
                <w:color w:val="auto"/>
                <w:kern w:val="0"/>
                <w:sz w:val="24"/>
                <w:szCs w:val="24"/>
                <w:lang w:val="en-US" w:eastAsia="zh-CN"/>
              </w:rPr>
              <w:t>废</w:t>
            </w:r>
            <w:r>
              <w:rPr>
                <w:rFonts w:hint="default" w:ascii="Times New Roman" w:hAnsi="Times New Roman" w:eastAsia="宋体" w:cs="Times New Roman"/>
                <w:b w:val="0"/>
                <w:bCs w:val="0"/>
                <w:color w:val="auto"/>
                <w:kern w:val="0"/>
                <w:sz w:val="24"/>
                <w:szCs w:val="24"/>
              </w:rPr>
              <w:t>水</w:t>
            </w:r>
            <w:r>
              <w:rPr>
                <w:rFonts w:hint="default" w:ascii="Times New Roman" w:hAnsi="Times New Roman" w:eastAsia="宋体" w:cs="Times New Roman"/>
                <w:b w:val="0"/>
                <w:bCs w:val="0"/>
                <w:color w:val="auto"/>
                <w:sz w:val="24"/>
                <w:szCs w:val="32"/>
              </w:rPr>
              <w:t>、运输车辆车身轮胎冲洗废水</w:t>
            </w:r>
            <w:r>
              <w:rPr>
                <w:rFonts w:hint="default" w:ascii="Times New Roman" w:hAnsi="Times New Roman" w:eastAsia="宋体" w:cs="Times New Roman"/>
                <w:b w:val="0"/>
                <w:bCs w:val="0"/>
                <w:color w:val="auto"/>
                <w:sz w:val="24"/>
                <w:szCs w:val="32"/>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3、噪声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⑴设备噪声：本项目生产区主要高噪设备有：</w:t>
            </w:r>
            <w:r>
              <w:rPr>
                <w:rFonts w:hint="default" w:ascii="Times New Roman" w:hAnsi="Times New Roman" w:eastAsia="宋体" w:cs="Times New Roman"/>
                <w:b w:val="0"/>
                <w:bCs w:val="0"/>
                <w:color w:val="auto"/>
                <w:sz w:val="24"/>
                <w:szCs w:val="24"/>
                <w:lang w:val="en-US" w:eastAsia="zh-CN"/>
              </w:rPr>
              <w:t>导热油炉、配料罐</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lang w:val="en-US" w:eastAsia="zh-CN"/>
              </w:rPr>
              <w:t>烘干机</w:t>
            </w:r>
            <w:r>
              <w:rPr>
                <w:rFonts w:hint="default" w:ascii="Times New Roman" w:hAnsi="Times New Roman" w:eastAsia="宋体" w:cs="Times New Roman"/>
                <w:b w:val="0"/>
                <w:bCs w:val="0"/>
                <w:color w:val="auto"/>
                <w:sz w:val="24"/>
                <w:szCs w:val="32"/>
              </w:rPr>
              <w:t>、风机、泵类等，其噪声声级在80-100dB(A)之间。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⑵交通噪声：装卸机、汽车运输等。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4、固体废物</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⑴除尘器收集的除尘灰；</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rPr>
              <w:t>⑵废润滑油、废</w:t>
            </w:r>
            <w:r>
              <w:rPr>
                <w:rFonts w:hint="default" w:ascii="Times New Roman" w:hAnsi="Times New Roman" w:eastAsia="宋体" w:cs="Times New Roman"/>
                <w:b w:val="0"/>
                <w:bCs w:val="0"/>
                <w:color w:val="auto"/>
                <w:sz w:val="24"/>
                <w:szCs w:val="32"/>
                <w:lang w:val="en-US" w:eastAsia="zh-CN"/>
              </w:rPr>
              <w:t>导热油、废活性炭、废油桶</w:t>
            </w:r>
            <w:r>
              <w:rPr>
                <w:rFonts w:hint="default" w:ascii="Times New Roman" w:hAnsi="Times New Roman" w:eastAsia="宋体" w:cs="Times New Roman"/>
                <w:b w:val="0"/>
                <w:bCs w:val="0"/>
                <w:color w:val="auto"/>
                <w:sz w:val="24"/>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auto"/>
                <w:sz w:val="24"/>
                <w:szCs w:val="32"/>
              </w:rPr>
            </w:pPr>
            <w:r>
              <w:rPr>
                <w:rFonts w:hint="default" w:ascii="Times New Roman" w:hAnsi="Times New Roman" w:eastAsia="宋体" w:cs="Times New Roman"/>
                <w:b w:val="0"/>
                <w:bCs w:val="0"/>
                <w:color w:val="auto"/>
                <w:sz w:val="24"/>
                <w:szCs w:val="32"/>
              </w:rPr>
              <w:t>⑶职工生活垃圾</w:t>
            </w:r>
            <w:r>
              <w:rPr>
                <w:rFonts w:hint="default" w:ascii="Times New Roman" w:hAnsi="Times New Roman" w:eastAsia="宋体" w:cs="Times New Roman"/>
                <w:b w:val="0"/>
                <w:bCs w:val="0"/>
                <w:color w:val="auto"/>
                <w:sz w:val="24"/>
                <w:szCs w:val="32"/>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63" w:hRule="atLeast"/>
          <w:jc w:val="center"/>
        </w:trPr>
        <w:tc>
          <w:tcPr>
            <w:tcW w:w="779" w:type="dxa"/>
            <w:vAlign w:val="center"/>
          </w:tcPr>
          <w:p>
            <w:pPr>
              <w:widowControl/>
              <w:adjustRightInd w:val="0"/>
              <w:snapToGrid w:val="0"/>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与项目有关的原有环境污染问题</w:t>
            </w:r>
          </w:p>
        </w:tc>
        <w:tc>
          <w:tcPr>
            <w:tcW w:w="8205" w:type="dxa"/>
            <w:vAlign w:val="center"/>
          </w:tcPr>
          <w:p>
            <w:pPr>
              <w:spacing w:line="460" w:lineRule="exact"/>
              <w:ind w:firstLine="480" w:firstLineChars="200"/>
              <w:rPr>
                <w:rFonts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rPr>
              <w:t>本项目为新建项目，</w:t>
            </w:r>
            <w:r>
              <w:rPr>
                <w:rFonts w:hint="eastAsia" w:ascii="Times New Roman" w:hAnsi="Times New Roman" w:eastAsia="宋体" w:cs="Times New Roman"/>
                <w:color w:val="auto"/>
                <w:kern w:val="0"/>
                <w:sz w:val="24"/>
                <w:szCs w:val="24"/>
                <w:lang w:val="en-US" w:eastAsia="zh-CN"/>
              </w:rPr>
              <w:t>位于</w:t>
            </w:r>
            <w:r>
              <w:rPr>
                <w:rFonts w:hint="eastAsia" w:ascii="Times New Roman" w:hAnsi="Times New Roman" w:eastAsia="宋体" w:cs="Times New Roman"/>
                <w:color w:val="auto"/>
                <w:kern w:val="0"/>
                <w:sz w:val="24"/>
                <w:szCs w:val="24"/>
              </w:rPr>
              <w:t>大宁产业集聚区的煤层气化工产业园区内</w:t>
            </w:r>
            <w:r>
              <w:rPr>
                <w:rFonts w:hint="eastAsia" w:ascii="Times New Roman" w:hAnsi="Times New Roman" w:eastAsia="宋体" w:cs="Times New Roman"/>
                <w:color w:val="auto"/>
                <w:kern w:val="0"/>
                <w:sz w:val="24"/>
                <w:szCs w:val="24"/>
                <w:lang w:eastAsia="zh-CN"/>
              </w:rPr>
              <w:t>，</w:t>
            </w:r>
            <w:r>
              <w:rPr>
                <w:rFonts w:hint="default" w:ascii="Times New Roman" w:hAnsi="Times New Roman" w:eastAsia="宋体" w:cs="Times New Roman"/>
                <w:bCs/>
                <w:color w:val="auto"/>
                <w:sz w:val="24"/>
                <w:szCs w:val="24"/>
                <w:lang w:eastAsia="zh-CN"/>
              </w:rPr>
              <w:t>根据现场踏勘，</w:t>
            </w:r>
            <w:r>
              <w:rPr>
                <w:rFonts w:hint="default" w:ascii="Times New Roman" w:hAnsi="Times New Roman" w:eastAsia="宋体" w:cs="Times New Roman"/>
                <w:color w:val="auto"/>
                <w:kern w:val="0"/>
                <w:sz w:val="24"/>
                <w:szCs w:val="24"/>
              </w:rPr>
              <w:t>本项目</w:t>
            </w:r>
            <w:r>
              <w:rPr>
                <w:rFonts w:hint="default" w:ascii="Times New Roman" w:hAnsi="Times New Roman" w:eastAsia="宋体" w:cs="Times New Roman"/>
                <w:color w:val="auto"/>
                <w:kern w:val="0"/>
                <w:sz w:val="24"/>
                <w:szCs w:val="24"/>
                <w:lang w:val="en-US" w:eastAsia="zh-CN"/>
              </w:rPr>
              <w:t>占地范围内</w:t>
            </w:r>
            <w:r>
              <w:rPr>
                <w:rFonts w:hint="default" w:ascii="Times New Roman" w:hAnsi="Times New Roman" w:eastAsia="宋体" w:cs="Times New Roman"/>
                <w:color w:val="auto"/>
                <w:kern w:val="0"/>
                <w:sz w:val="24"/>
                <w:szCs w:val="24"/>
              </w:rPr>
              <w:t>均为空地，不存在与项目有关的原有环境污染问题。</w:t>
            </w:r>
          </w:p>
        </w:tc>
      </w:tr>
    </w:tbl>
    <w:p>
      <w:pPr>
        <w:widowControl/>
        <w:spacing w:before="100" w:beforeAutospacing="1" w:after="100" w:afterAutospacing="1"/>
        <w:jc w:val="center"/>
        <w:rPr>
          <w:rFonts w:ascii="Times New Roman" w:hAnsi="Times New Roman" w:eastAsia="黑体" w:cs="Times New Roman"/>
          <w:snapToGrid w:val="0"/>
          <w:color w:val="auto"/>
          <w:kern w:val="0"/>
          <w:sz w:val="36"/>
          <w:szCs w:val="36"/>
        </w:rPr>
        <w:sectPr>
          <w:pgSz w:w="11906" w:h="16838"/>
          <w:pgMar w:top="1417"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widowControl/>
        <w:adjustRightInd w:val="0"/>
        <w:snapToGrid w:val="0"/>
        <w:spacing w:line="14" w:lineRule="auto"/>
        <w:jc w:val="center"/>
        <w:outlineLvl w:val="0"/>
        <w:rPr>
          <w:rFonts w:ascii="Times New Roman" w:hAnsi="Times New Roman" w:eastAsia="黑体" w:cs="Times New Roman"/>
          <w:snapToGrid w:val="0"/>
          <w:color w:val="auto"/>
          <w:kern w:val="0"/>
          <w:sz w:val="30"/>
          <w:szCs w:val="30"/>
        </w:rPr>
      </w:pPr>
    </w:p>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bookmarkStart w:id="6" w:name="_Toc100886267"/>
      <w:r>
        <w:rPr>
          <w:rFonts w:ascii="Times New Roman" w:hAnsi="Times New Roman" w:eastAsia="黑体" w:cs="Times New Roman"/>
          <w:snapToGrid w:val="0"/>
          <w:color w:val="auto"/>
          <w:kern w:val="0"/>
          <w:sz w:val="30"/>
          <w:szCs w:val="30"/>
        </w:rPr>
        <w:t>三、区域环境质量现状、环境保护目标及评价标准</w:t>
      </w:r>
      <w:bookmarkEnd w:id="6"/>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vAlign w:val="center"/>
          </w:tcPr>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区域</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环境</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质量</w:t>
            </w:r>
          </w:p>
          <w:p>
            <w:pPr>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 w:val="24"/>
                <w:szCs w:val="24"/>
              </w:rPr>
              <w:t>现状</w:t>
            </w:r>
          </w:p>
        </w:tc>
        <w:tc>
          <w:tcPr>
            <w:tcW w:w="8190" w:type="dxa"/>
          </w:tcPr>
          <w:p>
            <w:pPr>
              <w:spacing w:line="460" w:lineRule="exact"/>
              <w:ind w:firstLine="482"/>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1、环境空气</w:t>
            </w:r>
          </w:p>
          <w:p>
            <w:pPr>
              <w:spacing w:line="460" w:lineRule="exact"/>
              <w:ind w:firstLine="480"/>
              <w:jc w:val="left"/>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（1）基本污染物</w:t>
            </w:r>
          </w:p>
          <w:p>
            <w:pPr>
              <w:spacing w:line="460" w:lineRule="exact"/>
              <w:ind w:firstLine="48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本项目所在区域内环境空气质量执行《环境空气质量标准》（GB3095-2012）中二级标准。本次评价使用大宁县202</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年环境空气质量例行监测数据，监测结果见表3-1。</w:t>
            </w:r>
          </w:p>
          <w:p>
            <w:pPr>
              <w:widowControl/>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表3-1   202</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年度大宁县环境空气例行监测结果统计表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40"/>
              <w:gridCol w:w="711"/>
              <w:gridCol w:w="3014"/>
              <w:gridCol w:w="992"/>
              <w:gridCol w:w="992"/>
              <w:gridCol w:w="851"/>
              <w:gridCol w:w="66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w:t>
                  </w:r>
                </w:p>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地点</w:t>
                  </w:r>
                </w:p>
              </w:tc>
              <w:tc>
                <w:tcPr>
                  <w:tcW w:w="711"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w:t>
                  </w:r>
                </w:p>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项目</w:t>
                  </w:r>
                </w:p>
              </w:tc>
              <w:tc>
                <w:tcPr>
                  <w:tcW w:w="301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评价指标</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现状浓度</w:t>
                  </w:r>
                </w:p>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（μg/m</w:t>
                  </w:r>
                  <w:r>
                    <w:rPr>
                      <w:rFonts w:hint="default" w:ascii="Times New Roman" w:hAnsi="Times New Roman" w:eastAsia="宋体" w:cs="Times New Roman"/>
                      <w:b w:val="0"/>
                      <w:bCs w:val="0"/>
                      <w:color w:val="auto"/>
                      <w:szCs w:val="21"/>
                      <w:vertAlign w:val="superscript"/>
                    </w:rPr>
                    <w:t>3</w:t>
                  </w:r>
                  <w:r>
                    <w:rPr>
                      <w:rFonts w:hint="default" w:ascii="Times New Roman" w:hAnsi="Times New Roman" w:eastAsia="宋体" w:cs="Times New Roman"/>
                      <w:b w:val="0"/>
                      <w:bCs w:val="0"/>
                      <w:color w:val="auto"/>
                      <w:szCs w:val="21"/>
                    </w:rPr>
                    <w:t>）</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标准值</w:t>
                  </w:r>
                </w:p>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（μg/m</w:t>
                  </w:r>
                  <w:r>
                    <w:rPr>
                      <w:rFonts w:hint="default" w:ascii="Times New Roman" w:hAnsi="Times New Roman" w:eastAsia="宋体" w:cs="Times New Roman"/>
                      <w:b w:val="0"/>
                      <w:bCs w:val="0"/>
                      <w:color w:val="auto"/>
                      <w:szCs w:val="21"/>
                      <w:vertAlign w:val="superscript"/>
                    </w:rPr>
                    <w:t>3</w:t>
                  </w:r>
                  <w:r>
                    <w:rPr>
                      <w:rFonts w:hint="default" w:ascii="Times New Roman" w:hAnsi="Times New Roman" w:eastAsia="宋体" w:cs="Times New Roman"/>
                      <w:b w:val="0"/>
                      <w:bCs w:val="0"/>
                      <w:color w:val="auto"/>
                      <w:szCs w:val="21"/>
                    </w:rPr>
                    <w:t>）</w:t>
                  </w:r>
                </w:p>
              </w:tc>
              <w:tc>
                <w:tcPr>
                  <w:tcW w:w="851"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占标率（%）</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restart"/>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大宁县</w:t>
                  </w: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SO</w:t>
                  </w:r>
                  <w:r>
                    <w:rPr>
                      <w:rFonts w:hint="default" w:ascii="Times New Roman" w:hAnsi="Times New Roman" w:eastAsia="宋体" w:cs="Times New Roman"/>
                      <w:b w:val="0"/>
                      <w:bCs w:val="0"/>
                      <w:color w:val="auto"/>
                      <w:szCs w:val="21"/>
                      <w:vertAlign w:val="subscript"/>
                    </w:rPr>
                    <w:t>2</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年平均质量浓度</w:t>
                  </w:r>
                </w:p>
              </w:tc>
              <w:tc>
                <w:tcPr>
                  <w:tcW w:w="992" w:type="dxa"/>
                  <w:vAlign w:val="center"/>
                </w:tcPr>
                <w:p>
                  <w:pPr>
                    <w:spacing w:line="240" w:lineRule="exact"/>
                    <w:jc w:val="center"/>
                    <w:rPr>
                      <w:rFonts w:hint="eastAsia" w:ascii="Times New Roman" w:hAnsi="Times New Roman" w:eastAsia="宋体" w:cs="Times New Roman"/>
                      <w:b w:val="0"/>
                      <w:bCs w:val="0"/>
                      <w:color w:val="auto"/>
                      <w:szCs w:val="21"/>
                      <w:lang w:eastAsia="zh-CN"/>
                    </w:rPr>
                  </w:pPr>
                  <w:r>
                    <w:rPr>
                      <w:rFonts w:hint="eastAsia" w:ascii="Times New Roman" w:hAnsi="Times New Roman" w:eastAsia="宋体" w:cs="Times New Roman"/>
                      <w:b w:val="0"/>
                      <w:bCs w:val="0"/>
                      <w:color w:val="auto"/>
                      <w:szCs w:val="21"/>
                      <w:lang w:val="en-US" w:eastAsia="zh-CN"/>
                    </w:rPr>
                    <w:t>6</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60</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10</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continue"/>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NO</w:t>
                  </w:r>
                  <w:r>
                    <w:rPr>
                      <w:rFonts w:hint="default" w:ascii="Times New Roman" w:hAnsi="Times New Roman" w:eastAsia="宋体" w:cs="Times New Roman"/>
                      <w:b w:val="0"/>
                      <w:bCs w:val="0"/>
                      <w:color w:val="auto"/>
                      <w:szCs w:val="21"/>
                      <w:vertAlign w:val="subscript"/>
                    </w:rPr>
                    <w:t>2</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年平均质量浓度</w:t>
                  </w:r>
                </w:p>
              </w:tc>
              <w:tc>
                <w:tcPr>
                  <w:tcW w:w="992"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25</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40</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63</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continue"/>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PM</w:t>
                  </w:r>
                  <w:r>
                    <w:rPr>
                      <w:rFonts w:hint="default" w:ascii="Times New Roman" w:hAnsi="Times New Roman" w:eastAsia="宋体" w:cs="Times New Roman"/>
                      <w:b w:val="0"/>
                      <w:bCs w:val="0"/>
                      <w:color w:val="auto"/>
                      <w:szCs w:val="21"/>
                      <w:vertAlign w:val="subscript"/>
                    </w:rPr>
                    <w:t>10</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年平均质量浓度</w:t>
                  </w:r>
                </w:p>
              </w:tc>
              <w:tc>
                <w:tcPr>
                  <w:tcW w:w="992"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52</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70</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74</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continue"/>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PM</w:t>
                  </w:r>
                  <w:r>
                    <w:rPr>
                      <w:rFonts w:hint="default" w:ascii="Times New Roman" w:hAnsi="Times New Roman" w:eastAsia="宋体" w:cs="Times New Roman"/>
                      <w:b w:val="0"/>
                      <w:bCs w:val="0"/>
                      <w:color w:val="auto"/>
                      <w:szCs w:val="21"/>
                      <w:vertAlign w:val="subscript"/>
                    </w:rPr>
                    <w:t>2.5</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年平均质量浓度</w:t>
                  </w:r>
                </w:p>
              </w:tc>
              <w:tc>
                <w:tcPr>
                  <w:tcW w:w="992"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27</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35</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77</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continue"/>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CO</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24小时平均第95%百分位值</w:t>
                  </w:r>
                </w:p>
              </w:tc>
              <w:tc>
                <w:tcPr>
                  <w:tcW w:w="992" w:type="dxa"/>
                  <w:vAlign w:val="center"/>
                </w:tcPr>
                <w:p>
                  <w:pPr>
                    <w:spacing w:line="240" w:lineRule="exact"/>
                    <w:jc w:val="center"/>
                    <w:rPr>
                      <w:rFonts w:hint="default" w:ascii="Times New Roman" w:hAnsi="Times New Roman" w:eastAsia="宋体" w:cs="Times New Roman"/>
                      <w:b w:val="0"/>
                      <w:bCs w:val="0"/>
                      <w:color w:val="auto"/>
                      <w:szCs w:val="21"/>
                    </w:rPr>
                  </w:pPr>
                  <w:r>
                    <w:rPr>
                      <w:rFonts w:hint="eastAsia" w:ascii="Times New Roman" w:hAnsi="Times New Roman" w:eastAsia="宋体" w:cs="Times New Roman"/>
                      <w:b w:val="0"/>
                      <w:bCs w:val="0"/>
                      <w:color w:val="auto"/>
                      <w:szCs w:val="21"/>
                      <w:lang w:val="en-US" w:eastAsia="zh-CN"/>
                    </w:rPr>
                    <w:t>9</w:t>
                  </w:r>
                  <w:r>
                    <w:rPr>
                      <w:rFonts w:hint="default" w:ascii="Times New Roman" w:hAnsi="Times New Roman" w:eastAsia="宋体" w:cs="Times New Roman"/>
                      <w:b w:val="0"/>
                      <w:bCs w:val="0"/>
                      <w:color w:val="auto"/>
                      <w:szCs w:val="21"/>
                    </w:rPr>
                    <w:t>00</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4000</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23</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jc w:val="center"/>
              </w:trPr>
              <w:tc>
                <w:tcPr>
                  <w:tcW w:w="740" w:type="dxa"/>
                  <w:vMerge w:val="continue"/>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p>
              </w:tc>
              <w:tc>
                <w:tcPr>
                  <w:tcW w:w="711"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O</w:t>
                  </w:r>
                  <w:r>
                    <w:rPr>
                      <w:rFonts w:hint="default" w:ascii="Times New Roman" w:hAnsi="Times New Roman" w:eastAsia="宋体" w:cs="Times New Roman"/>
                      <w:b w:val="0"/>
                      <w:bCs w:val="0"/>
                      <w:color w:val="auto"/>
                      <w:szCs w:val="21"/>
                      <w:vertAlign w:val="subscript"/>
                    </w:rPr>
                    <w:t>3</w:t>
                  </w:r>
                </w:p>
              </w:tc>
              <w:tc>
                <w:tcPr>
                  <w:tcW w:w="3014" w:type="dxa"/>
                  <w:vAlign w:val="center"/>
                </w:tcPr>
                <w:p>
                  <w:pPr>
                    <w:widowControl/>
                    <w:adjustRightInd w:val="0"/>
                    <w:snapToGrid w:val="0"/>
                    <w:jc w:val="center"/>
                    <w:rPr>
                      <w:rFonts w:hint="default" w:ascii="Times New Roman" w:hAnsi="Times New Roman" w:eastAsia="宋体" w:cs="Times New Roman"/>
                      <w:b w:val="0"/>
                      <w:bCs w:val="0"/>
                      <w:color w:val="auto"/>
                      <w:szCs w:val="21"/>
                    </w:rPr>
                  </w:pPr>
                  <w:r>
                    <w:rPr>
                      <w:rFonts w:hint="eastAsia" w:ascii="Times New Roman" w:hAnsi="Times New Roman" w:eastAsia="宋体" w:cs="Times New Roman"/>
                      <w:b w:val="0"/>
                      <w:bCs w:val="0"/>
                      <w:color w:val="auto"/>
                      <w:szCs w:val="21"/>
                      <w:lang w:val="en-US" w:eastAsia="zh-CN"/>
                    </w:rPr>
                    <w:t>最大8</w:t>
                  </w:r>
                  <w:r>
                    <w:rPr>
                      <w:rFonts w:hint="default" w:ascii="Times New Roman" w:hAnsi="Times New Roman" w:eastAsia="宋体" w:cs="Times New Roman"/>
                      <w:b w:val="0"/>
                      <w:bCs w:val="0"/>
                      <w:color w:val="auto"/>
                      <w:szCs w:val="21"/>
                    </w:rPr>
                    <w:t>小时平均第90%百分位值</w:t>
                  </w:r>
                </w:p>
              </w:tc>
              <w:tc>
                <w:tcPr>
                  <w:tcW w:w="992"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138</w:t>
                  </w:r>
                </w:p>
              </w:tc>
              <w:tc>
                <w:tcPr>
                  <w:tcW w:w="992"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160</w:t>
                  </w:r>
                </w:p>
              </w:tc>
              <w:tc>
                <w:tcPr>
                  <w:tcW w:w="851" w:type="dxa"/>
                  <w:vAlign w:val="center"/>
                </w:tcPr>
                <w:p>
                  <w:pPr>
                    <w:spacing w:line="24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86</w:t>
                  </w:r>
                </w:p>
              </w:tc>
              <w:tc>
                <w:tcPr>
                  <w:tcW w:w="664" w:type="dxa"/>
                  <w:vAlign w:val="center"/>
                </w:tcPr>
                <w:p>
                  <w:pPr>
                    <w:widowControl/>
                    <w:tabs>
                      <w:tab w:val="left" w:pos="460"/>
                    </w:tabs>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bl>
          <w:p>
            <w:pPr>
              <w:widowControl/>
              <w:adjustRightInd w:val="0"/>
              <w:snapToGrid w:val="0"/>
              <w:spacing w:line="460" w:lineRule="exact"/>
              <w:ind w:firstLine="48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由上表可知，202</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年大宁县SO</w:t>
            </w:r>
            <w:r>
              <w:rPr>
                <w:rFonts w:hint="default" w:ascii="Times New Roman" w:hAnsi="Times New Roman" w:eastAsia="宋体" w:cs="Times New Roman"/>
                <w:b w:val="0"/>
                <w:bCs w:val="0"/>
                <w:color w:val="auto"/>
                <w:sz w:val="24"/>
                <w:szCs w:val="24"/>
                <w:vertAlign w:val="subscript"/>
              </w:rPr>
              <w:t>2</w:t>
            </w:r>
            <w:r>
              <w:rPr>
                <w:rFonts w:hint="default" w:ascii="Times New Roman" w:hAnsi="Times New Roman" w:eastAsia="宋体" w:cs="Times New Roman"/>
                <w:b w:val="0"/>
                <w:bCs w:val="0"/>
                <w:color w:val="auto"/>
                <w:sz w:val="24"/>
                <w:szCs w:val="24"/>
              </w:rPr>
              <w:t>、NO</w:t>
            </w:r>
            <w:r>
              <w:rPr>
                <w:rFonts w:hint="default" w:ascii="Times New Roman" w:hAnsi="Times New Roman" w:eastAsia="宋体" w:cs="Times New Roman"/>
                <w:b w:val="0"/>
                <w:bCs w:val="0"/>
                <w:color w:val="auto"/>
                <w:sz w:val="24"/>
                <w:szCs w:val="24"/>
                <w:vertAlign w:val="subscript"/>
              </w:rPr>
              <w:t>2</w:t>
            </w:r>
            <w:r>
              <w:rPr>
                <w:rFonts w:hint="default" w:ascii="Times New Roman" w:hAnsi="Times New Roman" w:eastAsia="宋体" w:cs="Times New Roman"/>
                <w:b w:val="0"/>
                <w:bCs w:val="0"/>
                <w:color w:val="auto"/>
                <w:sz w:val="24"/>
                <w:szCs w:val="24"/>
              </w:rPr>
              <w:t>、PM</w:t>
            </w:r>
            <w:r>
              <w:rPr>
                <w:rFonts w:hint="default" w:ascii="Times New Roman" w:hAnsi="Times New Roman" w:eastAsia="宋体" w:cs="Times New Roman"/>
                <w:b w:val="0"/>
                <w:bCs w:val="0"/>
                <w:color w:val="auto"/>
                <w:sz w:val="24"/>
                <w:szCs w:val="24"/>
                <w:vertAlign w:val="subscript"/>
              </w:rPr>
              <w:t>10</w:t>
            </w:r>
            <w:r>
              <w:rPr>
                <w:rFonts w:hint="default" w:ascii="Times New Roman" w:hAnsi="Times New Roman" w:eastAsia="宋体" w:cs="Times New Roman"/>
                <w:b w:val="0"/>
                <w:bCs w:val="0"/>
                <w:color w:val="auto"/>
                <w:sz w:val="24"/>
                <w:szCs w:val="24"/>
              </w:rPr>
              <w:t>、PM</w:t>
            </w:r>
            <w:r>
              <w:rPr>
                <w:rFonts w:hint="default" w:ascii="Times New Roman" w:hAnsi="Times New Roman" w:eastAsia="宋体" w:cs="Times New Roman"/>
                <w:b w:val="0"/>
                <w:bCs w:val="0"/>
                <w:color w:val="auto"/>
                <w:sz w:val="24"/>
                <w:szCs w:val="24"/>
                <w:vertAlign w:val="subscript"/>
              </w:rPr>
              <w:t>2.5</w:t>
            </w:r>
            <w:r>
              <w:rPr>
                <w:rFonts w:hint="default" w:ascii="Times New Roman" w:hAnsi="Times New Roman" w:eastAsia="宋体" w:cs="Times New Roman"/>
                <w:b w:val="0"/>
                <w:bCs w:val="0"/>
                <w:color w:val="auto"/>
                <w:sz w:val="24"/>
                <w:szCs w:val="24"/>
              </w:rPr>
              <w:t>年均浓度和CO、O</w:t>
            </w:r>
            <w:r>
              <w:rPr>
                <w:rFonts w:hint="default" w:ascii="Times New Roman" w:hAnsi="Times New Roman" w:eastAsia="宋体" w:cs="Times New Roman"/>
                <w:b w:val="0"/>
                <w:bCs w:val="0"/>
                <w:color w:val="auto"/>
                <w:sz w:val="24"/>
                <w:szCs w:val="24"/>
                <w:vertAlign w:val="subscript"/>
              </w:rPr>
              <w:t>3</w:t>
            </w:r>
            <w:r>
              <w:rPr>
                <w:rFonts w:hint="default" w:ascii="Times New Roman" w:hAnsi="Times New Roman" w:eastAsia="宋体" w:cs="Times New Roman"/>
                <w:b w:val="0"/>
                <w:bCs w:val="0"/>
                <w:color w:val="auto"/>
                <w:sz w:val="24"/>
                <w:szCs w:val="24"/>
              </w:rPr>
              <w:t>百分位浓度均达到《环境空气质量标准》（GB3095-2012）中二级标准要求，说明大宁县属于环境空气质量达标区。</w:t>
            </w:r>
          </w:p>
          <w:p>
            <w:pPr>
              <w:snapToGrid w:val="0"/>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（2）特征污染物</w:t>
            </w:r>
          </w:p>
          <w:p>
            <w:pPr>
              <w:snapToGrid w:val="0"/>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为进一步了解项目所在地环境空气质量现状，本次评价委托山西华涵净环境检测有限公司于2022年9月</w:t>
            </w:r>
            <w:r>
              <w:rPr>
                <w:rFonts w:hint="default" w:ascii="Times New Roman" w:hAnsi="Times New Roman" w:eastAsia="宋体" w:cs="Times New Roman"/>
                <w:b w:val="0"/>
                <w:bCs w:val="0"/>
                <w:color w:val="auto"/>
                <w:sz w:val="24"/>
                <w:szCs w:val="24"/>
                <w:lang w:val="en-US" w:eastAsia="zh-CN"/>
              </w:rPr>
              <w:t>21</w:t>
            </w:r>
            <w:r>
              <w:rPr>
                <w:rFonts w:hint="default" w:ascii="Times New Roman" w:hAnsi="Times New Roman" w:eastAsia="宋体" w:cs="Times New Roman"/>
                <w:b w:val="0"/>
                <w:bCs w:val="0"/>
                <w:color w:val="auto"/>
                <w:sz w:val="24"/>
                <w:szCs w:val="24"/>
              </w:rPr>
              <w:t>日～9月</w:t>
            </w:r>
            <w:r>
              <w:rPr>
                <w:rFonts w:hint="default" w:ascii="Times New Roman" w:hAnsi="Times New Roman" w:eastAsia="宋体" w:cs="Times New Roman"/>
                <w:b w:val="0"/>
                <w:bCs w:val="0"/>
                <w:color w:val="auto"/>
                <w:sz w:val="24"/>
                <w:szCs w:val="24"/>
                <w:lang w:val="en-US" w:eastAsia="zh-CN"/>
              </w:rPr>
              <w:t>23</w:t>
            </w:r>
            <w:r>
              <w:rPr>
                <w:rFonts w:hint="default" w:ascii="Times New Roman" w:hAnsi="Times New Roman" w:eastAsia="宋体" w:cs="Times New Roman"/>
                <w:b w:val="0"/>
                <w:bCs w:val="0"/>
                <w:color w:val="auto"/>
                <w:sz w:val="24"/>
                <w:szCs w:val="24"/>
              </w:rPr>
              <w:t>日对</w:t>
            </w:r>
            <w:r>
              <w:rPr>
                <w:rFonts w:hint="default" w:ascii="Times New Roman" w:hAnsi="Times New Roman" w:eastAsia="宋体" w:cs="Times New Roman"/>
                <w:b w:val="0"/>
                <w:bCs w:val="0"/>
                <w:color w:val="auto"/>
                <w:sz w:val="24"/>
                <w:szCs w:val="24"/>
                <w:lang w:val="en-US" w:eastAsia="zh-CN"/>
              </w:rPr>
              <w:t>距离厂址西北侧80m</w:t>
            </w:r>
            <w:r>
              <w:rPr>
                <w:rFonts w:hint="eastAsia" w:ascii="Times New Roman" w:hAnsi="Times New Roman" w:eastAsia="宋体" w:cs="Times New Roman"/>
                <w:b w:val="0"/>
                <w:bCs w:val="0"/>
                <w:color w:val="auto"/>
                <w:sz w:val="24"/>
                <w:szCs w:val="24"/>
                <w:lang w:val="en-US" w:eastAsia="zh-CN"/>
              </w:rPr>
              <w:t>曲风村</w:t>
            </w:r>
            <w:r>
              <w:rPr>
                <w:rFonts w:hint="default" w:ascii="Times New Roman" w:hAnsi="Times New Roman" w:eastAsia="宋体" w:cs="Times New Roman"/>
                <w:b w:val="0"/>
                <w:bCs w:val="0"/>
                <w:color w:val="auto"/>
                <w:sz w:val="24"/>
                <w:szCs w:val="24"/>
                <w:lang w:val="en-US" w:eastAsia="zh-CN"/>
              </w:rPr>
              <w:t>的</w:t>
            </w:r>
            <w:r>
              <w:rPr>
                <w:rFonts w:hint="default" w:ascii="Times New Roman" w:hAnsi="Times New Roman" w:eastAsia="宋体" w:cs="Times New Roman"/>
                <w:b w:val="0"/>
                <w:bCs w:val="0"/>
                <w:color w:val="auto"/>
                <w:sz w:val="24"/>
                <w:szCs w:val="24"/>
              </w:rPr>
              <w:t>TSP和苯并【a】芘进行了现状监测，连续监测3天，TSP和苯并【a】芘每天采样24小时，监测结果见表3-2</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监测布点见图3-1</w:t>
            </w:r>
            <w:r>
              <w:rPr>
                <w:rFonts w:hint="default" w:ascii="Times New Roman" w:hAnsi="Times New Roman" w:eastAsia="宋体" w:cs="Times New Roman"/>
                <w:b w:val="0"/>
                <w:bCs w:val="0"/>
                <w:color w:val="auto"/>
                <w:sz w:val="24"/>
                <w:szCs w:val="24"/>
              </w:rPr>
              <w:t>。</w:t>
            </w:r>
          </w:p>
          <w:p>
            <w:pPr>
              <w:snapToGrid w:val="0"/>
              <w:spacing w:line="460" w:lineRule="exact"/>
              <w:ind w:firstLine="480" w:firstLineChars="20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表3-2  环境空气监测结果统计表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208"/>
              <w:gridCol w:w="2404"/>
              <w:gridCol w:w="1915"/>
              <w:gridCol w:w="24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75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点位</w:t>
                  </w:r>
                </w:p>
              </w:tc>
              <w:tc>
                <w:tcPr>
                  <w:tcW w:w="1509" w:type="pct"/>
                  <w:noWrap w:val="0"/>
                  <w:vAlign w:val="center"/>
                </w:tcPr>
                <w:p>
                  <w:pPr>
                    <w:widowControl/>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项目</w:t>
                  </w:r>
                </w:p>
              </w:tc>
              <w:tc>
                <w:tcPr>
                  <w:tcW w:w="120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TSP（</w:t>
                  </w:r>
                  <w:r>
                    <w:rPr>
                      <w:rFonts w:hint="default" w:ascii="Times New Roman" w:hAnsi="Times New Roman" w:eastAsia="宋体" w:cs="Times New Roman"/>
                      <w:b w:val="0"/>
                      <w:bCs w:val="0"/>
                      <w:color w:val="auto"/>
                      <w:kern w:val="0"/>
                      <w:szCs w:val="21"/>
                    </w:rPr>
                    <w:t>mg/m</w:t>
                  </w:r>
                  <w:r>
                    <w:rPr>
                      <w:rFonts w:hint="default" w:ascii="Times New Roman" w:hAnsi="Times New Roman" w:eastAsia="宋体" w:cs="Times New Roman"/>
                      <w:b w:val="0"/>
                      <w:bCs w:val="0"/>
                      <w:color w:val="auto"/>
                      <w:kern w:val="0"/>
                      <w:szCs w:val="21"/>
                      <w:vertAlign w:val="superscript"/>
                    </w:rPr>
                    <w:t>3</w:t>
                  </w:r>
                  <w:r>
                    <w:rPr>
                      <w:rFonts w:hint="default" w:ascii="Times New Roman" w:hAnsi="Times New Roman" w:eastAsia="宋体" w:cs="Times New Roman"/>
                      <w:b w:val="0"/>
                      <w:bCs w:val="0"/>
                      <w:color w:val="auto"/>
                      <w:szCs w:val="21"/>
                    </w:rPr>
                    <w:t>）</w:t>
                  </w:r>
                </w:p>
              </w:tc>
              <w:tc>
                <w:tcPr>
                  <w:tcW w:w="152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苯并【a】芘（</w:t>
                  </w:r>
                  <w:r>
                    <w:rPr>
                      <w:rFonts w:hint="default" w:ascii="Times New Roman" w:hAnsi="Times New Roman" w:eastAsia="宋体" w:cs="Times New Roman"/>
                      <w:b w:val="0"/>
                      <w:bCs w:val="0"/>
                      <w:color w:val="auto"/>
                      <w:kern w:val="0"/>
                      <w:szCs w:val="21"/>
                    </w:rPr>
                    <w:t>μg/m</w:t>
                  </w:r>
                  <w:r>
                    <w:rPr>
                      <w:rFonts w:hint="default" w:ascii="Times New Roman" w:hAnsi="Times New Roman" w:eastAsia="宋体" w:cs="Times New Roman"/>
                      <w:b w:val="0"/>
                      <w:bCs w:val="0"/>
                      <w:color w:val="auto"/>
                      <w:kern w:val="0"/>
                      <w:szCs w:val="21"/>
                      <w:vertAlign w:val="superscript"/>
                    </w:rPr>
                    <w:t>3</w:t>
                  </w: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759" w:type="pct"/>
                  <w:vMerge w:val="restart"/>
                  <w:noWrap w:val="0"/>
                  <w:vAlign w:val="center"/>
                </w:tcPr>
                <w:p>
                  <w:pPr>
                    <w:snapToGrid w:val="0"/>
                    <w:jc w:val="center"/>
                    <w:rPr>
                      <w:rFonts w:hint="eastAsia" w:ascii="Times New Roman" w:hAnsi="Times New Roman" w:eastAsia="宋体" w:cs="Times New Roman"/>
                      <w:b w:val="0"/>
                      <w:bCs w:val="0"/>
                      <w:color w:val="auto"/>
                      <w:szCs w:val="21"/>
                      <w:lang w:eastAsia="zh-CN"/>
                    </w:rPr>
                  </w:pPr>
                  <w:r>
                    <w:rPr>
                      <w:rFonts w:hint="eastAsia" w:ascii="Times New Roman" w:hAnsi="Times New Roman" w:eastAsia="宋体" w:cs="Times New Roman"/>
                      <w:b w:val="0"/>
                      <w:bCs w:val="0"/>
                      <w:color w:val="auto"/>
                      <w:szCs w:val="21"/>
                      <w:lang w:eastAsia="zh-CN"/>
                    </w:rPr>
                    <w:t>曲风村</w:t>
                  </w:r>
                </w:p>
              </w:tc>
              <w:tc>
                <w:tcPr>
                  <w:tcW w:w="1509"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2021.</w:t>
                  </w:r>
                  <w:r>
                    <w:rPr>
                      <w:rFonts w:hint="default" w:ascii="Times New Roman" w:hAnsi="Times New Roman" w:eastAsia="宋体" w:cs="Times New Roman"/>
                      <w:b w:val="0"/>
                      <w:bCs w:val="0"/>
                      <w:color w:val="auto"/>
                      <w:szCs w:val="21"/>
                      <w:lang w:val="en-US" w:eastAsia="zh-CN"/>
                    </w:rPr>
                    <w:t>9</w:t>
                  </w:r>
                  <w:r>
                    <w:rPr>
                      <w:rFonts w:hint="default" w:ascii="Times New Roman" w:hAnsi="Times New Roman" w:eastAsia="宋体" w:cs="Times New Roman"/>
                      <w:b w:val="0"/>
                      <w:bCs w:val="0"/>
                      <w:color w:val="auto"/>
                      <w:szCs w:val="21"/>
                    </w:rPr>
                    <w:t>.2</w:t>
                  </w:r>
                  <w:r>
                    <w:rPr>
                      <w:rFonts w:hint="default" w:ascii="Times New Roman" w:hAnsi="Times New Roman" w:eastAsia="宋体" w:cs="Times New Roman"/>
                      <w:b w:val="0"/>
                      <w:bCs w:val="0"/>
                      <w:color w:val="auto"/>
                      <w:szCs w:val="21"/>
                      <w:lang w:val="en-US" w:eastAsia="zh-CN"/>
                    </w:rPr>
                    <w:t>1</w:t>
                  </w:r>
                </w:p>
              </w:tc>
              <w:tc>
                <w:tcPr>
                  <w:tcW w:w="120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0.088</w:t>
                  </w:r>
                </w:p>
              </w:tc>
              <w:tc>
                <w:tcPr>
                  <w:tcW w:w="1528" w:type="pct"/>
                  <w:noWrap w:val="0"/>
                  <w:vAlign w:val="center"/>
                </w:tcPr>
                <w:p>
                  <w:pPr>
                    <w:jc w:val="center"/>
                    <w:rPr>
                      <w:rFonts w:hint="default" w:ascii="Times New Roman" w:hAnsi="Times New Roman" w:eastAsia="宋体" w:cs="Times New Roman"/>
                      <w:b w:val="0"/>
                      <w:bCs w:val="0"/>
                      <w:color w:val="auto"/>
                      <w:szCs w:val="21"/>
                      <w:vertAlign w:val="superscript"/>
                    </w:rPr>
                  </w:pPr>
                  <w:r>
                    <w:rPr>
                      <w:rFonts w:hint="default" w:ascii="Times New Roman" w:hAnsi="Times New Roman" w:eastAsia="宋体" w:cs="Times New Roman"/>
                      <w:b w:val="0"/>
                      <w:bCs w:val="0"/>
                      <w:color w:val="auto"/>
                      <w:szCs w:val="21"/>
                    </w:rPr>
                    <w:t>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759" w:type="pct"/>
                  <w:vMerge w:val="continue"/>
                  <w:noWrap w:val="0"/>
                  <w:vAlign w:val="center"/>
                </w:tcPr>
                <w:p>
                  <w:pPr>
                    <w:snapToGrid w:val="0"/>
                    <w:jc w:val="center"/>
                    <w:rPr>
                      <w:rFonts w:hint="default" w:ascii="Times New Roman" w:hAnsi="Times New Roman" w:eastAsia="宋体" w:cs="Times New Roman"/>
                      <w:b w:val="0"/>
                      <w:bCs w:val="0"/>
                      <w:color w:val="auto"/>
                      <w:szCs w:val="21"/>
                    </w:rPr>
                  </w:pPr>
                </w:p>
              </w:tc>
              <w:tc>
                <w:tcPr>
                  <w:tcW w:w="1509"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2021.</w:t>
                  </w:r>
                  <w:r>
                    <w:rPr>
                      <w:rFonts w:hint="default" w:ascii="Times New Roman" w:hAnsi="Times New Roman" w:eastAsia="宋体" w:cs="Times New Roman"/>
                      <w:b w:val="0"/>
                      <w:bCs w:val="0"/>
                      <w:color w:val="auto"/>
                      <w:szCs w:val="21"/>
                      <w:lang w:val="en-US" w:eastAsia="zh-CN"/>
                    </w:rPr>
                    <w:t>9</w:t>
                  </w:r>
                  <w:r>
                    <w:rPr>
                      <w:rFonts w:hint="default" w:ascii="Times New Roman" w:hAnsi="Times New Roman" w:eastAsia="宋体" w:cs="Times New Roman"/>
                      <w:b w:val="0"/>
                      <w:bCs w:val="0"/>
                      <w:color w:val="auto"/>
                      <w:szCs w:val="21"/>
                    </w:rPr>
                    <w:t>.2</w:t>
                  </w:r>
                  <w:r>
                    <w:rPr>
                      <w:rFonts w:hint="default" w:ascii="Times New Roman" w:hAnsi="Times New Roman" w:eastAsia="宋体" w:cs="Times New Roman"/>
                      <w:b w:val="0"/>
                      <w:bCs w:val="0"/>
                      <w:color w:val="auto"/>
                      <w:szCs w:val="21"/>
                      <w:lang w:val="en-US" w:eastAsia="zh-CN"/>
                    </w:rPr>
                    <w:t>2</w:t>
                  </w:r>
                </w:p>
              </w:tc>
              <w:tc>
                <w:tcPr>
                  <w:tcW w:w="120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0.103</w:t>
                  </w:r>
                </w:p>
              </w:tc>
              <w:tc>
                <w:tcPr>
                  <w:tcW w:w="152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759" w:type="pct"/>
                  <w:vMerge w:val="continue"/>
                  <w:noWrap w:val="0"/>
                  <w:vAlign w:val="center"/>
                </w:tcPr>
                <w:p>
                  <w:pPr>
                    <w:snapToGrid w:val="0"/>
                    <w:jc w:val="center"/>
                    <w:rPr>
                      <w:rFonts w:hint="default" w:ascii="Times New Roman" w:hAnsi="Times New Roman" w:eastAsia="宋体" w:cs="Times New Roman"/>
                      <w:b w:val="0"/>
                      <w:bCs w:val="0"/>
                      <w:color w:val="auto"/>
                      <w:szCs w:val="21"/>
                    </w:rPr>
                  </w:pPr>
                </w:p>
              </w:tc>
              <w:tc>
                <w:tcPr>
                  <w:tcW w:w="1509"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2021.</w:t>
                  </w:r>
                  <w:r>
                    <w:rPr>
                      <w:rFonts w:hint="default" w:ascii="Times New Roman" w:hAnsi="Times New Roman" w:eastAsia="宋体" w:cs="Times New Roman"/>
                      <w:b w:val="0"/>
                      <w:bCs w:val="0"/>
                      <w:color w:val="auto"/>
                      <w:szCs w:val="21"/>
                      <w:lang w:val="en-US" w:eastAsia="zh-CN"/>
                    </w:rPr>
                    <w:t>9</w:t>
                  </w:r>
                  <w:r>
                    <w:rPr>
                      <w:rFonts w:hint="default" w:ascii="Times New Roman" w:hAnsi="Times New Roman" w:eastAsia="宋体" w:cs="Times New Roman"/>
                      <w:b w:val="0"/>
                      <w:bCs w:val="0"/>
                      <w:color w:val="auto"/>
                      <w:szCs w:val="21"/>
                    </w:rPr>
                    <w:t>.2</w:t>
                  </w:r>
                  <w:r>
                    <w:rPr>
                      <w:rFonts w:hint="default" w:ascii="Times New Roman" w:hAnsi="Times New Roman" w:eastAsia="宋体" w:cs="Times New Roman"/>
                      <w:b w:val="0"/>
                      <w:bCs w:val="0"/>
                      <w:color w:val="auto"/>
                      <w:szCs w:val="21"/>
                      <w:lang w:val="en-US" w:eastAsia="zh-CN"/>
                    </w:rPr>
                    <w:t>3</w:t>
                  </w:r>
                </w:p>
              </w:tc>
              <w:tc>
                <w:tcPr>
                  <w:tcW w:w="120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0.086</w:t>
                  </w:r>
                </w:p>
              </w:tc>
              <w:tc>
                <w:tcPr>
                  <w:tcW w:w="152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2268"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标准值</w:t>
                  </w:r>
                </w:p>
              </w:tc>
              <w:tc>
                <w:tcPr>
                  <w:tcW w:w="120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0.3</w:t>
                  </w:r>
                </w:p>
              </w:tc>
              <w:tc>
                <w:tcPr>
                  <w:tcW w:w="152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2268"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最大浓度占标率（%）</w:t>
                  </w:r>
                </w:p>
              </w:tc>
              <w:tc>
                <w:tcPr>
                  <w:tcW w:w="120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34</w:t>
                  </w:r>
                </w:p>
              </w:tc>
              <w:tc>
                <w:tcPr>
                  <w:tcW w:w="1528" w:type="pct"/>
                  <w:noWrap w:val="0"/>
                  <w:vAlign w:val="center"/>
                </w:tcPr>
                <w:p>
                  <w:pPr>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2268"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达标情况</w:t>
                  </w:r>
                </w:p>
              </w:tc>
              <w:tc>
                <w:tcPr>
                  <w:tcW w:w="120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152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jc w:val="center"/>
              </w:trPr>
              <w:tc>
                <w:tcPr>
                  <w:tcW w:w="5000" w:type="pct"/>
                  <w:gridSpan w:val="4"/>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注：ND表示未检出</w:t>
                  </w:r>
                </w:p>
              </w:tc>
            </w:tr>
          </w:tbl>
          <w:p>
            <w:pPr>
              <w:widowControl/>
              <w:adjustRightInd w:val="0"/>
              <w:snapToGrid w:val="0"/>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由上表可知，监测点TSP日均浓度和苯并【a】芘日均浓度均能够达到《环境空气质量标准》（GB3095-2012）二级标准要求。</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val="0"/>
                <w:bCs w:val="0"/>
                <w:color w:val="auto"/>
                <w:sz w:val="24"/>
                <w:szCs w:val="24"/>
              </w:rPr>
            </w:pPr>
            <w:r>
              <w:rPr>
                <w:color w:val="auto"/>
              </w:rPr>
              <w:drawing>
                <wp:inline distT="0" distB="0" distL="114300" distR="114300">
                  <wp:extent cx="5062855" cy="3659505"/>
                  <wp:effectExtent l="0" t="0" r="0" b="0"/>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pic:cNvPicPr>
                        </pic:nvPicPr>
                        <pic:blipFill>
                          <a:blip r:embed="rId29"/>
                          <a:stretch>
                            <a:fillRect/>
                          </a:stretch>
                        </pic:blipFill>
                        <pic:spPr>
                          <a:xfrm>
                            <a:off x="0" y="0"/>
                            <a:ext cx="5062855" cy="3659505"/>
                          </a:xfrm>
                          <a:prstGeom prst="rect">
                            <a:avLst/>
                          </a:prstGeom>
                          <a:noFill/>
                          <a:ln>
                            <a:noFill/>
                          </a:ln>
                        </pic:spPr>
                      </pic:pic>
                    </a:graphicData>
                  </a:graphic>
                </wp:inline>
              </w:drawing>
            </w:r>
          </w:p>
          <w:p>
            <w:pPr>
              <w:spacing w:line="460" w:lineRule="exact"/>
              <w:jc w:val="center"/>
              <w:rPr>
                <w:rFonts w:ascii="Times New Roman" w:hAnsi="Times New Roman" w:eastAsia="宋体" w:cs="Times New Roman"/>
                <w:color w:val="auto"/>
                <w:sz w:val="24"/>
                <w:szCs w:val="32"/>
              </w:rPr>
            </w:pPr>
            <w:r>
              <w:rPr>
                <w:rFonts w:ascii="Times New Roman" w:hAnsi="Times New Roman" w:eastAsia="宋体" w:cs="Times New Roman"/>
                <w:color w:val="auto"/>
                <w:sz w:val="24"/>
                <w:szCs w:val="32"/>
              </w:rPr>
              <w:t>图</w:t>
            </w:r>
            <w:r>
              <w:rPr>
                <w:rFonts w:hint="eastAsia" w:ascii="Times New Roman" w:hAnsi="Times New Roman" w:eastAsia="宋体" w:cs="Times New Roman"/>
                <w:color w:val="auto"/>
                <w:sz w:val="24"/>
                <w:szCs w:val="32"/>
                <w:lang w:val="en-US" w:eastAsia="zh-CN"/>
              </w:rPr>
              <w:t>3</w:t>
            </w:r>
            <w:r>
              <w:rPr>
                <w:rFonts w:ascii="Times New Roman" w:hAnsi="Times New Roman" w:eastAsia="宋体" w:cs="Times New Roman"/>
                <w:color w:val="auto"/>
                <w:sz w:val="24"/>
                <w:szCs w:val="32"/>
              </w:rPr>
              <w:t>-</w:t>
            </w:r>
            <w:r>
              <w:rPr>
                <w:rFonts w:hint="eastAsia" w:ascii="Times New Roman" w:hAnsi="Times New Roman" w:eastAsia="宋体" w:cs="Times New Roman"/>
                <w:color w:val="auto"/>
                <w:sz w:val="24"/>
                <w:szCs w:val="32"/>
                <w:lang w:val="en-US" w:eastAsia="zh-CN"/>
              </w:rPr>
              <w:t>1</w:t>
            </w:r>
            <w:r>
              <w:rPr>
                <w:rFonts w:ascii="Times New Roman" w:hAnsi="Times New Roman" w:eastAsia="宋体" w:cs="Times New Roman"/>
                <w:color w:val="auto"/>
                <w:sz w:val="24"/>
                <w:szCs w:val="32"/>
              </w:rPr>
              <w:t xml:space="preserve">  </w:t>
            </w:r>
            <w:r>
              <w:rPr>
                <w:rFonts w:hint="eastAsia" w:ascii="Times New Roman" w:hAnsi="Times New Roman" w:eastAsia="宋体" w:cs="Times New Roman"/>
                <w:color w:val="auto"/>
                <w:sz w:val="24"/>
                <w:szCs w:val="32"/>
                <w:lang w:val="en-US" w:eastAsia="zh-CN"/>
              </w:rPr>
              <w:t>监测点位</w:t>
            </w:r>
            <w:r>
              <w:rPr>
                <w:rFonts w:ascii="Times New Roman" w:hAnsi="Times New Roman" w:eastAsia="宋体" w:cs="Times New Roman"/>
                <w:color w:val="auto"/>
                <w:sz w:val="24"/>
                <w:szCs w:val="32"/>
              </w:rPr>
              <w:t>图</w:t>
            </w:r>
          </w:p>
          <w:p>
            <w:pPr>
              <w:adjustRightInd w:val="0"/>
              <w:snapToGrid w:val="0"/>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2、地表水环境</w:t>
            </w:r>
          </w:p>
          <w:p>
            <w:pPr>
              <w:adjustRightInd w:val="0"/>
              <w:snapToGrid w:val="0"/>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本次建设项目距离最近河流为</w:t>
            </w:r>
            <w:r>
              <w:rPr>
                <w:rFonts w:hint="default" w:ascii="Times New Roman" w:hAnsi="Times New Roman" w:eastAsia="宋体" w:cs="Times New Roman"/>
                <w:b w:val="0"/>
                <w:bCs w:val="0"/>
                <w:color w:val="auto"/>
                <w:kern w:val="0"/>
                <w:sz w:val="24"/>
                <w:szCs w:val="24"/>
                <w:lang w:val="en-US" w:eastAsia="zh-CN"/>
              </w:rPr>
              <w:t>南</w:t>
            </w:r>
            <w:r>
              <w:rPr>
                <w:rFonts w:hint="default" w:ascii="Times New Roman" w:hAnsi="Times New Roman" w:eastAsia="宋体" w:cs="Times New Roman"/>
                <w:b w:val="0"/>
                <w:bCs w:val="0"/>
                <w:color w:val="auto"/>
                <w:kern w:val="0"/>
                <w:sz w:val="24"/>
                <w:szCs w:val="24"/>
              </w:rPr>
              <w:t>侧约</w:t>
            </w:r>
            <w:r>
              <w:rPr>
                <w:rFonts w:hint="default" w:ascii="Times New Roman" w:hAnsi="Times New Roman" w:eastAsia="宋体" w:cs="Times New Roman"/>
                <w:b w:val="0"/>
                <w:bCs w:val="0"/>
                <w:color w:val="auto"/>
                <w:kern w:val="0"/>
                <w:sz w:val="24"/>
                <w:szCs w:val="24"/>
                <w:lang w:val="en-US" w:eastAsia="zh-CN"/>
              </w:rPr>
              <w:t>0.1</w:t>
            </w:r>
            <w:r>
              <w:rPr>
                <w:rFonts w:hint="eastAsia" w:ascii="Times New Roman" w:hAnsi="Times New Roman" w:eastAsia="宋体" w:cs="Times New Roman"/>
                <w:b w:val="0"/>
                <w:bCs w:val="0"/>
                <w:color w:val="auto"/>
                <w:kern w:val="0"/>
                <w:sz w:val="24"/>
                <w:szCs w:val="24"/>
                <w:lang w:val="en-US" w:eastAsia="zh-CN"/>
              </w:rPr>
              <w:t>0</w:t>
            </w:r>
            <w:r>
              <w:rPr>
                <w:rFonts w:hint="default" w:ascii="Times New Roman" w:hAnsi="Times New Roman" w:eastAsia="宋体" w:cs="Times New Roman"/>
                <w:b w:val="0"/>
                <w:bCs w:val="0"/>
                <w:color w:val="auto"/>
                <w:kern w:val="0"/>
                <w:sz w:val="24"/>
                <w:szCs w:val="24"/>
              </w:rPr>
              <w:t>km的</w:t>
            </w:r>
            <w:r>
              <w:rPr>
                <w:rFonts w:hint="default" w:ascii="Times New Roman" w:hAnsi="Times New Roman" w:eastAsia="宋体" w:cs="Times New Roman"/>
                <w:b w:val="0"/>
                <w:bCs w:val="0"/>
                <w:color w:val="auto"/>
                <w:kern w:val="0"/>
                <w:sz w:val="24"/>
                <w:szCs w:val="24"/>
                <w:lang w:val="en-US" w:eastAsia="zh-CN"/>
              </w:rPr>
              <w:t>昕水</w:t>
            </w:r>
            <w:r>
              <w:rPr>
                <w:rFonts w:hint="default" w:ascii="Times New Roman" w:hAnsi="Times New Roman" w:eastAsia="宋体" w:cs="Times New Roman"/>
                <w:b w:val="0"/>
                <w:bCs w:val="0"/>
                <w:color w:val="auto"/>
                <w:kern w:val="0"/>
                <w:sz w:val="24"/>
                <w:szCs w:val="24"/>
              </w:rPr>
              <w:t>河。根据《山西省地表水水环境功能区划》（DB14/67-2019）规定，本项目场址所在区域位于昕水河“下胡成—入黄河”段，水环境功能为“一般河流源头水保护”，所处的黑城村断面水质要求为Ⅲ类，根据临汾市生态环境局发布的临汾市地表水水质状况报告，</w:t>
            </w:r>
            <w:r>
              <w:rPr>
                <w:rFonts w:hint="default" w:ascii="Times New Roman" w:hAnsi="Times New Roman" w:eastAsia="宋体" w:cs="Times New Roman"/>
                <w:b w:val="0"/>
                <w:bCs w:val="0"/>
                <w:color w:val="auto"/>
                <w:kern w:val="0"/>
                <w:sz w:val="24"/>
                <w:szCs w:val="24"/>
                <w:lang w:val="en-US" w:eastAsia="zh-CN"/>
              </w:rPr>
              <w:t>昕水河黑城村</w:t>
            </w:r>
            <w:r>
              <w:rPr>
                <w:rFonts w:hint="default" w:ascii="Times New Roman" w:hAnsi="Times New Roman" w:eastAsia="宋体" w:cs="Times New Roman"/>
                <w:b w:val="0"/>
                <w:bCs w:val="0"/>
                <w:color w:val="auto"/>
                <w:kern w:val="0"/>
                <w:sz w:val="24"/>
                <w:szCs w:val="24"/>
              </w:rPr>
              <w:t>断面2022年</w:t>
            </w:r>
            <w:r>
              <w:rPr>
                <w:rFonts w:hint="eastAsia" w:ascii="Times New Roman" w:hAnsi="Times New Roman" w:eastAsia="宋体" w:cs="Times New Roman"/>
                <w:b w:val="0"/>
                <w:bCs w:val="0"/>
                <w:color w:val="auto"/>
                <w:kern w:val="0"/>
                <w:sz w:val="24"/>
                <w:szCs w:val="24"/>
                <w:lang w:val="en-US" w:eastAsia="zh-CN"/>
              </w:rPr>
              <w:t>1-12</w:t>
            </w:r>
            <w:r>
              <w:rPr>
                <w:rFonts w:hint="default" w:ascii="Times New Roman" w:hAnsi="Times New Roman" w:eastAsia="宋体" w:cs="Times New Roman"/>
                <w:b w:val="0"/>
                <w:bCs w:val="0"/>
                <w:color w:val="auto"/>
                <w:kern w:val="0"/>
                <w:sz w:val="24"/>
                <w:szCs w:val="24"/>
              </w:rPr>
              <w:t>月为</w:t>
            </w:r>
            <w:r>
              <w:rPr>
                <w:rFonts w:hint="default" w:ascii="Times New Roman" w:hAnsi="Times New Roman" w:eastAsia="宋体" w:cs="Times New Roman"/>
                <w:b w:val="0"/>
                <w:bCs w:val="0"/>
                <w:color w:val="auto"/>
                <w:kern w:val="0"/>
                <w:sz w:val="24"/>
                <w:szCs w:val="24"/>
                <w:lang w:val="en-US" w:eastAsia="zh-CN"/>
              </w:rPr>
              <w:t>Ⅱ</w:t>
            </w:r>
            <w:r>
              <w:rPr>
                <w:rFonts w:hint="default" w:ascii="Times New Roman" w:hAnsi="Times New Roman" w:eastAsia="宋体" w:cs="Times New Roman"/>
                <w:b w:val="0"/>
                <w:bCs w:val="0"/>
                <w:color w:val="auto"/>
                <w:kern w:val="0"/>
                <w:sz w:val="24"/>
                <w:szCs w:val="24"/>
              </w:rPr>
              <w:t>类</w:t>
            </w:r>
            <w:r>
              <w:rPr>
                <w:rFonts w:hint="eastAsia" w:ascii="Times New Roman" w:hAnsi="Times New Roman" w:eastAsia="宋体" w:cs="Times New Roman"/>
                <w:b w:val="0"/>
                <w:bCs w:val="0"/>
                <w:color w:val="auto"/>
                <w:kern w:val="0"/>
                <w:sz w:val="24"/>
                <w:szCs w:val="24"/>
                <w:lang w:val="en-US" w:eastAsia="zh-CN"/>
              </w:rPr>
              <w:t>或</w:t>
            </w:r>
            <w:r>
              <w:rPr>
                <w:rFonts w:hint="default" w:ascii="Times New Roman" w:hAnsi="Times New Roman" w:eastAsia="宋体" w:cs="Times New Roman"/>
                <w:b w:val="0"/>
                <w:bCs w:val="0"/>
                <w:color w:val="auto"/>
                <w:kern w:val="0"/>
                <w:sz w:val="24"/>
                <w:szCs w:val="24"/>
              </w:rPr>
              <w:t>Ⅲ类水质，满足该断面的Ⅲ类水水质要求，说明所处区域地表水环境质量属于达标区。</w:t>
            </w:r>
          </w:p>
          <w:p>
            <w:pPr>
              <w:adjustRightInd w:val="0"/>
              <w:snapToGrid w:val="0"/>
              <w:spacing w:line="460" w:lineRule="exact"/>
              <w:ind w:firstLine="480" w:firstLineChars="200"/>
              <w:rPr>
                <w:rFonts w:hint="default" w:ascii="Times New Roman" w:hAnsi="Times New Roman" w:eastAsia="宋体" w:cs="Times New Roman"/>
                <w:b w:val="0"/>
                <w:bCs w:val="0"/>
                <w:color w:val="auto"/>
                <w:kern w:val="0"/>
                <w:sz w:val="24"/>
              </w:rPr>
            </w:pPr>
            <w:r>
              <w:rPr>
                <w:rFonts w:hint="default" w:ascii="Times New Roman" w:hAnsi="Times New Roman" w:eastAsia="宋体" w:cs="Times New Roman"/>
                <w:b w:val="0"/>
                <w:bCs w:val="0"/>
                <w:color w:val="auto"/>
                <w:kern w:val="0"/>
                <w:sz w:val="24"/>
              </w:rPr>
              <w:t>3、地下水环境</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⑴现状监测</w:t>
            </w:r>
          </w:p>
          <w:p>
            <w:pPr>
              <w:adjustRightInd w:val="0"/>
              <w:snapToGrid w:val="0"/>
              <w:spacing w:line="460" w:lineRule="exact"/>
              <w:ind w:firstLine="480" w:firstLineChars="200"/>
              <w:rPr>
                <w:rFonts w:hint="default" w:ascii="Times New Roman" w:hAnsi="Times New Roman" w:eastAsia="宋体" w:cs="Times New Roman"/>
                <w:b w:val="0"/>
                <w:bCs w:val="0"/>
                <w:color w:val="auto"/>
                <w:kern w:val="0"/>
                <w:sz w:val="24"/>
              </w:rPr>
            </w:pPr>
            <w:r>
              <w:rPr>
                <w:rFonts w:hint="default" w:ascii="Times New Roman" w:hAnsi="Times New Roman" w:eastAsia="宋体" w:cs="Times New Roman"/>
                <w:b w:val="0"/>
                <w:bCs w:val="0"/>
                <w:color w:val="auto"/>
                <w:kern w:val="0"/>
                <w:sz w:val="24"/>
              </w:rPr>
              <w:t>本次评价委托山西华涵净环境检测有限公司于202</w:t>
            </w:r>
            <w:r>
              <w:rPr>
                <w:rFonts w:hint="default" w:ascii="Times New Roman" w:hAnsi="Times New Roman" w:eastAsia="宋体" w:cs="Times New Roman"/>
                <w:b w:val="0"/>
                <w:bCs w:val="0"/>
                <w:color w:val="auto"/>
                <w:kern w:val="0"/>
                <w:sz w:val="24"/>
                <w:lang w:val="en-US" w:eastAsia="zh-CN"/>
              </w:rPr>
              <w:t>2</w:t>
            </w:r>
            <w:r>
              <w:rPr>
                <w:rFonts w:hint="default" w:ascii="Times New Roman" w:hAnsi="Times New Roman" w:eastAsia="宋体" w:cs="Times New Roman"/>
                <w:b w:val="0"/>
                <w:bCs w:val="0"/>
                <w:color w:val="auto"/>
                <w:kern w:val="0"/>
                <w:sz w:val="24"/>
              </w:rPr>
              <w:t>年</w:t>
            </w:r>
            <w:r>
              <w:rPr>
                <w:rFonts w:hint="default" w:ascii="Times New Roman" w:hAnsi="Times New Roman" w:eastAsia="宋体" w:cs="Times New Roman"/>
                <w:b w:val="0"/>
                <w:bCs w:val="0"/>
                <w:color w:val="auto"/>
                <w:kern w:val="0"/>
                <w:sz w:val="24"/>
                <w:lang w:val="en-US" w:eastAsia="zh-CN"/>
              </w:rPr>
              <w:t>9</w:t>
            </w:r>
            <w:r>
              <w:rPr>
                <w:rFonts w:hint="default" w:ascii="Times New Roman" w:hAnsi="Times New Roman" w:eastAsia="宋体" w:cs="Times New Roman"/>
                <w:b w:val="0"/>
                <w:bCs w:val="0"/>
                <w:color w:val="auto"/>
                <w:kern w:val="0"/>
                <w:sz w:val="24"/>
              </w:rPr>
              <w:t>月</w:t>
            </w:r>
            <w:r>
              <w:rPr>
                <w:rFonts w:hint="default" w:ascii="Times New Roman" w:hAnsi="Times New Roman" w:eastAsia="宋体" w:cs="Times New Roman"/>
                <w:b w:val="0"/>
                <w:bCs w:val="0"/>
                <w:color w:val="auto"/>
                <w:kern w:val="0"/>
                <w:sz w:val="24"/>
                <w:lang w:val="en-US" w:eastAsia="zh-CN"/>
              </w:rPr>
              <w:t>21</w:t>
            </w:r>
            <w:r>
              <w:rPr>
                <w:rFonts w:hint="default" w:ascii="Times New Roman" w:hAnsi="Times New Roman" w:eastAsia="宋体" w:cs="Times New Roman"/>
                <w:b w:val="0"/>
                <w:bCs w:val="0"/>
                <w:color w:val="auto"/>
                <w:kern w:val="0"/>
                <w:sz w:val="24"/>
              </w:rPr>
              <w:t>日对项目所在区域地下水环境质量现状进行监测，监测内容见表3-3，监测结果见表3-4</w:t>
            </w:r>
            <w:r>
              <w:rPr>
                <w:rFonts w:hint="eastAsia" w:ascii="Times New Roman" w:hAnsi="Times New Roman" w:eastAsia="宋体" w:cs="Times New Roman"/>
                <w:b w:val="0"/>
                <w:bCs w:val="0"/>
                <w:color w:val="auto"/>
                <w:kern w:val="0"/>
                <w:sz w:val="24"/>
                <w:lang w:eastAsia="zh-CN"/>
              </w:rPr>
              <w:t>，</w:t>
            </w:r>
            <w:r>
              <w:rPr>
                <w:rFonts w:hint="eastAsia" w:ascii="Times New Roman" w:hAnsi="Times New Roman" w:eastAsia="宋体" w:cs="Times New Roman"/>
                <w:b w:val="0"/>
                <w:bCs w:val="0"/>
                <w:color w:val="auto"/>
                <w:sz w:val="24"/>
                <w:szCs w:val="24"/>
                <w:lang w:val="en-US" w:eastAsia="zh-CN"/>
              </w:rPr>
              <w:t>监测布点见图3-1</w:t>
            </w:r>
            <w:r>
              <w:rPr>
                <w:rFonts w:hint="default" w:ascii="Times New Roman" w:hAnsi="Times New Roman" w:eastAsia="宋体" w:cs="Times New Roman"/>
                <w:b w:val="0"/>
                <w:bCs w:val="0"/>
                <w:color w:val="auto"/>
                <w:sz w:val="24"/>
                <w:szCs w:val="24"/>
              </w:rPr>
              <w:t>。</w:t>
            </w:r>
          </w:p>
          <w:p>
            <w:pPr>
              <w:adjustRightInd w:val="0"/>
              <w:snapToGrid w:val="0"/>
              <w:spacing w:line="460" w:lineRule="exact"/>
              <w:jc w:val="center"/>
              <w:rPr>
                <w:rFonts w:hint="default" w:ascii="Times New Roman" w:hAnsi="Times New Roman" w:eastAsia="宋体" w:cs="Times New Roman"/>
                <w:b w:val="0"/>
                <w:bCs w:val="0"/>
                <w:color w:val="auto"/>
                <w:kern w:val="0"/>
                <w:sz w:val="24"/>
              </w:rPr>
            </w:pPr>
            <w:r>
              <w:rPr>
                <w:rFonts w:hint="default" w:ascii="Times New Roman" w:hAnsi="Times New Roman" w:eastAsia="宋体" w:cs="Times New Roman"/>
                <w:b w:val="0"/>
                <w:bCs w:val="0"/>
                <w:color w:val="auto"/>
                <w:kern w:val="0"/>
                <w:sz w:val="24"/>
              </w:rPr>
              <w:t>表3-3  地下水监测内容一览表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836"/>
              <w:gridCol w:w="4438"/>
              <w:gridCol w:w="755"/>
              <w:gridCol w:w="1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51"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类别</w:t>
                  </w:r>
                </w:p>
              </w:tc>
              <w:tc>
                <w:tcPr>
                  <w:tcW w:w="525"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点位</w:t>
                  </w:r>
                </w:p>
              </w:tc>
              <w:tc>
                <w:tcPr>
                  <w:tcW w:w="2786"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项目</w:t>
                  </w:r>
                </w:p>
              </w:tc>
              <w:tc>
                <w:tcPr>
                  <w:tcW w:w="474"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频次</w:t>
                  </w:r>
                </w:p>
              </w:tc>
              <w:tc>
                <w:tcPr>
                  <w:tcW w:w="664"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jc w:val="center"/>
              </w:trPr>
              <w:tc>
                <w:tcPr>
                  <w:tcW w:w="551" w:type="pct"/>
                  <w:noWrap w:val="0"/>
                  <w:vAlign w:val="center"/>
                </w:tcPr>
                <w:p>
                  <w:pPr>
                    <w:contextualSpacing/>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地下水</w:t>
                  </w:r>
                </w:p>
              </w:tc>
              <w:tc>
                <w:tcPr>
                  <w:tcW w:w="525" w:type="pct"/>
                  <w:noWrap w:val="0"/>
                  <w:vAlign w:val="center"/>
                </w:tcPr>
                <w:p>
                  <w:pPr>
                    <w:pStyle w:val="2"/>
                    <w:jc w:val="center"/>
                    <w:rPr>
                      <w:rFonts w:hint="default" w:ascii="Times New Roman" w:hAnsi="Times New Roman" w:eastAsia="宋体" w:cs="Times New Roman"/>
                      <w:b w:val="0"/>
                      <w:bCs w:val="0"/>
                      <w:color w:val="auto"/>
                      <w:kern w:val="2"/>
                      <w:sz w:val="21"/>
                      <w:szCs w:val="21"/>
                    </w:rPr>
                  </w:pPr>
                  <w:r>
                    <w:rPr>
                      <w:rFonts w:hint="default" w:ascii="Times New Roman" w:hAnsi="Times New Roman" w:eastAsia="宋体" w:cs="Times New Roman"/>
                      <w:b w:val="0"/>
                      <w:bCs w:val="0"/>
                      <w:color w:val="auto"/>
                      <w:kern w:val="2"/>
                      <w:sz w:val="21"/>
                      <w:szCs w:val="21"/>
                    </w:rPr>
                    <w:t>厂区水井</w:t>
                  </w:r>
                </w:p>
              </w:tc>
              <w:tc>
                <w:tcPr>
                  <w:tcW w:w="2786"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K</w:t>
                  </w:r>
                  <w:r>
                    <w:rPr>
                      <w:rFonts w:hint="default" w:ascii="Times New Roman" w:hAnsi="Times New Roman" w:eastAsia="宋体" w:cs="Times New Roman"/>
                      <w:b w:val="0"/>
                      <w:bCs w:val="0"/>
                      <w:color w:val="auto"/>
                      <w:szCs w:val="21"/>
                      <w:vertAlign w:val="superscript"/>
                    </w:rPr>
                    <w:t>+</w:t>
                  </w:r>
                  <w:r>
                    <w:rPr>
                      <w:rFonts w:hint="default" w:ascii="Times New Roman" w:hAnsi="Times New Roman" w:eastAsia="宋体" w:cs="Times New Roman"/>
                      <w:b w:val="0"/>
                      <w:bCs w:val="0"/>
                      <w:color w:val="auto"/>
                      <w:szCs w:val="21"/>
                    </w:rPr>
                    <w:t>、Na</w:t>
                  </w:r>
                  <w:r>
                    <w:rPr>
                      <w:rFonts w:hint="default" w:ascii="Times New Roman" w:hAnsi="Times New Roman" w:eastAsia="宋体" w:cs="Times New Roman"/>
                      <w:b w:val="0"/>
                      <w:bCs w:val="0"/>
                      <w:color w:val="auto"/>
                      <w:szCs w:val="21"/>
                      <w:vertAlign w:val="superscript"/>
                    </w:rPr>
                    <w:t>+</w:t>
                  </w:r>
                  <w:r>
                    <w:rPr>
                      <w:rFonts w:hint="default" w:ascii="Times New Roman" w:hAnsi="Times New Roman" w:eastAsia="宋体" w:cs="Times New Roman"/>
                      <w:b w:val="0"/>
                      <w:bCs w:val="0"/>
                      <w:color w:val="auto"/>
                      <w:szCs w:val="21"/>
                    </w:rPr>
                    <w:t>、Ca</w:t>
                  </w:r>
                  <w:r>
                    <w:rPr>
                      <w:rFonts w:hint="default" w:ascii="Times New Roman" w:hAnsi="Times New Roman" w:eastAsia="宋体" w:cs="Times New Roman"/>
                      <w:b w:val="0"/>
                      <w:bCs w:val="0"/>
                      <w:color w:val="auto"/>
                      <w:szCs w:val="21"/>
                      <w:vertAlign w:val="superscript"/>
                    </w:rPr>
                    <w:t>2+</w:t>
                  </w:r>
                  <w:r>
                    <w:rPr>
                      <w:rFonts w:hint="default" w:ascii="Times New Roman" w:hAnsi="Times New Roman" w:eastAsia="宋体" w:cs="Times New Roman"/>
                      <w:b w:val="0"/>
                      <w:bCs w:val="0"/>
                      <w:color w:val="auto"/>
                      <w:szCs w:val="21"/>
                    </w:rPr>
                    <w:t>、Mg</w:t>
                  </w:r>
                  <w:r>
                    <w:rPr>
                      <w:rFonts w:hint="default" w:ascii="Times New Roman" w:hAnsi="Times New Roman" w:eastAsia="宋体" w:cs="Times New Roman"/>
                      <w:b w:val="0"/>
                      <w:bCs w:val="0"/>
                      <w:color w:val="auto"/>
                      <w:szCs w:val="21"/>
                      <w:vertAlign w:val="superscript"/>
                    </w:rPr>
                    <w:t>2+</w:t>
                  </w:r>
                  <w:r>
                    <w:rPr>
                      <w:rFonts w:hint="default" w:ascii="Times New Roman" w:hAnsi="Times New Roman" w:eastAsia="宋体" w:cs="Times New Roman"/>
                      <w:b w:val="0"/>
                      <w:bCs w:val="0"/>
                      <w:color w:val="auto"/>
                      <w:szCs w:val="21"/>
                    </w:rPr>
                    <w:t>、CO</w:t>
                  </w:r>
                  <w:r>
                    <w:rPr>
                      <w:rFonts w:hint="default" w:ascii="Times New Roman" w:hAnsi="Times New Roman" w:eastAsia="宋体" w:cs="Times New Roman"/>
                      <w:b w:val="0"/>
                      <w:bCs w:val="0"/>
                      <w:color w:val="auto"/>
                      <w:szCs w:val="21"/>
                      <w:vertAlign w:val="subscript"/>
                    </w:rPr>
                    <w:t>3</w:t>
                  </w:r>
                  <w:r>
                    <w:rPr>
                      <w:rFonts w:hint="default" w:ascii="Times New Roman" w:hAnsi="Times New Roman" w:eastAsia="宋体" w:cs="Times New Roman"/>
                      <w:b w:val="0"/>
                      <w:bCs w:val="0"/>
                      <w:color w:val="auto"/>
                      <w:szCs w:val="21"/>
                      <w:vertAlign w:val="superscript"/>
                    </w:rPr>
                    <w:t>2-</w:t>
                  </w:r>
                  <w:r>
                    <w:rPr>
                      <w:rFonts w:hint="default" w:ascii="Times New Roman" w:hAnsi="Times New Roman" w:eastAsia="宋体" w:cs="Times New Roman"/>
                      <w:b w:val="0"/>
                      <w:bCs w:val="0"/>
                      <w:color w:val="auto"/>
                      <w:szCs w:val="21"/>
                    </w:rPr>
                    <w:t>、HCO</w:t>
                  </w:r>
                  <w:r>
                    <w:rPr>
                      <w:rFonts w:hint="default" w:ascii="Times New Roman" w:hAnsi="Times New Roman" w:eastAsia="宋体" w:cs="Times New Roman"/>
                      <w:b w:val="0"/>
                      <w:bCs w:val="0"/>
                      <w:color w:val="auto"/>
                      <w:szCs w:val="21"/>
                      <w:vertAlign w:val="superscript"/>
                    </w:rPr>
                    <w:t>3-</w:t>
                  </w:r>
                  <w:r>
                    <w:rPr>
                      <w:rFonts w:hint="default" w:ascii="Times New Roman" w:hAnsi="Times New Roman" w:eastAsia="宋体" w:cs="Times New Roman"/>
                      <w:b w:val="0"/>
                      <w:bCs w:val="0"/>
                      <w:color w:val="auto"/>
                      <w:szCs w:val="21"/>
                    </w:rPr>
                    <w:t>、Cl</w:t>
                  </w:r>
                  <w:r>
                    <w:rPr>
                      <w:rFonts w:hint="default" w:ascii="Times New Roman" w:hAnsi="Times New Roman" w:eastAsia="宋体" w:cs="Times New Roman"/>
                      <w:b w:val="0"/>
                      <w:bCs w:val="0"/>
                      <w:color w:val="auto"/>
                      <w:szCs w:val="21"/>
                      <w:vertAlign w:val="superscript"/>
                    </w:rPr>
                    <w:t>-</w:t>
                  </w:r>
                  <w:r>
                    <w:rPr>
                      <w:rFonts w:hint="default" w:ascii="Times New Roman" w:hAnsi="Times New Roman" w:eastAsia="宋体" w:cs="Times New Roman"/>
                      <w:b w:val="0"/>
                      <w:bCs w:val="0"/>
                      <w:color w:val="auto"/>
                      <w:szCs w:val="21"/>
                    </w:rPr>
                    <w:t>、SO</w:t>
                  </w:r>
                  <w:r>
                    <w:rPr>
                      <w:rFonts w:hint="default" w:ascii="Times New Roman" w:hAnsi="Times New Roman" w:eastAsia="宋体" w:cs="Times New Roman"/>
                      <w:b w:val="0"/>
                      <w:bCs w:val="0"/>
                      <w:color w:val="auto"/>
                      <w:szCs w:val="21"/>
                      <w:vertAlign w:val="subscript"/>
                    </w:rPr>
                    <w:t>4</w:t>
                  </w:r>
                  <w:r>
                    <w:rPr>
                      <w:rFonts w:hint="default" w:ascii="Times New Roman" w:hAnsi="Times New Roman" w:eastAsia="宋体" w:cs="Times New Roman"/>
                      <w:b w:val="0"/>
                      <w:bCs w:val="0"/>
                      <w:color w:val="auto"/>
                      <w:szCs w:val="21"/>
                      <w:vertAlign w:val="superscript"/>
                    </w:rPr>
                    <w:t>2-</w:t>
                  </w:r>
                  <w:r>
                    <w:rPr>
                      <w:rFonts w:hint="default" w:ascii="Times New Roman" w:hAnsi="Times New Roman" w:eastAsia="宋体" w:cs="Times New Roman"/>
                      <w:b w:val="0"/>
                      <w:bCs w:val="0"/>
                      <w:color w:val="auto"/>
                      <w:szCs w:val="21"/>
                    </w:rPr>
                    <w:t>、pH值、氨氮、硝酸盐（以N计）、亚硝酸盐（以N计）、挥发性酚类、氰化物、砷、汞、六价铬、总硬度、铅、氟、镉、铁、锰、溶解性总固体、硫酸盐、耗氧量、氯化物、总大肠菌群、菌落总数</w:t>
                  </w:r>
                </w:p>
              </w:tc>
              <w:tc>
                <w:tcPr>
                  <w:tcW w:w="474"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监测一天，每井取样一次</w:t>
                  </w:r>
                </w:p>
              </w:tc>
              <w:tc>
                <w:tcPr>
                  <w:tcW w:w="664" w:type="pct"/>
                  <w:noWrap w:val="0"/>
                  <w:vAlign w:val="center"/>
                </w:tcPr>
                <w:p>
                  <w:pPr>
                    <w:jc w:val="center"/>
                    <w:rPr>
                      <w:rFonts w:hint="default" w:ascii="Times New Roman" w:hAnsi="Times New Roman" w:eastAsia="宋体" w:cs="Times New Roman"/>
                      <w:b w:val="0"/>
                      <w:bCs w:val="0"/>
                      <w:color w:val="auto"/>
                      <w:spacing w:val="4"/>
                      <w:szCs w:val="21"/>
                    </w:rPr>
                  </w:pPr>
                  <w:r>
                    <w:rPr>
                      <w:rFonts w:hint="default" w:ascii="Times New Roman" w:hAnsi="Times New Roman" w:eastAsia="宋体" w:cs="Times New Roman"/>
                      <w:b w:val="0"/>
                      <w:bCs w:val="0"/>
                      <w:color w:val="auto"/>
                      <w:szCs w:val="21"/>
                    </w:rPr>
                    <w:t>记录水井井深、地下水埋深、水温。</w:t>
                  </w:r>
                </w:p>
              </w:tc>
            </w:tr>
          </w:tbl>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kern w:val="0"/>
                <w:sz w:val="24"/>
              </w:rPr>
              <w:t>表3-4  地下水监测结果一览表</w:t>
            </w:r>
            <w:r>
              <w:rPr>
                <w:rFonts w:hint="default" w:ascii="Times New Roman" w:hAnsi="Times New Roman" w:eastAsia="宋体" w:cs="Times New Roman"/>
                <w:b w:val="0"/>
                <w:bCs w:val="0"/>
                <w:color w:val="auto"/>
                <w:kern w:val="0"/>
                <w:sz w:val="24"/>
                <w:lang w:val="en-US" w:eastAsia="zh-CN"/>
              </w:rPr>
              <w:t xml:space="preserve">   </w:t>
            </w:r>
            <w:r>
              <w:rPr>
                <w:rFonts w:hint="default" w:ascii="Times New Roman" w:hAnsi="Times New Roman" w:eastAsia="宋体" w:cs="Times New Roman"/>
                <w:b w:val="0"/>
                <w:bCs w:val="0"/>
                <w:color w:val="auto"/>
                <w:sz w:val="24"/>
                <w:szCs w:val="24"/>
              </w:rPr>
              <w:t>单位：mg/L（除标注外)</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45"/>
              <w:gridCol w:w="2633"/>
              <w:gridCol w:w="3178"/>
              <w:gridCol w:w="1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tblHeader/>
                <w:jc w:val="center"/>
              </w:trPr>
              <w:tc>
                <w:tcPr>
                  <w:tcW w:w="5000" w:type="pct"/>
                  <w:gridSpan w:val="4"/>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检测结果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tblHeader/>
                <w:jc w:val="center"/>
              </w:trPr>
              <w:tc>
                <w:tcPr>
                  <w:tcW w:w="467"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采样时间</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rPr>
                    <w:t>202</w:t>
                  </w:r>
                  <w:r>
                    <w:rPr>
                      <w:rFonts w:hint="default" w:ascii="Times New Roman" w:hAnsi="Times New Roman" w:eastAsia="宋体" w:cs="Times New Roman"/>
                      <w:b w:val="0"/>
                      <w:bCs w:val="0"/>
                      <w:color w:val="auto"/>
                      <w:lang w:val="en-US" w:eastAsia="zh-CN"/>
                    </w:rPr>
                    <w:t>2.09.21</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Cs w:val="21"/>
                    </w:rPr>
                    <w:t>检测点位</w:t>
                  </w:r>
                </w:p>
              </w:tc>
              <w:tc>
                <w:tcPr>
                  <w:tcW w:w="883" w:type="pct"/>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tblHeader/>
                <w:jc w:val="center"/>
              </w:trPr>
              <w:tc>
                <w:tcPr>
                  <w:tcW w:w="467"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序号</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检测项目</w:t>
                  </w:r>
                </w:p>
              </w:tc>
              <w:tc>
                <w:tcPr>
                  <w:tcW w:w="1995" w:type="pct"/>
                  <w:noWrap w:val="0"/>
                  <w:vAlign w:val="center"/>
                </w:tcPr>
                <w:p>
                  <w:pPr>
                    <w:jc w:val="center"/>
                    <w:rPr>
                      <w:rFonts w:hint="default" w:ascii="Times New Roman" w:hAnsi="Times New Roman" w:eastAsia="宋体" w:cs="Times New Roman"/>
                      <w:b w:val="0"/>
                      <w:bCs w:val="0"/>
                      <w:color w:val="auto"/>
                      <w:szCs w:val="21"/>
                      <w:lang w:val="ru-RU"/>
                    </w:rPr>
                  </w:pPr>
                  <w:r>
                    <w:rPr>
                      <w:rFonts w:hint="default" w:ascii="Times New Roman" w:hAnsi="Times New Roman" w:eastAsia="宋体" w:cs="Times New Roman"/>
                      <w:b w:val="0"/>
                      <w:bCs w:val="0"/>
                      <w:color w:val="auto"/>
                      <w:szCs w:val="21"/>
                    </w:rPr>
                    <w:t>厂区水井</w:t>
                  </w:r>
                </w:p>
              </w:tc>
              <w:tc>
                <w:tcPr>
                  <w:tcW w:w="883" w:type="pct"/>
                  <w:vMerge w:val="continue"/>
                  <w:noWrap w:val="0"/>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widowControl/>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K</w:t>
                  </w:r>
                  <w:r>
                    <w:rPr>
                      <w:rFonts w:hint="default" w:ascii="Times New Roman" w:hAnsi="Times New Roman" w:eastAsia="宋体" w:cs="Times New Roman"/>
                      <w:b w:val="0"/>
                      <w:bCs w:val="0"/>
                      <w:color w:val="auto"/>
                      <w:szCs w:val="21"/>
                      <w:vertAlign w:val="superscript"/>
                    </w:rPr>
                    <w:t>+</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1.60</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Ca</w:t>
                  </w:r>
                  <w:r>
                    <w:rPr>
                      <w:rFonts w:hint="default" w:ascii="Times New Roman" w:hAnsi="Times New Roman" w:eastAsia="宋体" w:cs="Times New Roman"/>
                      <w:b w:val="0"/>
                      <w:bCs w:val="0"/>
                      <w:color w:val="auto"/>
                      <w:szCs w:val="21"/>
                      <w:vertAlign w:val="superscript"/>
                    </w:rPr>
                    <w:t>2+</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39.8</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Na</w:t>
                  </w:r>
                  <w:r>
                    <w:rPr>
                      <w:rFonts w:hint="default" w:ascii="Times New Roman" w:hAnsi="Times New Roman" w:eastAsia="宋体" w:cs="Times New Roman"/>
                      <w:b w:val="0"/>
                      <w:bCs w:val="0"/>
                      <w:color w:val="auto"/>
                      <w:szCs w:val="21"/>
                      <w:vertAlign w:val="superscript"/>
                    </w:rPr>
                    <w:t>+</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155</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Mg</w:t>
                  </w:r>
                  <w:r>
                    <w:rPr>
                      <w:rFonts w:hint="default" w:ascii="Times New Roman" w:hAnsi="Times New Roman" w:eastAsia="宋体" w:cs="Times New Roman"/>
                      <w:b w:val="0"/>
                      <w:bCs w:val="0"/>
                      <w:color w:val="auto"/>
                      <w:szCs w:val="21"/>
                      <w:vertAlign w:val="superscript"/>
                    </w:rPr>
                    <w:t>2+</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39.6</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5</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Cl</w:t>
                  </w:r>
                  <w:r>
                    <w:rPr>
                      <w:rFonts w:hint="default" w:ascii="Times New Roman" w:hAnsi="Times New Roman" w:eastAsia="宋体" w:cs="Times New Roman"/>
                      <w:b w:val="0"/>
                      <w:bCs w:val="0"/>
                      <w:color w:val="auto"/>
                      <w:szCs w:val="21"/>
                      <w:vertAlign w:val="superscript"/>
                    </w:rPr>
                    <w:t>-</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200</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6</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SO</w:t>
                  </w:r>
                  <w:r>
                    <w:rPr>
                      <w:rFonts w:hint="default" w:ascii="Times New Roman" w:hAnsi="Times New Roman" w:eastAsia="宋体" w:cs="Times New Roman"/>
                      <w:b w:val="0"/>
                      <w:bCs w:val="0"/>
                      <w:color w:val="auto"/>
                      <w:szCs w:val="21"/>
                      <w:vertAlign w:val="subscript"/>
                    </w:rPr>
                    <w:t>4</w:t>
                  </w:r>
                  <w:r>
                    <w:rPr>
                      <w:rFonts w:hint="default" w:ascii="Times New Roman" w:hAnsi="Times New Roman" w:eastAsia="宋体" w:cs="Times New Roman"/>
                      <w:b w:val="0"/>
                      <w:bCs w:val="0"/>
                      <w:color w:val="auto"/>
                      <w:szCs w:val="21"/>
                      <w:vertAlign w:val="superscript"/>
                    </w:rPr>
                    <w:t>2-</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198</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7</w:t>
                  </w:r>
                </w:p>
              </w:tc>
              <w:tc>
                <w:tcPr>
                  <w:tcW w:w="1653" w:type="pct"/>
                  <w:noWrap w:val="0"/>
                  <w:vAlign w:val="center"/>
                </w:tcPr>
                <w:p>
                  <w:pPr>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szCs w:val="21"/>
                    </w:rPr>
                    <w:t>CO</w:t>
                  </w:r>
                  <w:r>
                    <w:rPr>
                      <w:rFonts w:hint="default" w:ascii="Times New Roman" w:hAnsi="Times New Roman" w:eastAsia="宋体" w:cs="Times New Roman"/>
                      <w:b w:val="0"/>
                      <w:bCs w:val="0"/>
                      <w:color w:val="auto"/>
                      <w:szCs w:val="21"/>
                      <w:vertAlign w:val="subscript"/>
                    </w:rPr>
                    <w:t>3</w:t>
                  </w:r>
                  <w:r>
                    <w:rPr>
                      <w:rFonts w:hint="default" w:ascii="Times New Roman" w:hAnsi="Times New Roman" w:eastAsia="宋体" w:cs="Times New Roman"/>
                      <w:b w:val="0"/>
                      <w:bCs w:val="0"/>
                      <w:color w:val="auto"/>
                      <w:szCs w:val="21"/>
                      <w:vertAlign w:val="superscript"/>
                    </w:rPr>
                    <w:t>2-</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8</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HCO</w:t>
                  </w:r>
                  <w:r>
                    <w:rPr>
                      <w:rFonts w:hint="default" w:ascii="Times New Roman" w:hAnsi="Times New Roman" w:eastAsia="宋体" w:cs="Times New Roman"/>
                      <w:b w:val="0"/>
                      <w:bCs w:val="0"/>
                      <w:color w:val="auto"/>
                      <w:szCs w:val="21"/>
                      <w:vertAlign w:val="subscript"/>
                    </w:rPr>
                    <w:t>3</w:t>
                  </w:r>
                  <w:r>
                    <w:rPr>
                      <w:rFonts w:hint="default" w:ascii="Times New Roman" w:hAnsi="Times New Roman" w:eastAsia="宋体" w:cs="Times New Roman"/>
                      <w:b w:val="0"/>
                      <w:bCs w:val="0"/>
                      <w:color w:val="auto"/>
                      <w:szCs w:val="21"/>
                      <w:vertAlign w:val="superscript"/>
                    </w:rPr>
                    <w:t>-</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226</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9</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pH</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8.1</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6.5-8.5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10</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氨氮</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0.05</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11</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挥发性酚类</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12</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总硬度</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289</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13</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溶解性总固体</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773</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14</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耗氧量</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0.42</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15</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硝酸盐（以N计）</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1.75</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16</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亚硝酸盐（以N计）</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17</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氟</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0.54</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18</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氯化物</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200</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19</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氰化物</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20</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汞（μg/L）</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21</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砷（μg/L）</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22</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六价铬</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0.042</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23</w:t>
                  </w:r>
                </w:p>
              </w:tc>
              <w:tc>
                <w:tcPr>
                  <w:tcW w:w="165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镉（μg/L）</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24</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铅（μg/L）</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25</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铁</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26</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锰</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27</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硫酸盐</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198</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28</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菌落总数(</w:t>
                  </w:r>
                  <w:r>
                    <w:rPr>
                      <w:rFonts w:hint="default" w:ascii="Times New Roman" w:hAnsi="Times New Roman" w:eastAsia="宋体" w:cs="Times New Roman"/>
                      <w:b w:val="0"/>
                      <w:bCs w:val="0"/>
                      <w:color w:val="auto"/>
                    </w:rPr>
                    <w:t>CFU/mL)</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56</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29</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总大肠菌群(</w:t>
                  </w:r>
                  <w:r>
                    <w:rPr>
                      <w:rFonts w:hint="default" w:ascii="Times New Roman" w:hAnsi="Times New Roman" w:eastAsia="宋体" w:cs="Times New Roman"/>
                      <w:b w:val="0"/>
                      <w:bCs w:val="0"/>
                      <w:color w:val="auto"/>
                    </w:rPr>
                    <w:t>CFU/100mL)</w:t>
                  </w:r>
                </w:p>
              </w:tc>
              <w:tc>
                <w:tcPr>
                  <w:tcW w:w="1995"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30</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石油类</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0.03</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31</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井深（m）</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32</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埋深（m）</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883"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46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33</w:t>
                  </w:r>
                </w:p>
              </w:tc>
              <w:tc>
                <w:tcPr>
                  <w:tcW w:w="1653"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水温（m）</w:t>
                  </w:r>
                </w:p>
              </w:tc>
              <w:tc>
                <w:tcPr>
                  <w:tcW w:w="1995"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12.7</w:t>
                  </w:r>
                </w:p>
              </w:tc>
              <w:tc>
                <w:tcPr>
                  <w:tcW w:w="88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0" w:hRule="atLeast"/>
                <w:jc w:val="center"/>
              </w:trPr>
              <w:tc>
                <w:tcPr>
                  <w:tcW w:w="5000" w:type="pct"/>
                  <w:gridSpan w:val="4"/>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注：测定结果低于检出限用检出限后加L表示</w:t>
                  </w:r>
                </w:p>
              </w:tc>
            </w:tr>
          </w:tbl>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⑵现状评价</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计算公式：</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Pi=Ci/Si</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式中：Pi—指i污染物的单因子指数；</w:t>
            </w:r>
          </w:p>
          <w:p>
            <w:pPr>
              <w:spacing w:line="460" w:lineRule="exact"/>
              <w:ind w:firstLine="1200" w:firstLineChars="5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Ci—指i污染物的监测结果；</w:t>
            </w:r>
          </w:p>
          <w:p>
            <w:pPr>
              <w:spacing w:line="460" w:lineRule="exact"/>
              <w:ind w:firstLine="1200" w:firstLineChars="5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Si—指污染物所执行的评价标准。</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对pH值的评价公式为：</w:t>
            </w:r>
          </w:p>
          <w:p>
            <w:pPr>
              <w:spacing w:line="460" w:lineRule="exact"/>
              <w:ind w:firstLine="960" w:firstLineChars="4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w:t>
            </w:r>
            <w:r>
              <w:rPr>
                <w:rFonts w:hint="default" w:ascii="Times New Roman" w:hAnsi="Times New Roman" w:eastAsia="宋体" w:cs="Times New Roman"/>
                <w:b w:val="0"/>
                <w:bCs w:val="0"/>
                <w:color w:val="auto"/>
                <w:sz w:val="24"/>
                <w:szCs w:val="24"/>
                <w:vertAlign w:val="subscript"/>
              </w:rPr>
              <w:t>pH</w:t>
            </w:r>
            <w:r>
              <w:rPr>
                <w:rFonts w:hint="default" w:ascii="Times New Roman" w:hAnsi="Times New Roman" w:eastAsia="宋体" w:cs="Times New Roman"/>
                <w:b w:val="0"/>
                <w:bCs w:val="0"/>
                <w:color w:val="auto"/>
                <w:sz w:val="24"/>
                <w:szCs w:val="24"/>
              </w:rPr>
              <w:t>=（pH-7.0）/（pHsu-7.0）  （当pH＞7.0）</w:t>
            </w:r>
          </w:p>
          <w:p>
            <w:pPr>
              <w:spacing w:line="460" w:lineRule="exact"/>
              <w:ind w:firstLine="960" w:firstLineChars="4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w:t>
            </w:r>
            <w:r>
              <w:rPr>
                <w:rFonts w:hint="default" w:ascii="Times New Roman" w:hAnsi="Times New Roman" w:eastAsia="宋体" w:cs="Times New Roman"/>
                <w:b w:val="0"/>
                <w:bCs w:val="0"/>
                <w:color w:val="auto"/>
                <w:sz w:val="24"/>
                <w:szCs w:val="24"/>
                <w:vertAlign w:val="subscript"/>
              </w:rPr>
              <w:t>pH</w:t>
            </w:r>
            <w:r>
              <w:rPr>
                <w:rFonts w:hint="default" w:ascii="Times New Roman" w:hAnsi="Times New Roman" w:eastAsia="宋体" w:cs="Times New Roman"/>
                <w:b w:val="0"/>
                <w:bCs w:val="0"/>
                <w:color w:val="auto"/>
                <w:sz w:val="24"/>
                <w:szCs w:val="24"/>
              </w:rPr>
              <w:t>=（7.0-pH）/（7.0-pHsd）  （当pH≤7.0）</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式中：P</w:t>
            </w:r>
            <w:r>
              <w:rPr>
                <w:rFonts w:hint="default" w:ascii="Times New Roman" w:hAnsi="Times New Roman" w:eastAsia="宋体" w:cs="Times New Roman"/>
                <w:b w:val="0"/>
                <w:bCs w:val="0"/>
                <w:color w:val="auto"/>
                <w:sz w:val="24"/>
                <w:szCs w:val="24"/>
                <w:vertAlign w:val="subscript"/>
              </w:rPr>
              <w:t>pH</w:t>
            </w:r>
            <w:r>
              <w:rPr>
                <w:rFonts w:hint="default" w:ascii="Times New Roman" w:hAnsi="Times New Roman" w:eastAsia="宋体" w:cs="Times New Roman"/>
                <w:b w:val="0"/>
                <w:bCs w:val="0"/>
                <w:color w:val="auto"/>
                <w:sz w:val="24"/>
                <w:szCs w:val="24"/>
              </w:rPr>
              <w:t>----指pH值的单因子指数</w:t>
            </w:r>
          </w:p>
          <w:p>
            <w:pPr>
              <w:spacing w:line="460" w:lineRule="exact"/>
              <w:ind w:firstLine="960" w:firstLineChars="4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pH---指pH值的实测结果</w:t>
            </w:r>
          </w:p>
          <w:p>
            <w:pPr>
              <w:spacing w:line="460" w:lineRule="exact"/>
              <w:ind w:firstLine="960" w:firstLineChars="4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pHsu—标准中pH的上限值</w:t>
            </w:r>
          </w:p>
          <w:p>
            <w:pPr>
              <w:spacing w:line="460" w:lineRule="exact"/>
              <w:ind w:firstLine="960" w:firstLineChars="4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pHsd—标准中pH的下限值</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如指数P小于等于1，表示污染物浓度达到评价标准要求，而大于1则表示该污染物的浓度已超标。</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根据上述评价方法，进行项目区地下水环境质量现状进行评价，评价结果列于表3-</w:t>
            </w:r>
            <w:r>
              <w:rPr>
                <w:rFonts w:hint="default"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表3-</w:t>
            </w:r>
            <w:r>
              <w:rPr>
                <w:rFonts w:hint="default" w:ascii="Times New Roman" w:hAnsi="Times New Roman" w:eastAsia="宋体" w:cs="Times New Roman"/>
                <w:b w:val="0"/>
                <w:bCs w:val="0"/>
                <w:color w:val="auto"/>
                <w:sz w:val="24"/>
                <w:szCs w:val="24"/>
                <w:lang w:val="en-US" w:eastAsia="zh-CN"/>
              </w:rPr>
              <w:t xml:space="preserve">5  </w:t>
            </w:r>
            <w:r>
              <w:rPr>
                <w:rFonts w:hint="default" w:ascii="Times New Roman" w:hAnsi="Times New Roman" w:eastAsia="宋体" w:cs="Times New Roman"/>
                <w:b w:val="0"/>
                <w:bCs w:val="0"/>
                <w:color w:val="auto"/>
                <w:sz w:val="24"/>
                <w:szCs w:val="24"/>
              </w:rPr>
              <w:t>地下水现状监测评价结果一览表</w:t>
            </w:r>
          </w:p>
          <w:tbl>
            <w:tblPr>
              <w:tblStyle w:val="27"/>
              <w:tblW w:w="7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1"/>
              <w:gridCol w:w="1956"/>
              <w:gridCol w:w="1466"/>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监测项目</w:t>
                  </w:r>
                </w:p>
              </w:tc>
              <w:tc>
                <w:tcPr>
                  <w:tcW w:w="1956" w:type="dxa"/>
                  <w:noWrap w:val="0"/>
                  <w:vAlign w:val="center"/>
                </w:tcPr>
                <w:p>
                  <w:pPr>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Cs w:val="21"/>
                      <w:lang w:val="en-US" w:eastAsia="zh-CN"/>
                    </w:rPr>
                    <w:t>厂区</w:t>
                  </w:r>
                  <w:r>
                    <w:rPr>
                      <w:rFonts w:hint="default" w:ascii="Times New Roman" w:hAnsi="Times New Roman" w:eastAsia="宋体" w:cs="Times New Roman"/>
                      <w:b w:val="0"/>
                      <w:bCs w:val="0"/>
                      <w:color w:val="auto"/>
                      <w:szCs w:val="21"/>
                    </w:rPr>
                    <w:t>水井</w:t>
                  </w:r>
                </w:p>
              </w:tc>
              <w:tc>
                <w:tcPr>
                  <w:tcW w:w="1466" w:type="dxa"/>
                  <w:noWrap w:val="0"/>
                  <w:vAlign w:val="center"/>
                </w:tcPr>
                <w:p>
                  <w:pPr>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Pi</w:t>
                  </w:r>
                </w:p>
              </w:tc>
              <w:tc>
                <w:tcPr>
                  <w:tcW w:w="1466" w:type="dxa"/>
                  <w:noWrap w:val="0"/>
                  <w:vAlign w:val="center"/>
                </w:tcPr>
                <w:p>
                  <w:pPr>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pH</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8.1</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0.</w:t>
                  </w:r>
                  <w:r>
                    <w:rPr>
                      <w:rFonts w:hint="default" w:ascii="Times New Roman" w:hAnsi="Times New Roman" w:eastAsia="宋体" w:cs="Times New Roman"/>
                      <w:b w:val="0"/>
                      <w:bCs w:val="0"/>
                      <w:color w:val="auto"/>
                      <w:szCs w:val="21"/>
                      <w:lang w:val="en-US" w:eastAsia="zh-CN"/>
                    </w:rPr>
                    <w:t>73</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氨氮</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0.05</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0.10</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挥发性酚类</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总硬度</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289</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0.64</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溶解性总固体</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773</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0.77</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耗氧量</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0.42</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0.14</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硝酸盐（以N计）</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1.75</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0.09</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亚硝酸盐（以N计）</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氟化物</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0.54</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0.54</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氯化物</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200</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0.80</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jc w:val="center"/>
                    <w:rPr>
                      <w:rFonts w:hint="default" w:ascii="Times New Roman" w:hAnsi="Times New Roman" w:eastAsia="宋体" w:cs="Times New Roman"/>
                      <w:b w:val="0"/>
                      <w:bCs w:val="0"/>
                      <w:color w:val="auto"/>
                      <w:szCs w:val="21"/>
                      <w:lang w:val="ru-RU"/>
                    </w:rPr>
                  </w:pPr>
                  <w:r>
                    <w:rPr>
                      <w:rFonts w:hint="default" w:ascii="Times New Roman" w:hAnsi="Times New Roman" w:eastAsia="宋体" w:cs="Times New Roman"/>
                      <w:b w:val="0"/>
                      <w:bCs w:val="0"/>
                      <w:color w:val="auto"/>
                      <w:szCs w:val="21"/>
                    </w:rPr>
                    <w:t>氰化物</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汞（μg/L）</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砷（μg/L）</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六价铬</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0.042</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0.84</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731" w:type="dxa"/>
                  <w:noWrap w:val="0"/>
                  <w:vAlign w:val="center"/>
                </w:tcPr>
                <w:p>
                  <w:pPr>
                    <w:jc w:val="center"/>
                    <w:rPr>
                      <w:rFonts w:hint="default" w:ascii="Times New Roman" w:hAnsi="Times New Roman" w:eastAsia="宋体" w:cs="Times New Roman"/>
                      <w:b w:val="0"/>
                      <w:bCs w:val="0"/>
                      <w:color w:val="auto"/>
                      <w:szCs w:val="21"/>
                      <w:lang w:val="ru-RU"/>
                    </w:rPr>
                  </w:pPr>
                  <w:r>
                    <w:rPr>
                      <w:rFonts w:hint="default" w:ascii="Times New Roman" w:hAnsi="Times New Roman" w:eastAsia="宋体" w:cs="Times New Roman"/>
                      <w:b w:val="0"/>
                      <w:bCs w:val="0"/>
                      <w:color w:val="auto"/>
                      <w:szCs w:val="21"/>
                    </w:rPr>
                    <w:t>镉（μg/L）</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铅（μg/L）</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铁</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锰</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ND</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硫酸盐</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198</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0.79</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菌落总数(</w:t>
                  </w:r>
                  <w:r>
                    <w:rPr>
                      <w:rFonts w:hint="default" w:ascii="Times New Roman" w:hAnsi="Times New Roman" w:eastAsia="宋体" w:cs="Times New Roman"/>
                      <w:b w:val="0"/>
                      <w:bCs w:val="0"/>
                      <w:color w:val="auto"/>
                    </w:rPr>
                    <w:t>CFU/mL)</w:t>
                  </w:r>
                </w:p>
              </w:tc>
              <w:tc>
                <w:tcPr>
                  <w:tcW w:w="195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56</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0.56</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总大肠菌群(</w:t>
                  </w:r>
                  <w:r>
                    <w:rPr>
                      <w:rFonts w:hint="default" w:ascii="Times New Roman" w:hAnsi="Times New Roman" w:eastAsia="宋体" w:cs="Times New Roman"/>
                      <w:b w:val="0"/>
                      <w:bCs w:val="0"/>
                      <w:color w:val="auto"/>
                    </w:rPr>
                    <w:t>CFU/100mL)</w:t>
                  </w:r>
                </w:p>
              </w:tc>
              <w:tc>
                <w:tcPr>
                  <w:tcW w:w="1956" w:type="dxa"/>
                  <w:noWrap w:val="0"/>
                  <w:vAlign w:val="center"/>
                </w:tcPr>
                <w:p>
                  <w:pPr>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＜3</w:t>
                  </w:r>
                </w:p>
              </w:tc>
              <w:tc>
                <w:tcPr>
                  <w:tcW w:w="1466"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rPr>
                    <w:t>&lt;</w:t>
                  </w:r>
                  <w:r>
                    <w:rPr>
                      <w:rFonts w:hint="default" w:ascii="Times New Roman" w:hAnsi="Times New Roman" w:eastAsia="宋体" w:cs="Times New Roman"/>
                      <w:b w:val="0"/>
                      <w:bCs w:val="0"/>
                      <w:color w:val="auto"/>
                      <w:lang w:val="en-US" w:eastAsia="zh-CN"/>
                    </w:rPr>
                    <w:t>1</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31"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石油类</w:t>
                  </w:r>
                </w:p>
              </w:tc>
              <w:tc>
                <w:tcPr>
                  <w:tcW w:w="1956"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0.03</w:t>
                  </w:r>
                </w:p>
              </w:tc>
              <w:tc>
                <w:tcPr>
                  <w:tcW w:w="1466" w:type="dxa"/>
                  <w:noWrap w:val="0"/>
                  <w:vAlign w:val="center"/>
                </w:tcPr>
                <w:p>
                  <w:pPr>
                    <w:jc w:val="center"/>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w:t>
                  </w:r>
                </w:p>
              </w:tc>
              <w:tc>
                <w:tcPr>
                  <w:tcW w:w="1466"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bl>
          <w:p>
            <w:pPr>
              <w:spacing w:line="460" w:lineRule="exact"/>
              <w:ind w:firstLine="480" w:firstLineChars="200"/>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根据监测结果及评价结果显示，</w:t>
            </w:r>
            <w:r>
              <w:rPr>
                <w:rFonts w:hint="default" w:ascii="Times New Roman" w:hAnsi="Times New Roman" w:eastAsia="宋体" w:cs="Times New Roman"/>
                <w:b w:val="0"/>
                <w:bCs w:val="0"/>
                <w:color w:val="auto"/>
                <w:sz w:val="24"/>
                <w:szCs w:val="24"/>
                <w:highlight w:val="none"/>
                <w:lang w:val="en-US" w:eastAsia="zh-CN"/>
              </w:rPr>
              <w:t>厂区</w:t>
            </w:r>
            <w:r>
              <w:rPr>
                <w:rFonts w:hint="default" w:ascii="Times New Roman" w:hAnsi="Times New Roman" w:eastAsia="宋体" w:cs="Times New Roman"/>
                <w:b w:val="0"/>
                <w:bCs w:val="0"/>
                <w:color w:val="auto"/>
                <w:sz w:val="24"/>
                <w:szCs w:val="24"/>
                <w:highlight w:val="none"/>
              </w:rPr>
              <w:t>水井地下水水化学类型为HCO</w:t>
            </w:r>
            <w:r>
              <w:rPr>
                <w:rFonts w:hint="default" w:ascii="Times New Roman" w:hAnsi="Times New Roman" w:eastAsia="宋体" w:cs="Times New Roman"/>
                <w:b w:val="0"/>
                <w:bCs w:val="0"/>
                <w:color w:val="auto"/>
                <w:sz w:val="24"/>
                <w:szCs w:val="24"/>
                <w:highlight w:val="none"/>
                <w:vertAlign w:val="subscript"/>
              </w:rPr>
              <w:t>3</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rPr>
              <w:t>SO</w:t>
            </w:r>
            <w:r>
              <w:rPr>
                <w:rFonts w:hint="default" w:ascii="Times New Roman" w:hAnsi="Times New Roman" w:eastAsia="宋体" w:cs="Times New Roman"/>
                <w:b w:val="0"/>
                <w:bCs w:val="0"/>
                <w:color w:val="auto"/>
                <w:sz w:val="24"/>
                <w:szCs w:val="24"/>
                <w:vertAlign w:val="subscript"/>
              </w:rPr>
              <w:t>4</w:t>
            </w:r>
            <w:r>
              <w:rPr>
                <w:rFonts w:hint="default" w:ascii="Times New Roman" w:hAnsi="Times New Roman" w:eastAsia="宋体" w:cs="Times New Roman"/>
                <w:b w:val="0"/>
                <w:bCs w:val="0"/>
                <w:color w:val="auto"/>
                <w:sz w:val="24"/>
                <w:szCs w:val="24"/>
                <w:vertAlign w:val="baseline"/>
                <w:lang w:val="en-US" w:eastAsia="zh-CN"/>
              </w:rPr>
              <w:t>·</w:t>
            </w:r>
            <w:r>
              <w:rPr>
                <w:rFonts w:hint="default" w:ascii="Times New Roman" w:hAnsi="Times New Roman" w:eastAsia="宋体" w:cs="Times New Roman"/>
                <w:b w:val="0"/>
                <w:bCs w:val="0"/>
                <w:color w:val="auto"/>
                <w:sz w:val="24"/>
                <w:szCs w:val="24"/>
              </w:rPr>
              <w:t>Cl</w:t>
            </w:r>
            <w:r>
              <w:rPr>
                <w:rFonts w:hint="default" w:ascii="Times New Roman" w:hAnsi="Times New Roman" w:eastAsia="宋体" w:cs="Times New Roman"/>
                <w:b w:val="0"/>
                <w:bCs w:val="0"/>
                <w:color w:val="auto"/>
                <w:sz w:val="24"/>
                <w:szCs w:val="24"/>
                <w:highlight w:val="none"/>
              </w:rPr>
              <w:t>-Na</w:t>
            </w:r>
            <w:r>
              <w:rPr>
                <w:rFonts w:hint="default" w:ascii="Times New Roman" w:hAnsi="Times New Roman" w:eastAsia="宋体" w:cs="Times New Roman"/>
                <w:b w:val="0"/>
                <w:bCs w:val="0"/>
                <w:color w:val="auto"/>
                <w:sz w:val="24"/>
                <w:szCs w:val="24"/>
                <w:highlight w:val="none"/>
                <w:lang w:val="en-US" w:eastAsia="zh-CN"/>
              </w:rPr>
              <w:t>·Mg</w:t>
            </w:r>
            <w:r>
              <w:rPr>
                <w:rFonts w:hint="default" w:ascii="Times New Roman" w:hAnsi="Times New Roman" w:eastAsia="宋体" w:cs="Times New Roman"/>
                <w:b w:val="0"/>
                <w:bCs w:val="0"/>
                <w:color w:val="auto"/>
                <w:sz w:val="24"/>
                <w:szCs w:val="24"/>
                <w:highlight w:val="none"/>
              </w:rPr>
              <w:t>型，调查区域内地下水监测点各项指标均能满足《地下水质量标准》（GB/T14848-2017）中的III类标准要求，说明评价区地下水环境良好。</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rPr>
              <w:t>、声环境</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本次评价委托山西华涵净环境检测有限公司于2022年9月</w:t>
            </w:r>
            <w:r>
              <w:rPr>
                <w:rFonts w:hint="default" w:ascii="Times New Roman" w:hAnsi="Times New Roman" w:eastAsia="宋体" w:cs="Times New Roman"/>
                <w:b w:val="0"/>
                <w:bCs w:val="0"/>
                <w:color w:val="auto"/>
                <w:sz w:val="24"/>
                <w:szCs w:val="24"/>
                <w:lang w:val="en-US" w:eastAsia="zh-CN"/>
              </w:rPr>
              <w:t>21</w:t>
            </w:r>
            <w:r>
              <w:rPr>
                <w:rFonts w:hint="default" w:ascii="Times New Roman" w:hAnsi="Times New Roman" w:eastAsia="宋体" w:cs="Times New Roman"/>
                <w:b w:val="0"/>
                <w:bCs w:val="0"/>
                <w:color w:val="auto"/>
                <w:sz w:val="24"/>
                <w:szCs w:val="24"/>
              </w:rPr>
              <w:t>日对本项目厂界</w:t>
            </w:r>
            <w:r>
              <w:rPr>
                <w:rFonts w:hint="default" w:ascii="Times New Roman" w:hAnsi="Times New Roman" w:eastAsia="宋体" w:cs="Times New Roman"/>
                <w:b w:val="0"/>
                <w:bCs w:val="0"/>
                <w:color w:val="auto"/>
                <w:sz w:val="24"/>
                <w:szCs w:val="24"/>
                <w:lang w:val="en-US" w:eastAsia="zh-CN"/>
              </w:rPr>
              <w:t>和</w:t>
            </w:r>
            <w:r>
              <w:rPr>
                <w:rFonts w:hint="eastAsia" w:ascii="Times New Roman" w:hAnsi="Times New Roman" w:eastAsia="宋体" w:cs="Times New Roman"/>
                <w:b w:val="0"/>
                <w:bCs w:val="0"/>
                <w:color w:val="auto"/>
                <w:sz w:val="24"/>
                <w:szCs w:val="24"/>
                <w:lang w:val="en-US" w:eastAsia="zh-CN"/>
              </w:rPr>
              <w:t>曲风村</w:t>
            </w:r>
            <w:r>
              <w:rPr>
                <w:rFonts w:hint="default" w:ascii="Times New Roman" w:hAnsi="Times New Roman" w:eastAsia="宋体" w:cs="Times New Roman"/>
                <w:b w:val="0"/>
                <w:bCs w:val="0"/>
                <w:color w:val="auto"/>
                <w:sz w:val="24"/>
                <w:szCs w:val="24"/>
              </w:rPr>
              <w:t>噪声进行了现状监测，监测结果见表3-</w:t>
            </w:r>
            <w:r>
              <w:rPr>
                <w:rFonts w:hint="eastAsia" w:ascii="Times New Roman" w:hAnsi="Times New Roman" w:eastAsia="宋体" w:cs="Times New Roman"/>
                <w:b w:val="0"/>
                <w:bCs w:val="0"/>
                <w:color w:val="auto"/>
                <w:sz w:val="24"/>
                <w:szCs w:val="24"/>
                <w:lang w:val="en-US" w:eastAsia="zh-CN"/>
              </w:rPr>
              <w:t>6</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监测布点见图3-1</w:t>
            </w:r>
            <w:r>
              <w:rPr>
                <w:rFonts w:hint="default" w:ascii="Times New Roman" w:hAnsi="Times New Roman" w:eastAsia="宋体" w:cs="Times New Roman"/>
                <w:b w:val="0"/>
                <w:bCs w:val="0"/>
                <w:color w:val="auto"/>
                <w:sz w:val="24"/>
                <w:szCs w:val="24"/>
              </w:rPr>
              <w:t>。</w:t>
            </w:r>
          </w:p>
          <w:p>
            <w:pPr>
              <w:snapToGrid w:val="0"/>
              <w:spacing w:line="460" w:lineRule="exact"/>
              <w:ind w:firstLine="480" w:firstLineChars="20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表3-</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rPr>
              <w:t xml:space="preserve">  噪声监测结果      单位：dB（A）</w:t>
            </w:r>
          </w:p>
          <w:tbl>
            <w:tblPr>
              <w:tblStyle w:val="26"/>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718"/>
              <w:gridCol w:w="1070"/>
              <w:gridCol w:w="858"/>
              <w:gridCol w:w="7"/>
              <w:gridCol w:w="884"/>
              <w:gridCol w:w="875"/>
              <w:gridCol w:w="876"/>
              <w:gridCol w:w="876"/>
              <w:gridCol w:w="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04" w:type="pct"/>
                  <w:gridSpan w:val="2"/>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日期</w:t>
                  </w:r>
                </w:p>
              </w:tc>
              <w:tc>
                <w:tcPr>
                  <w:tcW w:w="677"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监测点位</w:t>
                  </w:r>
                </w:p>
              </w:tc>
              <w:tc>
                <w:tcPr>
                  <w:tcW w:w="548" w:type="pct"/>
                  <w:gridSpan w:val="2"/>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时间</w:t>
                  </w:r>
                </w:p>
              </w:tc>
              <w:tc>
                <w:tcPr>
                  <w:tcW w:w="560"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L</w:t>
                  </w:r>
                  <w:r>
                    <w:rPr>
                      <w:rFonts w:hint="default" w:ascii="Times New Roman" w:hAnsi="Times New Roman" w:eastAsia="宋体" w:cs="Times New Roman"/>
                      <w:b w:val="0"/>
                      <w:bCs w:val="0"/>
                      <w:color w:val="auto"/>
                      <w:szCs w:val="21"/>
                      <w:vertAlign w:val="subscript"/>
                    </w:rPr>
                    <w:t>10</w:t>
                  </w:r>
                </w:p>
              </w:tc>
              <w:tc>
                <w:tcPr>
                  <w:tcW w:w="554"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L</w:t>
                  </w:r>
                  <w:r>
                    <w:rPr>
                      <w:rFonts w:hint="default" w:ascii="Times New Roman" w:hAnsi="Times New Roman" w:eastAsia="宋体" w:cs="Times New Roman"/>
                      <w:b w:val="0"/>
                      <w:bCs w:val="0"/>
                      <w:color w:val="auto"/>
                      <w:szCs w:val="21"/>
                      <w:vertAlign w:val="subscript"/>
                    </w:rPr>
                    <w:t>50</w:t>
                  </w:r>
                </w:p>
              </w:tc>
              <w:tc>
                <w:tcPr>
                  <w:tcW w:w="554"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L</w:t>
                  </w:r>
                  <w:r>
                    <w:rPr>
                      <w:rFonts w:hint="default" w:ascii="Times New Roman" w:hAnsi="Times New Roman" w:eastAsia="宋体" w:cs="Times New Roman"/>
                      <w:b w:val="0"/>
                      <w:bCs w:val="0"/>
                      <w:color w:val="auto"/>
                      <w:szCs w:val="21"/>
                      <w:vertAlign w:val="subscript"/>
                    </w:rPr>
                    <w:t>90</w:t>
                  </w:r>
                </w:p>
              </w:tc>
              <w:tc>
                <w:tcPr>
                  <w:tcW w:w="554"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L</w:t>
                  </w:r>
                  <w:r>
                    <w:rPr>
                      <w:rFonts w:hint="default" w:ascii="Times New Roman" w:hAnsi="Times New Roman" w:eastAsia="宋体" w:cs="Times New Roman"/>
                      <w:b w:val="0"/>
                      <w:bCs w:val="0"/>
                      <w:color w:val="auto"/>
                      <w:szCs w:val="21"/>
                      <w:vertAlign w:val="subscript"/>
                    </w:rPr>
                    <w:t>eq</w:t>
                  </w:r>
                </w:p>
              </w:tc>
              <w:tc>
                <w:tcPr>
                  <w:tcW w:w="545" w:type="pct"/>
                  <w:vAlign w:val="center"/>
                </w:tcPr>
                <w:p>
                  <w:pPr>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修约值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restart"/>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2022.9.</w:t>
                  </w:r>
                  <w:r>
                    <w:rPr>
                      <w:rFonts w:hint="default" w:ascii="Times New Roman" w:hAnsi="Times New Roman" w:eastAsia="宋体" w:cs="Times New Roman"/>
                      <w:b w:val="0"/>
                      <w:bCs w:val="0"/>
                      <w:color w:val="auto"/>
                      <w:szCs w:val="21"/>
                      <w:lang w:val="en-US" w:eastAsia="zh-CN"/>
                    </w:rPr>
                    <w:t>21</w:t>
                  </w:r>
                </w:p>
              </w:tc>
              <w:tc>
                <w:tcPr>
                  <w:tcW w:w="454" w:type="pct"/>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昼间</w:t>
                  </w: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eastAsia="zh-CN"/>
                    </w:rPr>
                    <w:t>厂界北</w:t>
                  </w:r>
                </w:p>
              </w:tc>
              <w:tc>
                <w:tcPr>
                  <w:tcW w:w="548"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12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36</w:t>
                  </w:r>
                </w:p>
              </w:tc>
              <w:tc>
                <w:tcPr>
                  <w:tcW w:w="560"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53.0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52.2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50.6</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52.3</w:t>
                  </w:r>
                </w:p>
              </w:tc>
              <w:tc>
                <w:tcPr>
                  <w:tcW w:w="545"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val="en-US" w:eastAsia="zh-CN"/>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eastAsia="zh-CN"/>
                    </w:rPr>
                    <w:t>厂界东</w:t>
                  </w:r>
                </w:p>
              </w:tc>
              <w:tc>
                <w:tcPr>
                  <w:tcW w:w="548"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47</w:t>
                  </w:r>
                </w:p>
              </w:tc>
              <w:tc>
                <w:tcPr>
                  <w:tcW w:w="560"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55.2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53.8</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53.0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54.1</w:t>
                  </w:r>
                </w:p>
              </w:tc>
              <w:tc>
                <w:tcPr>
                  <w:tcW w:w="545"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eastAsia="zh-CN"/>
                    </w:rPr>
                    <w:t>厂界</w:t>
                  </w:r>
                  <w:r>
                    <w:rPr>
                      <w:rFonts w:hint="default" w:ascii="Times New Roman" w:hAnsi="Times New Roman" w:eastAsia="宋体" w:cs="Times New Roman"/>
                      <w:b w:val="0"/>
                      <w:bCs w:val="0"/>
                      <w:color w:val="auto"/>
                      <w:szCs w:val="21"/>
                      <w:lang w:val="en-US" w:eastAsia="zh-CN"/>
                    </w:rPr>
                    <w:t>南</w:t>
                  </w:r>
                </w:p>
              </w:tc>
              <w:tc>
                <w:tcPr>
                  <w:tcW w:w="548"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58</w:t>
                  </w:r>
                </w:p>
              </w:tc>
              <w:tc>
                <w:tcPr>
                  <w:tcW w:w="560"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54.8</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52.6</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51.2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53.0</w:t>
                  </w:r>
                </w:p>
              </w:tc>
              <w:tc>
                <w:tcPr>
                  <w:tcW w:w="545"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eastAsia="zh-CN"/>
                    </w:rPr>
                    <w:t>厂界</w:t>
                  </w:r>
                  <w:r>
                    <w:rPr>
                      <w:rFonts w:hint="default" w:ascii="Times New Roman" w:hAnsi="Times New Roman" w:eastAsia="宋体" w:cs="Times New Roman"/>
                      <w:b w:val="0"/>
                      <w:bCs w:val="0"/>
                      <w:color w:val="auto"/>
                      <w:szCs w:val="21"/>
                      <w:lang w:val="en-US" w:eastAsia="zh-CN"/>
                    </w:rPr>
                    <w:t>西</w:t>
                  </w:r>
                </w:p>
              </w:tc>
              <w:tc>
                <w:tcPr>
                  <w:tcW w:w="548"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r>
                    <w:rPr>
                      <w:rFonts w:hint="default" w:ascii="Times New Roman" w:hAnsi="Times New Roman" w:eastAsia="宋体" w:cs="Times New Roman"/>
                      <w:b w:val="0"/>
                      <w:bCs w:val="0"/>
                      <w:color w:val="auto"/>
                      <w:szCs w:val="21"/>
                      <w:lang w:val="en-US" w:eastAsia="zh-CN"/>
                    </w:rPr>
                    <w:t>3</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19</w:t>
                  </w:r>
                </w:p>
              </w:tc>
              <w:tc>
                <w:tcPr>
                  <w:tcW w:w="560"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53.2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52.2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50.6</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52.4</w:t>
                  </w:r>
                </w:p>
              </w:tc>
              <w:tc>
                <w:tcPr>
                  <w:tcW w:w="545"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eastAsia" w:cs="Times New Roman"/>
                      <w:b w:val="0"/>
                      <w:bCs w:val="0"/>
                      <w:color w:val="auto"/>
                      <w:szCs w:val="21"/>
                      <w:lang w:val="en-US" w:eastAsia="zh-CN"/>
                    </w:rPr>
                    <w:t>曲风村</w:t>
                  </w:r>
                </w:p>
              </w:tc>
              <w:tc>
                <w:tcPr>
                  <w:tcW w:w="548"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r>
                    <w:rPr>
                      <w:rFonts w:hint="default" w:ascii="Times New Roman" w:hAnsi="Times New Roman" w:eastAsia="宋体" w:cs="Times New Roman"/>
                      <w:b w:val="0"/>
                      <w:bCs w:val="0"/>
                      <w:color w:val="auto"/>
                      <w:szCs w:val="21"/>
                      <w:lang w:val="en-US" w:eastAsia="zh-CN"/>
                    </w:rPr>
                    <w:t>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20</w:t>
                  </w:r>
                </w:p>
              </w:tc>
              <w:tc>
                <w:tcPr>
                  <w:tcW w:w="560"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50.0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49.0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48.2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49.4</w:t>
                  </w:r>
                </w:p>
              </w:tc>
              <w:tc>
                <w:tcPr>
                  <w:tcW w:w="545"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夜间</w:t>
                  </w: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eastAsia="zh-CN"/>
                    </w:rPr>
                    <w:t>厂界北</w:t>
                  </w:r>
                </w:p>
              </w:tc>
              <w:tc>
                <w:tcPr>
                  <w:tcW w:w="543"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24</w:t>
                  </w:r>
                </w:p>
              </w:tc>
              <w:tc>
                <w:tcPr>
                  <w:tcW w:w="564"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43.2</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42.4</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41.8</w:t>
                  </w:r>
                </w:p>
              </w:tc>
              <w:tc>
                <w:tcPr>
                  <w:tcW w:w="554" w:type="pct"/>
                  <w:tcBorders>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43.0</w:t>
                  </w:r>
                </w:p>
              </w:tc>
              <w:tc>
                <w:tcPr>
                  <w:tcW w:w="545" w:type="pct"/>
                  <w:tcBorders>
                    <w:top w:val="single" w:color="auto" w:sz="4" w:space="0"/>
                    <w:left w:val="single" w:color="auto" w:sz="4" w:space="0"/>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eastAsia="zh-CN"/>
                    </w:rPr>
                    <w:t>厂界东</w:t>
                  </w:r>
                </w:p>
              </w:tc>
              <w:tc>
                <w:tcPr>
                  <w:tcW w:w="543"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38</w:t>
                  </w:r>
                </w:p>
              </w:tc>
              <w:tc>
                <w:tcPr>
                  <w:tcW w:w="564"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44.8</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42.4</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41.6</w:t>
                  </w:r>
                </w:p>
              </w:tc>
              <w:tc>
                <w:tcPr>
                  <w:tcW w:w="554" w:type="pct"/>
                  <w:tcBorders>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42.8</w:t>
                  </w:r>
                </w:p>
              </w:tc>
              <w:tc>
                <w:tcPr>
                  <w:tcW w:w="545" w:type="pct"/>
                  <w:tcBorders>
                    <w:left w:val="single" w:color="auto" w:sz="4" w:space="0"/>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zCs w:val="21"/>
                      <w:lang w:eastAsia="zh-CN"/>
                    </w:rPr>
                    <w:t>厂界</w:t>
                  </w:r>
                  <w:r>
                    <w:rPr>
                      <w:rFonts w:hint="default" w:ascii="Times New Roman" w:hAnsi="Times New Roman" w:eastAsia="宋体" w:cs="Times New Roman"/>
                      <w:b w:val="0"/>
                      <w:bCs w:val="0"/>
                      <w:color w:val="auto"/>
                      <w:szCs w:val="21"/>
                      <w:lang w:val="en-US" w:eastAsia="zh-CN"/>
                    </w:rPr>
                    <w:t>南</w:t>
                  </w:r>
                </w:p>
              </w:tc>
              <w:tc>
                <w:tcPr>
                  <w:tcW w:w="543"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49</w:t>
                  </w:r>
                </w:p>
              </w:tc>
              <w:tc>
                <w:tcPr>
                  <w:tcW w:w="564"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42.8</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41.4</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39.6</w:t>
                  </w:r>
                </w:p>
              </w:tc>
              <w:tc>
                <w:tcPr>
                  <w:tcW w:w="554" w:type="pct"/>
                  <w:tcBorders>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42.2</w:t>
                  </w:r>
                </w:p>
              </w:tc>
              <w:tc>
                <w:tcPr>
                  <w:tcW w:w="545" w:type="pct"/>
                  <w:tcBorders>
                    <w:left w:val="single" w:color="auto" w:sz="4" w:space="0"/>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eastAsia="zh-CN"/>
                    </w:rPr>
                    <w:t>厂界</w:t>
                  </w:r>
                  <w:r>
                    <w:rPr>
                      <w:rFonts w:hint="default" w:ascii="Times New Roman" w:hAnsi="Times New Roman" w:eastAsia="宋体" w:cs="Times New Roman"/>
                      <w:b w:val="0"/>
                      <w:bCs w:val="0"/>
                      <w:color w:val="auto"/>
                      <w:szCs w:val="21"/>
                      <w:lang w:val="en-US" w:eastAsia="zh-CN"/>
                    </w:rPr>
                    <w:t>西</w:t>
                  </w:r>
                </w:p>
              </w:tc>
              <w:tc>
                <w:tcPr>
                  <w:tcW w:w="543"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23</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09</w:t>
                  </w:r>
                </w:p>
              </w:tc>
              <w:tc>
                <w:tcPr>
                  <w:tcW w:w="564"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40.6</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38.4</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36.6</w:t>
                  </w:r>
                </w:p>
              </w:tc>
              <w:tc>
                <w:tcPr>
                  <w:tcW w:w="554" w:type="pct"/>
                  <w:tcBorders>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41.3</w:t>
                  </w:r>
                </w:p>
              </w:tc>
              <w:tc>
                <w:tcPr>
                  <w:tcW w:w="545" w:type="pct"/>
                  <w:tcBorders>
                    <w:left w:val="single" w:color="auto" w:sz="4" w:space="0"/>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9" w:type="pct"/>
                  <w:vMerge w:val="continue"/>
                  <w:vAlign w:val="center"/>
                </w:tcPr>
                <w:p>
                  <w:pPr>
                    <w:jc w:val="center"/>
                    <w:textAlignment w:val="center"/>
                    <w:rPr>
                      <w:rFonts w:hint="default" w:ascii="Times New Roman" w:hAnsi="Times New Roman" w:eastAsia="宋体" w:cs="Times New Roman"/>
                      <w:b w:val="0"/>
                      <w:bCs w:val="0"/>
                      <w:color w:val="auto"/>
                      <w:szCs w:val="21"/>
                    </w:rPr>
                  </w:pPr>
                </w:p>
              </w:tc>
              <w:tc>
                <w:tcPr>
                  <w:tcW w:w="454" w:type="pct"/>
                  <w:vMerge w:val="continue"/>
                  <w:vAlign w:val="center"/>
                </w:tcPr>
                <w:p>
                  <w:pPr>
                    <w:spacing w:line="300" w:lineRule="exact"/>
                    <w:jc w:val="center"/>
                    <w:rPr>
                      <w:rFonts w:hint="default" w:ascii="Times New Roman" w:hAnsi="Times New Roman" w:eastAsia="宋体" w:cs="Times New Roman"/>
                      <w:b w:val="0"/>
                      <w:bCs w:val="0"/>
                      <w:color w:val="auto"/>
                      <w:szCs w:val="21"/>
                    </w:rPr>
                  </w:pPr>
                </w:p>
              </w:tc>
              <w:tc>
                <w:tcPr>
                  <w:tcW w:w="677"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eastAsia" w:cs="Times New Roman"/>
                      <w:b w:val="0"/>
                      <w:bCs w:val="0"/>
                      <w:color w:val="auto"/>
                      <w:szCs w:val="21"/>
                      <w:lang w:val="en-US" w:eastAsia="zh-CN"/>
                    </w:rPr>
                    <w:t>曲风村</w:t>
                  </w:r>
                </w:p>
              </w:tc>
              <w:tc>
                <w:tcPr>
                  <w:tcW w:w="543"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22</w:t>
                  </w:r>
                  <w:r>
                    <w:rPr>
                      <w:rFonts w:hint="default" w:ascii="Times New Roman" w:hAnsi="Times New Roman" w:eastAsia="宋体" w:cs="Times New Roman"/>
                      <w:b w:val="0"/>
                      <w:bCs w:val="0"/>
                      <w:color w:val="auto"/>
                      <w:szCs w:val="21"/>
                    </w:rPr>
                    <w:t>:</w:t>
                  </w:r>
                  <w:r>
                    <w:rPr>
                      <w:rFonts w:hint="default" w:ascii="Times New Roman" w:hAnsi="Times New Roman" w:eastAsia="宋体" w:cs="Times New Roman"/>
                      <w:b w:val="0"/>
                      <w:bCs w:val="0"/>
                      <w:color w:val="auto"/>
                      <w:szCs w:val="21"/>
                      <w:lang w:val="en-US" w:eastAsia="zh-CN"/>
                    </w:rPr>
                    <w:t>05</w:t>
                  </w:r>
                </w:p>
              </w:tc>
              <w:tc>
                <w:tcPr>
                  <w:tcW w:w="564" w:type="pct"/>
                  <w:gridSpan w:val="2"/>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45.0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43.0</w:t>
                  </w:r>
                </w:p>
              </w:tc>
              <w:tc>
                <w:tcPr>
                  <w:tcW w:w="554" w:type="pct"/>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42.4</w:t>
                  </w:r>
                </w:p>
              </w:tc>
              <w:tc>
                <w:tcPr>
                  <w:tcW w:w="554" w:type="pct"/>
                  <w:tcBorders>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43.4</w:t>
                  </w:r>
                </w:p>
              </w:tc>
              <w:tc>
                <w:tcPr>
                  <w:tcW w:w="545" w:type="pct"/>
                  <w:tcBorders>
                    <w:left w:val="single" w:color="auto" w:sz="4" w:space="0"/>
                    <w:bottom w:val="single" w:color="auto" w:sz="4" w:space="0"/>
                    <w:right w:val="single" w:color="auto" w:sz="4" w:space="0"/>
                  </w:tcBorders>
                  <w:vAlign w:val="center"/>
                </w:tcPr>
                <w:p>
                  <w:pPr>
                    <w:pStyle w:val="82"/>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43</w:t>
                  </w:r>
                </w:p>
              </w:tc>
            </w:tr>
          </w:tbl>
          <w:p>
            <w:pPr>
              <w:spacing w:line="460" w:lineRule="exact"/>
              <w:ind w:firstLine="480" w:firstLineChars="200"/>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rPr>
              <w:t>由监测结果可知，项目厂界昼、夜间噪声均满足《工业企业厂界环境噪声排放标准》（GB12348-2008）中2类标准</w:t>
            </w:r>
            <w:r>
              <w:rPr>
                <w:rFonts w:hint="default" w:ascii="Times New Roman" w:hAnsi="Times New Roman" w:eastAsia="宋体" w:cs="Times New Roman"/>
                <w:b w:val="0"/>
                <w:bCs w:val="0"/>
                <w:color w:val="auto"/>
                <w:sz w:val="24"/>
                <w:szCs w:val="24"/>
                <w:lang w:eastAsia="zh-CN"/>
              </w:rPr>
              <w:t>的要求；</w:t>
            </w:r>
            <w:r>
              <w:rPr>
                <w:rFonts w:hint="eastAsia" w:ascii="Times New Roman" w:hAnsi="Times New Roman" w:eastAsia="宋体" w:cs="Times New Roman"/>
                <w:b w:val="0"/>
                <w:bCs w:val="0"/>
                <w:color w:val="auto"/>
                <w:sz w:val="24"/>
                <w:szCs w:val="24"/>
                <w:lang w:val="en-US" w:eastAsia="zh-CN"/>
              </w:rPr>
              <w:t>曲风村</w:t>
            </w:r>
            <w:r>
              <w:rPr>
                <w:rFonts w:hint="default" w:ascii="Times New Roman" w:hAnsi="Times New Roman" w:eastAsia="宋体" w:cs="Times New Roman"/>
                <w:b w:val="0"/>
                <w:bCs w:val="0"/>
                <w:color w:val="auto"/>
                <w:sz w:val="24"/>
                <w:szCs w:val="24"/>
                <w:lang w:eastAsia="zh-CN"/>
              </w:rPr>
              <w:t>噪声能满足《声环境质量标准》（GB3096-2008）中1类标准的要求，说明评价区声环境质量较好。</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rPr>
              <w:t>土壤环境</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⑴现状监测</w:t>
            </w:r>
          </w:p>
          <w:p>
            <w:pPr>
              <w:spacing w:line="46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本次评价委托山西华涵净环境检测有限公司于202</w:t>
            </w:r>
            <w:r>
              <w:rPr>
                <w:rFonts w:hint="default" w:ascii="Times New Roman" w:hAnsi="Times New Roman" w:eastAsia="宋体" w:cs="Times New Roman"/>
                <w:b w:val="0"/>
                <w:bCs w:val="0"/>
                <w:color w:val="auto"/>
                <w:sz w:val="24"/>
                <w:lang w:val="en-US" w:eastAsia="zh-CN"/>
              </w:rPr>
              <w:t>2</w:t>
            </w:r>
            <w:r>
              <w:rPr>
                <w:rFonts w:hint="default" w:ascii="Times New Roman" w:hAnsi="Times New Roman" w:eastAsia="宋体" w:cs="Times New Roman"/>
                <w:b w:val="0"/>
                <w:bCs w:val="0"/>
                <w:color w:val="auto"/>
                <w:sz w:val="24"/>
              </w:rPr>
              <w:t>年</w:t>
            </w:r>
            <w:r>
              <w:rPr>
                <w:rFonts w:hint="default" w:ascii="Times New Roman" w:hAnsi="Times New Roman" w:eastAsia="宋体" w:cs="Times New Roman"/>
                <w:b w:val="0"/>
                <w:bCs w:val="0"/>
                <w:color w:val="auto"/>
                <w:sz w:val="24"/>
                <w:lang w:val="en-US" w:eastAsia="zh-CN"/>
              </w:rPr>
              <w:t>9</w:t>
            </w:r>
            <w:r>
              <w:rPr>
                <w:rFonts w:hint="default" w:ascii="Times New Roman" w:hAnsi="Times New Roman" w:eastAsia="宋体" w:cs="Times New Roman"/>
                <w:b w:val="0"/>
                <w:bCs w:val="0"/>
                <w:color w:val="auto"/>
                <w:sz w:val="24"/>
              </w:rPr>
              <w:t>月2</w:t>
            </w:r>
            <w:r>
              <w:rPr>
                <w:rFonts w:hint="default" w:ascii="Times New Roman" w:hAnsi="Times New Roman" w:eastAsia="宋体" w:cs="Times New Roman"/>
                <w:b w:val="0"/>
                <w:bCs w:val="0"/>
                <w:color w:val="auto"/>
                <w:sz w:val="24"/>
                <w:lang w:val="en-US" w:eastAsia="zh-CN"/>
              </w:rPr>
              <w:t>2</w:t>
            </w:r>
            <w:r>
              <w:rPr>
                <w:rFonts w:hint="default" w:ascii="Times New Roman" w:hAnsi="Times New Roman" w:eastAsia="宋体" w:cs="Times New Roman"/>
                <w:b w:val="0"/>
                <w:bCs w:val="0"/>
                <w:color w:val="auto"/>
                <w:sz w:val="24"/>
              </w:rPr>
              <w:t>日对项目场区土壤环境进行了现状监测，</w:t>
            </w:r>
            <w:r>
              <w:rPr>
                <w:rFonts w:hint="eastAsia" w:ascii="Times New Roman" w:hAnsi="Times New Roman" w:eastAsia="宋体" w:cs="Times New Roman"/>
                <w:b w:val="0"/>
                <w:bCs w:val="0"/>
                <w:color w:val="auto"/>
                <w:sz w:val="24"/>
                <w:lang w:val="en-US" w:eastAsia="zh-CN"/>
              </w:rPr>
              <w:t>本次项目在对土壤污染相对较小的区域（办公区）、可能对土壤污染相对相对较重的区域（生产区、危废暂存间）分别设置了1个土壤背景监测点，</w:t>
            </w:r>
            <w:r>
              <w:rPr>
                <w:rFonts w:hint="eastAsia" w:ascii="Times New Roman" w:hAnsi="Times New Roman" w:eastAsia="宋体" w:cs="Times New Roman"/>
                <w:b w:val="0"/>
                <w:bCs w:val="0"/>
                <w:color w:val="auto"/>
                <w:sz w:val="24"/>
                <w:szCs w:val="24"/>
                <w:lang w:val="en-US" w:eastAsia="zh-CN"/>
              </w:rPr>
              <w:t>监测布点见图3-1，</w:t>
            </w:r>
            <w:r>
              <w:rPr>
                <w:rFonts w:hint="default" w:ascii="Times New Roman" w:hAnsi="Times New Roman" w:eastAsia="宋体" w:cs="Times New Roman"/>
                <w:b w:val="0"/>
                <w:bCs w:val="0"/>
                <w:color w:val="auto"/>
                <w:sz w:val="24"/>
              </w:rPr>
              <w:t>监测内容见表3-</w:t>
            </w:r>
            <w:r>
              <w:rPr>
                <w:rFonts w:hint="eastAsia" w:ascii="Times New Roman" w:hAnsi="Times New Roman" w:eastAsia="宋体" w:cs="Times New Roman"/>
                <w:b w:val="0"/>
                <w:bCs w:val="0"/>
                <w:color w:val="auto"/>
                <w:sz w:val="24"/>
                <w:lang w:val="en-US" w:eastAsia="zh-CN"/>
              </w:rPr>
              <w:t>7</w:t>
            </w:r>
            <w:r>
              <w:rPr>
                <w:rFonts w:hint="default" w:ascii="Times New Roman" w:hAnsi="Times New Roman" w:eastAsia="宋体" w:cs="Times New Roman"/>
                <w:b w:val="0"/>
                <w:bCs w:val="0"/>
                <w:color w:val="auto"/>
                <w:sz w:val="24"/>
              </w:rPr>
              <w:t>，监测结果见表3-</w:t>
            </w:r>
            <w:r>
              <w:rPr>
                <w:rFonts w:hint="eastAsia" w:ascii="Times New Roman" w:hAnsi="Times New Roman" w:eastAsia="宋体" w:cs="Times New Roman"/>
                <w:b w:val="0"/>
                <w:bCs w:val="0"/>
                <w:color w:val="auto"/>
                <w:sz w:val="24"/>
                <w:lang w:val="en-US" w:eastAsia="zh-CN"/>
              </w:rPr>
              <w:t>8</w:t>
            </w:r>
            <w:r>
              <w:rPr>
                <w:rFonts w:hint="default" w:ascii="Times New Roman" w:hAnsi="Times New Roman" w:eastAsia="宋体" w:cs="Times New Roman"/>
                <w:b w:val="0"/>
                <w:bCs w:val="0"/>
                <w:color w:val="auto"/>
                <w:sz w:val="24"/>
              </w:rPr>
              <w:t>，土壤理化特性调查结果见表3-</w:t>
            </w:r>
            <w:r>
              <w:rPr>
                <w:rFonts w:hint="eastAsia" w:ascii="Times New Roman" w:hAnsi="Times New Roman" w:eastAsia="宋体" w:cs="Times New Roman"/>
                <w:b w:val="0"/>
                <w:bCs w:val="0"/>
                <w:color w:val="auto"/>
                <w:sz w:val="24"/>
                <w:lang w:val="en-US" w:eastAsia="zh-CN"/>
              </w:rPr>
              <w:t>9</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表3-</w:t>
            </w:r>
            <w:r>
              <w:rPr>
                <w:rFonts w:hint="eastAsia" w:ascii="Times New Roman" w:hAnsi="Times New Roman" w:eastAsia="宋体" w:cs="Times New Roman"/>
                <w:b w:val="0"/>
                <w:bCs w:val="0"/>
                <w:color w:val="auto"/>
                <w:sz w:val="24"/>
                <w:lang w:val="en-US" w:eastAsia="zh-CN"/>
              </w:rPr>
              <w:t>7</w:t>
            </w:r>
            <w:r>
              <w:rPr>
                <w:rFonts w:hint="default" w:ascii="Times New Roman" w:hAnsi="Times New Roman" w:eastAsia="宋体" w:cs="Times New Roman"/>
                <w:b w:val="0"/>
                <w:bCs w:val="0"/>
                <w:color w:val="auto"/>
                <w:sz w:val="24"/>
              </w:rPr>
              <w:t xml:space="preserve">  土壤监测内容一览表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357"/>
              <w:gridCol w:w="4030"/>
              <w:gridCol w:w="889"/>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类别</w:t>
                  </w:r>
                </w:p>
              </w:tc>
              <w:tc>
                <w:tcPr>
                  <w:tcW w:w="851"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点位</w:t>
                  </w:r>
                </w:p>
              </w:tc>
              <w:tc>
                <w:tcPr>
                  <w:tcW w:w="253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项目</w:t>
                  </w:r>
                </w:p>
              </w:tc>
              <w:tc>
                <w:tcPr>
                  <w:tcW w:w="5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频次</w:t>
                  </w:r>
                </w:p>
              </w:tc>
              <w:tc>
                <w:tcPr>
                  <w:tcW w:w="607"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restart"/>
                  <w:noWrap w:val="0"/>
                  <w:vAlign w:val="center"/>
                </w:tcPr>
                <w:p>
                  <w:pPr>
                    <w:pStyle w:val="2"/>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土壤</w:t>
                  </w:r>
                </w:p>
              </w:tc>
              <w:tc>
                <w:tcPr>
                  <w:tcW w:w="851" w:type="pct"/>
                  <w:noWrap w:val="0"/>
                  <w:vAlign w:val="center"/>
                </w:tcPr>
                <w:p>
                  <w:pPr>
                    <w:pStyle w:val="2"/>
                    <w:jc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kern w:val="2"/>
                      <w:sz w:val="21"/>
                      <w:szCs w:val="21"/>
                    </w:rPr>
                    <w:t>1#</w:t>
                  </w:r>
                </w:p>
              </w:tc>
              <w:tc>
                <w:tcPr>
                  <w:tcW w:w="2530" w:type="pct"/>
                  <w:noWrap w:val="0"/>
                  <w:vAlign w:val="center"/>
                </w:tcPr>
                <w:p>
                  <w:pPr>
                    <w:adjustRightInd w:val="0"/>
                    <w:snapToGrid w:val="0"/>
                    <w:spacing w:line="300" w:lineRule="exact"/>
                    <w:ind w:right="18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基本因子：砷、镉、铬（六价）、铜、铅、汞、镍、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a</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蒽、苯并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a</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芘、苯并</w:t>
                  </w:r>
                  <w:r>
                    <w:rPr>
                      <w:rFonts w:hint="default" w:ascii="Times New Roman" w:hAnsi="Times New Roman" w:eastAsia="宋体" w:cs="Times New Roman"/>
                      <w:b w:val="0"/>
                      <w:bCs w:val="0"/>
                      <w:color w:val="auto"/>
                      <w:sz w:val="21"/>
                      <w:szCs w:val="21"/>
                      <w:lang w:val="en-US" w:eastAsia="zh-CN"/>
                    </w:rPr>
                    <w:t>[b]</w:t>
                  </w:r>
                  <w:r>
                    <w:rPr>
                      <w:rFonts w:hint="default" w:ascii="Times New Roman" w:hAnsi="Times New Roman" w:eastAsia="宋体" w:cs="Times New Roman"/>
                      <w:b w:val="0"/>
                      <w:bCs w:val="0"/>
                      <w:color w:val="auto"/>
                      <w:sz w:val="21"/>
                      <w:szCs w:val="21"/>
                    </w:rPr>
                    <w:t>荧蒽、苯并</w:t>
                  </w:r>
                  <w:r>
                    <w:rPr>
                      <w:rFonts w:hint="default" w:ascii="Times New Roman" w:hAnsi="Times New Roman" w:eastAsia="宋体" w:cs="Times New Roman"/>
                      <w:b w:val="0"/>
                      <w:bCs w:val="0"/>
                      <w:color w:val="auto"/>
                      <w:sz w:val="21"/>
                      <w:szCs w:val="21"/>
                      <w:lang w:val="en-US" w:eastAsia="zh-CN"/>
                    </w:rPr>
                    <w:t>[k]</w:t>
                  </w:r>
                  <w:r>
                    <w:rPr>
                      <w:rFonts w:hint="default" w:ascii="Times New Roman" w:hAnsi="Times New Roman" w:eastAsia="宋体" w:cs="Times New Roman"/>
                      <w:b w:val="0"/>
                      <w:bCs w:val="0"/>
                      <w:color w:val="auto"/>
                      <w:sz w:val="21"/>
                      <w:szCs w:val="21"/>
                    </w:rPr>
                    <w:t>荧蒽、䓛、二苯并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a、h</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蒽、茚并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1,2,3-cd</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芘、萘</w:t>
                  </w:r>
                </w:p>
                <w:p>
                  <w:pPr>
                    <w:adjustRightInd w:val="0"/>
                    <w:snapToGrid w:val="0"/>
                    <w:spacing w:line="300" w:lineRule="exact"/>
                    <w:ind w:right="180" w:right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特征因子：苯并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a</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芘、石油烃（C</w:t>
                  </w:r>
                  <w:r>
                    <w:rPr>
                      <w:rFonts w:hint="default" w:ascii="Times New Roman" w:hAnsi="Times New Roman" w:eastAsia="宋体" w:cs="Times New Roman"/>
                      <w:b w:val="0"/>
                      <w:bCs w:val="0"/>
                      <w:color w:val="auto"/>
                      <w:sz w:val="21"/>
                      <w:szCs w:val="21"/>
                      <w:vertAlign w:val="subscript"/>
                    </w:rPr>
                    <w:t>10</w:t>
                  </w:r>
                  <w:r>
                    <w:rPr>
                      <w:rFonts w:hint="default" w:ascii="Times New Roman" w:hAnsi="Times New Roman" w:eastAsia="宋体" w:cs="Times New Roman"/>
                      <w:b w:val="0"/>
                      <w:bCs w:val="0"/>
                      <w:color w:val="auto"/>
                      <w:sz w:val="21"/>
                      <w:szCs w:val="21"/>
                    </w:rPr>
                    <w:t>-C</w:t>
                  </w:r>
                  <w:r>
                    <w:rPr>
                      <w:rFonts w:hint="default" w:ascii="Times New Roman" w:hAnsi="Times New Roman" w:eastAsia="宋体" w:cs="Times New Roman"/>
                      <w:b w:val="0"/>
                      <w:bCs w:val="0"/>
                      <w:color w:val="auto"/>
                      <w:sz w:val="21"/>
                      <w:szCs w:val="21"/>
                      <w:vertAlign w:val="subscript"/>
                    </w:rPr>
                    <w:t>40</w:t>
                  </w:r>
                  <w:r>
                    <w:rPr>
                      <w:rFonts w:hint="default" w:ascii="Times New Roman" w:hAnsi="Times New Roman" w:eastAsia="宋体" w:cs="Times New Roman"/>
                      <w:b w:val="0"/>
                      <w:bCs w:val="0"/>
                      <w:color w:val="auto"/>
                      <w:sz w:val="21"/>
                      <w:szCs w:val="21"/>
                    </w:rPr>
                    <w:t>）</w:t>
                  </w:r>
                </w:p>
                <w:p>
                  <w:pPr>
                    <w:adjustRightInd w:val="0"/>
                    <w:snapToGrid w:val="0"/>
                    <w:spacing w:line="300" w:lineRule="exact"/>
                    <w:ind w:right="180" w:right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理化性质</w:t>
                  </w:r>
                  <w:r>
                    <w:rPr>
                      <w:rStyle w:val="32"/>
                      <w:rFonts w:hint="default" w:ascii="Times New Roman" w:hAnsi="Times New Roman" w:eastAsia="宋体" w:cs="Times New Roman"/>
                      <w:b w:val="0"/>
                      <w:bCs w:val="0"/>
                      <w:color w:val="auto"/>
                      <w:kern w:val="0"/>
                      <w:szCs w:val="20"/>
                      <w:lang w:eastAsia="zh-CN"/>
                    </w:rPr>
                    <w:t>：土体构型、土壤颜色、土壤结构、土壤质地、砂砾含量、其他异物、pH值、阳离子交换量、氧化还原电位、饱和导水率、土壤容重、孔隙度等</w:t>
                  </w:r>
                </w:p>
              </w:tc>
              <w:tc>
                <w:tcPr>
                  <w:tcW w:w="558" w:type="pct"/>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监测一天，采样一次</w:t>
                  </w:r>
                </w:p>
              </w:tc>
              <w:tc>
                <w:tcPr>
                  <w:tcW w:w="607" w:type="pct"/>
                  <w:vMerge w:val="restart"/>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采样深度表层样</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noWrap w:val="0"/>
                  <w:vAlign w:val="center"/>
                </w:tcPr>
                <w:p>
                  <w:pPr>
                    <w:snapToGrid w:val="0"/>
                    <w:jc w:val="center"/>
                    <w:rPr>
                      <w:rFonts w:hint="default" w:ascii="Times New Roman" w:hAnsi="Times New Roman" w:eastAsia="宋体" w:cs="Times New Roman"/>
                      <w:b w:val="0"/>
                      <w:bCs w:val="0"/>
                      <w:color w:val="auto"/>
                      <w:szCs w:val="21"/>
                    </w:rPr>
                  </w:pPr>
                </w:p>
              </w:tc>
              <w:tc>
                <w:tcPr>
                  <w:tcW w:w="851" w:type="pct"/>
                  <w:noWrap w:val="0"/>
                  <w:vAlign w:val="center"/>
                </w:tcPr>
                <w:p>
                  <w:pPr>
                    <w:snapToGrid w:val="0"/>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rPr>
                    <w:t>2#</w:t>
                  </w:r>
                </w:p>
              </w:tc>
              <w:tc>
                <w:tcPr>
                  <w:tcW w:w="2530" w:type="pct"/>
                  <w:vMerge w:val="restart"/>
                  <w:noWrap w:val="0"/>
                  <w:vAlign w:val="center"/>
                </w:tcPr>
                <w:p>
                  <w:pPr>
                    <w:spacing w:line="26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特征因子：苯并</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a</w:t>
                  </w:r>
                  <w:r>
                    <w:rPr>
                      <w:rFonts w:hint="default"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rPr>
                    <w:t>芘、石油烃（C</w:t>
                  </w:r>
                  <w:r>
                    <w:rPr>
                      <w:rFonts w:hint="default" w:ascii="Times New Roman" w:hAnsi="Times New Roman" w:eastAsia="宋体" w:cs="Times New Roman"/>
                      <w:b w:val="0"/>
                      <w:bCs w:val="0"/>
                      <w:color w:val="auto"/>
                      <w:sz w:val="21"/>
                      <w:szCs w:val="21"/>
                      <w:vertAlign w:val="subscript"/>
                    </w:rPr>
                    <w:t>10</w:t>
                  </w:r>
                  <w:r>
                    <w:rPr>
                      <w:rFonts w:hint="default" w:ascii="Times New Roman" w:hAnsi="Times New Roman" w:eastAsia="宋体" w:cs="Times New Roman"/>
                      <w:b w:val="0"/>
                      <w:bCs w:val="0"/>
                      <w:color w:val="auto"/>
                      <w:sz w:val="21"/>
                      <w:szCs w:val="21"/>
                    </w:rPr>
                    <w:t>-C</w:t>
                  </w:r>
                  <w:r>
                    <w:rPr>
                      <w:rFonts w:hint="default" w:ascii="Times New Roman" w:hAnsi="Times New Roman" w:eastAsia="宋体" w:cs="Times New Roman"/>
                      <w:b w:val="0"/>
                      <w:bCs w:val="0"/>
                      <w:color w:val="auto"/>
                      <w:sz w:val="21"/>
                      <w:szCs w:val="21"/>
                      <w:vertAlign w:val="subscript"/>
                    </w:rPr>
                    <w:t>40</w:t>
                  </w:r>
                  <w:r>
                    <w:rPr>
                      <w:rFonts w:hint="default" w:ascii="Times New Roman" w:hAnsi="Times New Roman" w:eastAsia="宋体" w:cs="Times New Roman"/>
                      <w:b w:val="0"/>
                      <w:bCs w:val="0"/>
                      <w:color w:val="auto"/>
                      <w:sz w:val="21"/>
                      <w:szCs w:val="21"/>
                    </w:rPr>
                    <w:t>）</w:t>
                  </w:r>
                </w:p>
              </w:tc>
              <w:tc>
                <w:tcPr>
                  <w:tcW w:w="558"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607" w:type="pct"/>
                  <w:vMerge w:val="continue"/>
                  <w:noWrap w:val="0"/>
                  <w:vAlign w:val="center"/>
                </w:tcPr>
                <w:p>
                  <w:pPr>
                    <w:pStyle w:val="2"/>
                    <w:jc w:val="center"/>
                    <w:rPr>
                      <w:rFonts w:hint="default" w:ascii="Times New Roman" w:hAnsi="Times New Roman" w:eastAsia="宋体" w:cs="Times New Roman"/>
                      <w:b w:val="0"/>
                      <w:bCs w:val="0"/>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vMerge w:val="continue"/>
                  <w:noWrap w:val="0"/>
                  <w:vAlign w:val="center"/>
                </w:tcPr>
                <w:p>
                  <w:pPr>
                    <w:snapToGrid w:val="0"/>
                    <w:jc w:val="center"/>
                    <w:rPr>
                      <w:rFonts w:hint="default" w:ascii="Times New Roman" w:hAnsi="Times New Roman" w:eastAsia="宋体" w:cs="Times New Roman"/>
                      <w:b w:val="0"/>
                      <w:bCs w:val="0"/>
                      <w:color w:val="auto"/>
                      <w:szCs w:val="21"/>
                    </w:rPr>
                  </w:pPr>
                </w:p>
              </w:tc>
              <w:tc>
                <w:tcPr>
                  <w:tcW w:w="851" w:type="pct"/>
                  <w:noWrap w:val="0"/>
                  <w:vAlign w:val="center"/>
                </w:tcPr>
                <w:p>
                  <w:pPr>
                    <w:snapToGrid w:val="0"/>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rPr>
                    <w:t>3#</w:t>
                  </w:r>
                </w:p>
              </w:tc>
              <w:tc>
                <w:tcPr>
                  <w:tcW w:w="2530" w:type="pct"/>
                  <w:vMerge w:val="continue"/>
                  <w:noWrap w:val="0"/>
                  <w:vAlign w:val="center"/>
                </w:tcPr>
                <w:p>
                  <w:pPr>
                    <w:adjustRightInd w:val="0"/>
                    <w:snapToGrid w:val="0"/>
                    <w:spacing w:line="300" w:lineRule="exact"/>
                    <w:ind w:right="180"/>
                    <w:rPr>
                      <w:rFonts w:hint="default" w:ascii="Times New Roman" w:hAnsi="Times New Roman" w:eastAsia="宋体" w:cs="Times New Roman"/>
                      <w:b w:val="0"/>
                      <w:bCs w:val="0"/>
                      <w:color w:val="auto"/>
                      <w:szCs w:val="21"/>
                    </w:rPr>
                  </w:pPr>
                </w:p>
              </w:tc>
              <w:tc>
                <w:tcPr>
                  <w:tcW w:w="558"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607" w:type="pct"/>
                  <w:vMerge w:val="continue"/>
                  <w:noWrap w:val="0"/>
                  <w:vAlign w:val="center"/>
                </w:tcPr>
                <w:p>
                  <w:pPr>
                    <w:jc w:val="center"/>
                    <w:rPr>
                      <w:rFonts w:hint="default" w:ascii="Times New Roman" w:hAnsi="Times New Roman" w:eastAsia="宋体" w:cs="Times New Roman"/>
                      <w:b w:val="0"/>
                      <w:bCs w:val="0"/>
                      <w:color w:val="auto"/>
                      <w:szCs w:val="21"/>
                    </w:rPr>
                  </w:pPr>
                </w:p>
              </w:tc>
            </w:tr>
          </w:tbl>
          <w:p>
            <w:pPr>
              <w:spacing w:line="46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表3-</w:t>
            </w:r>
            <w:r>
              <w:rPr>
                <w:rFonts w:hint="eastAsia" w:ascii="Times New Roman" w:hAnsi="Times New Roman" w:eastAsia="宋体" w:cs="Times New Roman"/>
                <w:b w:val="0"/>
                <w:bCs w:val="0"/>
                <w:color w:val="auto"/>
                <w:sz w:val="24"/>
                <w:lang w:val="en-US" w:eastAsia="zh-CN"/>
              </w:rPr>
              <w:t>8</w:t>
            </w:r>
            <w:r>
              <w:rPr>
                <w:rFonts w:hint="default" w:ascii="Times New Roman" w:hAnsi="Times New Roman" w:eastAsia="宋体" w:cs="Times New Roman"/>
                <w:b w:val="0"/>
                <w:bCs w:val="0"/>
                <w:color w:val="auto"/>
                <w:sz w:val="24"/>
              </w:rPr>
              <w:t xml:space="preserve">  土壤检测结果表      单位：mg/kg（除标注外）</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461"/>
              <w:gridCol w:w="2133"/>
              <w:gridCol w:w="1453"/>
              <w:gridCol w:w="1472"/>
              <w:gridCol w:w="1116"/>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1628"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采样时间</w:t>
                  </w:r>
                </w:p>
              </w:tc>
              <w:tc>
                <w:tcPr>
                  <w:tcW w:w="3371" w:type="pct"/>
                  <w:gridSpan w:val="4"/>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2021.6.24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89" w:type="pct"/>
                  <w:vMerge w:val="restar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序号</w:t>
                  </w:r>
                </w:p>
              </w:tc>
              <w:tc>
                <w:tcPr>
                  <w:tcW w:w="1339" w:type="pct"/>
                  <w:vMerge w:val="restar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检测项目</w:t>
                  </w:r>
                </w:p>
              </w:tc>
              <w:tc>
                <w:tcPr>
                  <w:tcW w:w="2537"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检测结果</w:t>
                  </w:r>
                </w:p>
              </w:tc>
              <w:tc>
                <w:tcPr>
                  <w:tcW w:w="834" w:type="pct"/>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 w:val="21"/>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blHeader/>
                <w:jc w:val="center"/>
              </w:trPr>
              <w:tc>
                <w:tcPr>
                  <w:tcW w:w="289" w:type="pct"/>
                  <w:vMerge w:val="continue"/>
                  <w:noWrap w:val="0"/>
                  <w:vAlign w:val="center"/>
                </w:tcPr>
                <w:p>
                  <w:pPr>
                    <w:pStyle w:val="82"/>
                    <w:ind w:firstLine="0" w:firstLineChars="0"/>
                    <w:jc w:val="center"/>
                    <w:rPr>
                      <w:rFonts w:hint="default" w:ascii="Times New Roman" w:hAnsi="Times New Roman" w:eastAsia="宋体" w:cs="Times New Roman"/>
                      <w:b w:val="0"/>
                      <w:bCs w:val="0"/>
                      <w:color w:val="auto"/>
                    </w:rPr>
                  </w:pPr>
                </w:p>
              </w:tc>
              <w:tc>
                <w:tcPr>
                  <w:tcW w:w="1339" w:type="pct"/>
                  <w:vMerge w:val="continue"/>
                  <w:noWrap w:val="0"/>
                  <w:vAlign w:val="center"/>
                </w:tcPr>
                <w:p>
                  <w:pPr>
                    <w:pStyle w:val="82"/>
                    <w:ind w:firstLine="0" w:firstLineChars="0"/>
                    <w:jc w:val="center"/>
                    <w:rPr>
                      <w:rFonts w:hint="default" w:ascii="Times New Roman" w:hAnsi="Times New Roman" w:eastAsia="宋体" w:cs="Times New Roman"/>
                      <w:b w:val="0"/>
                      <w:bCs w:val="0"/>
                      <w:color w:val="auto"/>
                    </w:rPr>
                  </w:pPr>
                </w:p>
              </w:tc>
              <w:tc>
                <w:tcPr>
                  <w:tcW w:w="912" w:type="pct"/>
                  <w:noWrap w:val="0"/>
                  <w:vAlign w:val="center"/>
                </w:tcPr>
                <w:p>
                  <w:pPr>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924" w:type="pct"/>
                  <w:noWrap w:val="0"/>
                  <w:vAlign w:val="center"/>
                </w:tcPr>
                <w:p>
                  <w:pPr>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700" w:type="pct"/>
                  <w:noWrap w:val="0"/>
                  <w:vAlign w:val="center"/>
                </w:tcPr>
                <w:p>
                  <w:pPr>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834" w:type="pct"/>
                  <w:vMerge w:val="continue"/>
                  <w:noWrap w:val="0"/>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289" w:type="pct"/>
                  <w:vMerge w:val="continue"/>
                  <w:noWrap w:val="0"/>
                  <w:vAlign w:val="center"/>
                </w:tcPr>
                <w:p>
                  <w:pPr>
                    <w:pStyle w:val="82"/>
                    <w:ind w:firstLine="0" w:firstLineChars="0"/>
                    <w:jc w:val="center"/>
                    <w:rPr>
                      <w:rFonts w:hint="default" w:ascii="Times New Roman" w:hAnsi="Times New Roman" w:eastAsia="宋体" w:cs="Times New Roman"/>
                      <w:b w:val="0"/>
                      <w:bCs w:val="0"/>
                      <w:color w:val="auto"/>
                    </w:rPr>
                  </w:pP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采样深度</w:t>
                  </w:r>
                </w:p>
              </w:tc>
              <w:tc>
                <w:tcPr>
                  <w:tcW w:w="2537" w:type="pct"/>
                  <w:gridSpan w:val="3"/>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0-0.2m</w:t>
                  </w:r>
                </w:p>
              </w:tc>
              <w:tc>
                <w:tcPr>
                  <w:tcW w:w="834" w:type="pct"/>
                  <w:vMerge w:val="continue"/>
                  <w:noWrap w:val="0"/>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砷</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4.</w:t>
                  </w:r>
                  <w:r>
                    <w:rPr>
                      <w:rFonts w:hint="default" w:ascii="Times New Roman" w:hAnsi="Times New Roman" w:eastAsia="宋体" w:cs="Times New Roman"/>
                      <w:b w:val="0"/>
                      <w:bCs w:val="0"/>
                      <w:color w:val="auto"/>
                      <w:szCs w:val="21"/>
                      <w:lang w:val="en-US" w:eastAsia="zh-CN"/>
                    </w:rPr>
                    <w:t>26</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镉</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0.16</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铬（六价）</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铜</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22</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5</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铅</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2.0</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6</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汞</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0.</w:t>
                  </w:r>
                  <w:r>
                    <w:rPr>
                      <w:rFonts w:hint="default" w:ascii="Times New Roman" w:hAnsi="Times New Roman" w:eastAsia="宋体" w:cs="Times New Roman"/>
                      <w:b w:val="0"/>
                      <w:bCs w:val="0"/>
                      <w:color w:val="auto"/>
                      <w:szCs w:val="21"/>
                      <w:lang w:val="en-US" w:eastAsia="zh-CN"/>
                    </w:rPr>
                    <w:t>026</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7</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镍</w:t>
                  </w:r>
                </w:p>
              </w:tc>
              <w:tc>
                <w:tcPr>
                  <w:tcW w:w="912"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34</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8</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四氯化碳（μg/kg）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9</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氯仿（μg/kg）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10</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氯甲烷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11</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1,1-二氯乙烷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12</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1,2-二氯乙烷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13</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1,1-二氯乙烯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14</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顺-1,2-二氯乙烯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15</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反-1,2-二氯乙烯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16</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二氯甲烷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17</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1,2-二氯丙烷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18</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1,1,1,2-四氯乙烷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19</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1,1,2,2-四氯乙烷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20</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四氯乙烯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21</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1,1,1-三氯乙烷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22</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1,1,2-三氯乙烷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23</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三氯乙烯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24</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1,2,3-三氯丙烷</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25</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26</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27</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氯苯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28</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1,2-二氯苯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29</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1,4-二氯苯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30</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乙苯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31</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苯乙烯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1290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32</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甲苯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33</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间二甲苯+对二甲苯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34</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邻二甲苯</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35</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硝基苯</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36</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苯胺</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37</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2-氯酚</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2256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38</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苯并[a]蒽</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39</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苯并[a]芘</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40</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苯并[b]荧蒽</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41</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苯并[k]荧蒽</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42</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䓛</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43</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二苯并[a,h]蒽</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44</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茚并[1,2,3-cd]芘</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45</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萘</w:t>
                  </w:r>
                  <w:r>
                    <w:rPr>
                      <w:rFonts w:hint="default" w:ascii="Times New Roman" w:hAnsi="Times New Roman" w:eastAsia="宋体" w:cs="Times New Roman"/>
                      <w:b w:val="0"/>
                      <w:bCs w:val="0"/>
                      <w:color w:val="auto"/>
                    </w:rPr>
                    <w:t>（μg/kg）</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34" w:type="pct"/>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 w:val="21"/>
                      <w:szCs w:val="21"/>
                      <w:lang w:val="ru-RU"/>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289"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46</w:t>
                  </w:r>
                </w:p>
              </w:tc>
              <w:tc>
                <w:tcPr>
                  <w:tcW w:w="1339" w:type="pct"/>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lang w:val="ru-RU"/>
                    </w:rPr>
                    <w:t>石油烃（C</w:t>
                  </w:r>
                  <w:r>
                    <w:rPr>
                      <w:rFonts w:hint="default" w:ascii="Times New Roman" w:hAnsi="Times New Roman" w:eastAsia="宋体" w:cs="Times New Roman"/>
                      <w:b w:val="0"/>
                      <w:bCs w:val="0"/>
                      <w:color w:val="auto"/>
                      <w:vertAlign w:val="subscript"/>
                      <w:lang w:val="ru-RU"/>
                    </w:rPr>
                    <w:t>10</w:t>
                  </w:r>
                  <w:r>
                    <w:rPr>
                      <w:rFonts w:hint="default" w:ascii="Times New Roman" w:hAnsi="Times New Roman" w:eastAsia="宋体" w:cs="Times New Roman"/>
                      <w:b w:val="0"/>
                      <w:bCs w:val="0"/>
                      <w:color w:val="auto"/>
                      <w:lang w:val="ru-RU"/>
                    </w:rPr>
                    <w:t>-C</w:t>
                  </w:r>
                  <w:r>
                    <w:rPr>
                      <w:rFonts w:hint="default" w:ascii="Times New Roman" w:hAnsi="Times New Roman" w:eastAsia="宋体" w:cs="Times New Roman"/>
                      <w:b w:val="0"/>
                      <w:bCs w:val="0"/>
                      <w:color w:val="auto"/>
                      <w:vertAlign w:val="subscript"/>
                      <w:lang w:val="ru-RU"/>
                    </w:rPr>
                    <w:t>40</w:t>
                  </w:r>
                  <w:r>
                    <w:rPr>
                      <w:rFonts w:hint="default" w:ascii="Times New Roman" w:hAnsi="Times New Roman" w:eastAsia="宋体" w:cs="Times New Roman"/>
                      <w:b w:val="0"/>
                      <w:bCs w:val="0"/>
                      <w:color w:val="auto"/>
                      <w:lang w:val="ru-RU"/>
                    </w:rPr>
                    <w:t>）</w:t>
                  </w:r>
                </w:p>
              </w:tc>
              <w:tc>
                <w:tcPr>
                  <w:tcW w:w="912"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924"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700"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ND</w:t>
                  </w:r>
                </w:p>
              </w:tc>
              <w:tc>
                <w:tcPr>
                  <w:tcW w:w="834" w:type="pct"/>
                  <w:noWrap w:val="0"/>
                  <w:vAlign w:val="center"/>
                </w:tcPr>
                <w:p>
                  <w:pPr>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jc w:val="center"/>
              </w:trPr>
              <w:tc>
                <w:tcPr>
                  <w:tcW w:w="5000" w:type="pct"/>
                  <w:gridSpan w:val="6"/>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注：ND表示未检出</w:t>
                  </w:r>
                </w:p>
              </w:tc>
            </w:tr>
          </w:tbl>
          <w:p>
            <w:pPr>
              <w:spacing w:line="46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表3-</w:t>
            </w:r>
            <w:r>
              <w:rPr>
                <w:rFonts w:hint="eastAsia" w:ascii="Times New Roman" w:hAnsi="Times New Roman" w:eastAsia="宋体" w:cs="Times New Roman"/>
                <w:b w:val="0"/>
                <w:bCs w:val="0"/>
                <w:color w:val="auto"/>
                <w:sz w:val="24"/>
                <w:lang w:val="en-US" w:eastAsia="zh-CN"/>
              </w:rPr>
              <w:t>9</w:t>
            </w:r>
            <w:r>
              <w:rPr>
                <w:rFonts w:hint="default" w:ascii="Times New Roman" w:hAnsi="Times New Roman" w:eastAsia="宋体" w:cs="Times New Roman"/>
                <w:b w:val="0"/>
                <w:bCs w:val="0"/>
                <w:color w:val="auto"/>
                <w:sz w:val="24"/>
              </w:rPr>
              <w:t xml:space="preserve">  土壤理化特性调查表</w:t>
            </w:r>
          </w:p>
          <w:tbl>
            <w:tblPr>
              <w:tblStyle w:val="26"/>
              <w:tblW w:w="49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9"/>
              <w:gridCol w:w="2315"/>
              <w:gridCol w:w="1783"/>
              <w:gridCol w:w="1014"/>
              <w:gridCol w:w="2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jc w:val="center"/>
              </w:trPr>
              <w:tc>
                <w:tcPr>
                  <w:tcW w:w="1974"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点号</w:t>
                  </w:r>
                </w:p>
              </w:tc>
              <w:tc>
                <w:tcPr>
                  <w:tcW w:w="112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63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时间</w:t>
                  </w:r>
                </w:p>
              </w:tc>
              <w:tc>
                <w:tcPr>
                  <w:tcW w:w="1263" w:type="pct"/>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202</w:t>
                  </w:r>
                  <w:r>
                    <w:rPr>
                      <w:rFonts w:hint="default" w:ascii="Times New Roman" w:hAnsi="Times New Roman" w:eastAsia="宋体" w:cs="Times New Roman"/>
                      <w:b w:val="0"/>
                      <w:bCs w:val="0"/>
                      <w:color w:val="auto"/>
                      <w:szCs w:val="21"/>
                      <w:lang w:val="en-US" w:eastAsia="zh-CN"/>
                    </w:rPr>
                    <w:t>2.9.22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1974"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经度</w:t>
                  </w:r>
                </w:p>
              </w:tc>
              <w:tc>
                <w:tcPr>
                  <w:tcW w:w="112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highlight w:val="none"/>
                    </w:rPr>
                    <w:t>11</w:t>
                  </w:r>
                  <w:r>
                    <w:rPr>
                      <w:rFonts w:hint="default" w:ascii="Times New Roman" w:hAnsi="Times New Roman" w:eastAsia="宋体" w:cs="Times New Roman"/>
                      <w:b w:val="0"/>
                      <w:bCs w:val="0"/>
                      <w:color w:val="auto"/>
                      <w:szCs w:val="21"/>
                      <w:highlight w:val="none"/>
                      <w:lang w:val="en-US" w:eastAsia="zh-CN"/>
                    </w:rPr>
                    <w:t>0</w:t>
                  </w:r>
                  <w:r>
                    <w:rPr>
                      <w:rFonts w:hint="default" w:ascii="Times New Roman" w:hAnsi="Times New Roman" w:eastAsia="宋体" w:cs="Times New Roman"/>
                      <w:b w:val="0"/>
                      <w:bCs w:val="0"/>
                      <w:color w:val="auto"/>
                      <w:szCs w:val="21"/>
                      <w:highlight w:val="none"/>
                    </w:rPr>
                    <w:t>°</w:t>
                  </w:r>
                  <w:r>
                    <w:rPr>
                      <w:rFonts w:hint="default" w:ascii="Times New Roman" w:hAnsi="Times New Roman" w:eastAsia="宋体" w:cs="Times New Roman"/>
                      <w:b w:val="0"/>
                      <w:bCs w:val="0"/>
                      <w:color w:val="auto"/>
                      <w:szCs w:val="21"/>
                      <w:highlight w:val="none"/>
                      <w:lang w:val="en-US" w:eastAsia="zh-CN"/>
                    </w:rPr>
                    <w:t>37</w:t>
                  </w:r>
                  <w:r>
                    <w:rPr>
                      <w:rFonts w:hint="default" w:ascii="Times New Roman" w:hAnsi="Times New Roman" w:eastAsia="宋体" w:cs="Times New Roman"/>
                      <w:b w:val="0"/>
                      <w:bCs w:val="0"/>
                      <w:color w:val="auto"/>
                      <w:szCs w:val="21"/>
                      <w:highlight w:val="none"/>
                    </w:rPr>
                    <w:t>′</w:t>
                  </w:r>
                  <w:r>
                    <w:rPr>
                      <w:rFonts w:hint="default" w:ascii="Times New Roman" w:hAnsi="Times New Roman" w:eastAsia="宋体" w:cs="Times New Roman"/>
                      <w:b w:val="0"/>
                      <w:bCs w:val="0"/>
                      <w:color w:val="auto"/>
                      <w:szCs w:val="21"/>
                      <w:highlight w:val="none"/>
                      <w:lang w:val="en-US" w:eastAsia="zh-CN"/>
                    </w:rPr>
                    <w:t>32.04</w:t>
                  </w:r>
                  <w:r>
                    <w:rPr>
                      <w:rFonts w:hint="default" w:ascii="Times New Roman" w:hAnsi="Times New Roman" w:eastAsia="宋体" w:cs="Times New Roman"/>
                      <w:b w:val="0"/>
                      <w:bCs w:val="0"/>
                      <w:color w:val="auto"/>
                      <w:szCs w:val="21"/>
                      <w:highlight w:val="none"/>
                    </w:rPr>
                    <w:t>″</w:t>
                  </w:r>
                </w:p>
              </w:tc>
              <w:tc>
                <w:tcPr>
                  <w:tcW w:w="63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highlight w:val="none"/>
                    </w:rPr>
                    <w:t>纬度</w:t>
                  </w:r>
                </w:p>
              </w:tc>
              <w:tc>
                <w:tcPr>
                  <w:tcW w:w="1263"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highlight w:val="none"/>
                    </w:rPr>
                    <w:t>3</w:t>
                  </w:r>
                  <w:r>
                    <w:rPr>
                      <w:rFonts w:hint="default" w:ascii="Times New Roman" w:hAnsi="Times New Roman" w:eastAsia="宋体" w:cs="Times New Roman"/>
                      <w:b w:val="0"/>
                      <w:bCs w:val="0"/>
                      <w:color w:val="auto"/>
                      <w:szCs w:val="21"/>
                      <w:highlight w:val="none"/>
                      <w:lang w:val="en-US" w:eastAsia="zh-CN"/>
                    </w:rPr>
                    <w:t>6</w:t>
                  </w:r>
                  <w:r>
                    <w:rPr>
                      <w:rFonts w:hint="default" w:ascii="Times New Roman" w:hAnsi="Times New Roman" w:eastAsia="宋体" w:cs="Times New Roman"/>
                      <w:b w:val="0"/>
                      <w:bCs w:val="0"/>
                      <w:color w:val="auto"/>
                      <w:szCs w:val="21"/>
                      <w:highlight w:val="none"/>
                    </w:rPr>
                    <w:t>°</w:t>
                  </w:r>
                  <w:r>
                    <w:rPr>
                      <w:rFonts w:hint="default" w:ascii="Times New Roman" w:hAnsi="Times New Roman" w:eastAsia="宋体" w:cs="Times New Roman"/>
                      <w:b w:val="0"/>
                      <w:bCs w:val="0"/>
                      <w:color w:val="auto"/>
                      <w:szCs w:val="21"/>
                      <w:highlight w:val="none"/>
                      <w:lang w:val="en-US" w:eastAsia="zh-CN"/>
                    </w:rPr>
                    <w:t>26</w:t>
                  </w:r>
                  <w:r>
                    <w:rPr>
                      <w:rFonts w:hint="default" w:ascii="Times New Roman" w:hAnsi="Times New Roman" w:eastAsia="宋体" w:cs="Times New Roman"/>
                      <w:b w:val="0"/>
                      <w:bCs w:val="0"/>
                      <w:color w:val="auto"/>
                      <w:szCs w:val="21"/>
                      <w:highlight w:val="none"/>
                    </w:rPr>
                    <w:t>′</w:t>
                  </w:r>
                  <w:r>
                    <w:rPr>
                      <w:rFonts w:hint="default" w:ascii="Times New Roman" w:hAnsi="Times New Roman" w:eastAsia="宋体" w:cs="Times New Roman"/>
                      <w:b w:val="0"/>
                      <w:bCs w:val="0"/>
                      <w:color w:val="auto"/>
                      <w:szCs w:val="21"/>
                      <w:highlight w:val="none"/>
                      <w:lang w:val="en-US" w:eastAsia="zh-CN"/>
                    </w:rPr>
                    <w:t>44.05</w:t>
                  </w:r>
                  <w:r>
                    <w:rPr>
                      <w:rFonts w:hint="default" w:ascii="Times New Roman" w:hAnsi="Times New Roman" w:eastAsia="宋体" w:cs="Times New Roman"/>
                      <w:b w:val="0"/>
                      <w:bCs w:val="0"/>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1974" w:type="pct"/>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层次</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0-0.2m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515" w:type="pct"/>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现场记录</w:t>
                  </w: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颜色</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黄棕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结构</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块状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质地</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壤土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砂砾含量</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w:t>
                  </w: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其他异物</w:t>
                  </w:r>
                </w:p>
              </w:tc>
              <w:tc>
                <w:tcPr>
                  <w:tcW w:w="3025" w:type="pct"/>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15" w:type="pct"/>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实验室记录</w:t>
                  </w: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pH</w:t>
                  </w:r>
                </w:p>
              </w:tc>
              <w:tc>
                <w:tcPr>
                  <w:tcW w:w="3025" w:type="pct"/>
                  <w:gridSpan w:val="3"/>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lang w:val="ru-RU"/>
                    </w:rPr>
                    <w:t>阳离子交换量(</w:t>
                  </w:r>
                  <w:r>
                    <w:rPr>
                      <w:rFonts w:hint="default" w:ascii="Times New Roman" w:hAnsi="Times New Roman" w:eastAsia="宋体" w:cs="Times New Roman"/>
                      <w:b w:val="0"/>
                      <w:bCs w:val="0"/>
                      <w:color w:val="auto"/>
                    </w:rPr>
                    <w:t>cmol</w:t>
                  </w:r>
                  <w:r>
                    <w:rPr>
                      <w:rFonts w:hint="default" w:ascii="Times New Roman" w:hAnsi="Times New Roman" w:eastAsia="宋体" w:cs="Times New Roman"/>
                      <w:b w:val="0"/>
                      <w:bCs w:val="0"/>
                      <w:color w:val="auto"/>
                      <w:vertAlign w:val="superscript"/>
                    </w:rPr>
                    <w:t>+</w:t>
                  </w:r>
                  <w:r>
                    <w:rPr>
                      <w:rFonts w:hint="default" w:ascii="Times New Roman" w:hAnsi="Times New Roman" w:eastAsia="宋体" w:cs="Times New Roman"/>
                      <w:b w:val="0"/>
                      <w:bCs w:val="0"/>
                      <w:color w:val="auto"/>
                    </w:rPr>
                    <w:t>/kg)</w:t>
                  </w:r>
                </w:p>
              </w:tc>
              <w:tc>
                <w:tcPr>
                  <w:tcW w:w="3025" w:type="pct"/>
                  <w:gridSpan w:val="3"/>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pStyle w:val="82"/>
                    <w:ind w:firstLine="0" w:firstLineChars="0"/>
                    <w:jc w:val="center"/>
                    <w:rPr>
                      <w:rFonts w:hint="default" w:ascii="Times New Roman" w:hAnsi="Times New Roman" w:eastAsia="宋体" w:cs="Times New Roman"/>
                      <w:b w:val="0"/>
                      <w:bCs w:val="0"/>
                      <w:color w:val="auto"/>
                      <w:lang w:val="ru-RU"/>
                    </w:rPr>
                  </w:pPr>
                  <w:r>
                    <w:rPr>
                      <w:rFonts w:hint="default" w:ascii="Times New Roman" w:hAnsi="Times New Roman" w:eastAsia="宋体" w:cs="Times New Roman"/>
                      <w:b w:val="0"/>
                      <w:bCs w:val="0"/>
                      <w:color w:val="auto"/>
                    </w:rPr>
                    <w:t>氧化还原电位（mv）</w:t>
                  </w:r>
                </w:p>
              </w:tc>
              <w:tc>
                <w:tcPr>
                  <w:tcW w:w="3025" w:type="pct"/>
                  <w:gridSpan w:val="3"/>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4" w:hRule="atLeast"/>
                <w:jc w:val="center"/>
              </w:trPr>
              <w:tc>
                <w:tcPr>
                  <w:tcW w:w="515" w:type="pct"/>
                  <w:vMerge w:val="continue"/>
                  <w:noWrap w:val="0"/>
                  <w:vAlign w:val="center"/>
                </w:tcPr>
                <w:p>
                  <w:pPr>
                    <w:jc w:val="center"/>
                    <w:rPr>
                      <w:rFonts w:hint="default" w:ascii="Times New Roman" w:hAnsi="Times New Roman" w:eastAsia="宋体" w:cs="Times New Roman"/>
                      <w:b w:val="0"/>
                      <w:bCs w:val="0"/>
                      <w:color w:val="auto"/>
                      <w:szCs w:val="21"/>
                    </w:rPr>
                  </w:pPr>
                </w:p>
              </w:tc>
              <w:tc>
                <w:tcPr>
                  <w:tcW w:w="1458" w:type="pc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Cs w:val="21"/>
                    </w:rPr>
                    <w:t>土壤容重（g/cm</w:t>
                  </w:r>
                  <w:r>
                    <w:rPr>
                      <w:rFonts w:hint="default" w:ascii="Times New Roman" w:hAnsi="Times New Roman" w:eastAsia="宋体" w:cs="Times New Roman"/>
                      <w:b w:val="0"/>
                      <w:bCs w:val="0"/>
                      <w:color w:val="auto"/>
                      <w:kern w:val="0"/>
                      <w:szCs w:val="21"/>
                      <w:vertAlign w:val="superscript"/>
                    </w:rPr>
                    <w:t>3</w:t>
                  </w:r>
                  <w:r>
                    <w:rPr>
                      <w:rFonts w:hint="default" w:ascii="Times New Roman" w:hAnsi="Times New Roman" w:eastAsia="宋体" w:cs="Times New Roman"/>
                      <w:b w:val="0"/>
                      <w:bCs w:val="0"/>
                      <w:color w:val="auto"/>
                      <w:kern w:val="0"/>
                      <w:szCs w:val="21"/>
                    </w:rPr>
                    <w:t>）</w:t>
                  </w:r>
                </w:p>
              </w:tc>
              <w:tc>
                <w:tcPr>
                  <w:tcW w:w="3025" w:type="pct"/>
                  <w:gridSpan w:val="3"/>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1.43</w:t>
                  </w:r>
                </w:p>
              </w:tc>
            </w:tr>
          </w:tbl>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⑵现状评价</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计算公式：</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Pi=Ci/Si</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式中：Pi—指i污染物的单因子指数；</w:t>
            </w:r>
          </w:p>
          <w:p>
            <w:pPr>
              <w:spacing w:line="460" w:lineRule="exact"/>
              <w:ind w:firstLine="1200" w:firstLineChars="5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Ci—指i污染物的监测结果；</w:t>
            </w:r>
          </w:p>
          <w:p>
            <w:pPr>
              <w:spacing w:line="460" w:lineRule="exact"/>
              <w:ind w:firstLine="1200" w:firstLineChars="5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Si—指污染物所执行的评价标准。</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如指数P小于等于1，表示污染物浓度达到评价标准要求，而大于1则表示该污染物的浓度已超标。</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根据上述评价方法，进行项目区土壤环境质量现状进行评价，评价结果列于表3-</w:t>
            </w:r>
            <w:r>
              <w:rPr>
                <w:rFonts w:hint="default" w:ascii="Times New Roman" w:hAnsi="Times New Roman" w:eastAsia="宋体" w:cs="Times New Roman"/>
                <w:b w:val="0"/>
                <w:bCs w:val="0"/>
                <w:color w:val="auto"/>
                <w:sz w:val="24"/>
                <w:szCs w:val="24"/>
                <w:lang w:val="en-US" w:eastAsia="zh-CN"/>
              </w:rPr>
              <w:t>1</w:t>
            </w:r>
            <w:r>
              <w:rPr>
                <w:rFonts w:hint="eastAsia" w:ascii="Times New Roman" w:hAnsi="Times New Roman" w:eastAsia="宋体" w:cs="Times New Roman"/>
                <w:b w:val="0"/>
                <w:bCs w:val="0"/>
                <w:color w:val="auto"/>
                <w:sz w:val="24"/>
                <w:szCs w:val="24"/>
                <w:lang w:val="en-US" w:eastAsia="zh-CN"/>
              </w:rPr>
              <w:t>0</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表3-1</w:t>
            </w:r>
            <w:r>
              <w:rPr>
                <w:rFonts w:hint="eastAsia" w:ascii="Times New Roman" w:hAnsi="Times New Roman" w:eastAsia="宋体" w:cs="Times New Roman"/>
                <w:b w:val="0"/>
                <w:bCs w:val="0"/>
                <w:color w:val="auto"/>
                <w:sz w:val="24"/>
                <w:szCs w:val="24"/>
                <w:lang w:val="en-US" w:eastAsia="zh-CN"/>
              </w:rPr>
              <w:t>0</w:t>
            </w:r>
            <w:r>
              <w:rPr>
                <w:rFonts w:hint="default" w:ascii="Times New Roman" w:hAnsi="Times New Roman" w:eastAsia="宋体" w:cs="Times New Roman"/>
                <w:b w:val="0"/>
                <w:bCs w:val="0"/>
                <w:color w:val="auto"/>
                <w:sz w:val="24"/>
                <w:szCs w:val="24"/>
              </w:rPr>
              <w:t xml:space="preserve">  土壤现状监测评价结果一览表</w:t>
            </w:r>
          </w:p>
          <w:tbl>
            <w:tblPr>
              <w:tblStyle w:val="27"/>
              <w:tblW w:w="7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788"/>
              <w:gridCol w:w="712"/>
              <w:gridCol w:w="664"/>
              <w:gridCol w:w="799"/>
              <w:gridCol w:w="643"/>
              <w:gridCol w:w="721"/>
              <w:gridCol w:w="792"/>
              <w:gridCol w:w="731"/>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监测项目</w:t>
                  </w:r>
                </w:p>
              </w:tc>
              <w:tc>
                <w:tcPr>
                  <w:tcW w:w="788"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Pi</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达标情况</w:t>
                  </w:r>
                </w:p>
              </w:tc>
              <w:tc>
                <w:tcPr>
                  <w:tcW w:w="799"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64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Pi</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达标情况</w:t>
                  </w:r>
                </w:p>
              </w:tc>
              <w:tc>
                <w:tcPr>
                  <w:tcW w:w="79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73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Pi</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lang w:val="ru-RU"/>
                    </w:rPr>
                    <w:t>砷</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4.</w:t>
                  </w:r>
                  <w:r>
                    <w:rPr>
                      <w:rFonts w:hint="default" w:ascii="Times New Roman" w:hAnsi="Times New Roman" w:eastAsia="宋体" w:cs="Times New Roman"/>
                      <w:b w:val="0"/>
                      <w:bCs w:val="0"/>
                      <w:color w:val="auto"/>
                      <w:szCs w:val="21"/>
                      <w:lang w:val="en-US" w:eastAsia="zh-CN"/>
                    </w:rPr>
                    <w:t>26</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0.071</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3.95</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0.07</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lang w:val="ru-RU"/>
                    </w:rPr>
                    <w:t>镉</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0.16</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0.002</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0.54</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0.01</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lang w:val="ru-RU"/>
                    </w:rPr>
                    <w:t>铬（六价）</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rPr>
                    <w:t>铜</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22</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0.001</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27</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0.002</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rPr>
                    <w:t>铅</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2.0</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0.003</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14.6</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0.02</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rPr>
                    <w:t>汞</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w:t>
                  </w:r>
                  <w:r>
                    <w:rPr>
                      <w:rFonts w:hint="default" w:ascii="Times New Roman" w:hAnsi="Times New Roman" w:eastAsia="宋体" w:cs="Times New Roman"/>
                      <w:b w:val="0"/>
                      <w:bCs w:val="0"/>
                      <w:color w:val="auto"/>
                      <w:szCs w:val="21"/>
                      <w:lang w:val="en-US" w:eastAsia="zh-CN"/>
                    </w:rPr>
                    <w:t>026</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0.001</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0.037</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0.001</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rPr>
                    <w:t>镍</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34</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0.037</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31</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0.03</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rPr>
                    <w:t>四氯化碳（μg/kg）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rPr>
                    <w:t>氯仿（μg/kg）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氯甲烷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1,1-二氯乙烷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1,2-二氯乙烷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1,1-二氯乙烯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顺-1,2-二氯乙烯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反-1,2-二氯乙烯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二氯甲烷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1,2-二氯丙烷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1,1,1,2-四氯乙烷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1,1,2,2-四氯乙烷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四氯乙烯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1,1,1-三氯乙烷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1,1,2-三氯乙烷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三氯乙烯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1,2,3-三氯丙烷</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氯苯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1,2-二氯苯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1,4-二氯苯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乙苯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苯乙烯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甲苯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间二甲苯+对二甲苯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邻二甲苯</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硝基苯</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苯胺</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2-氯酚</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苯并[a]蒽</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苯并[a]芘</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苯并[b]荧蒽</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苯并[k]荧蒽</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䓛</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二苯并[a,h]蒽</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茚并[1,2,3-cd]芘</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萘</w:t>
                  </w:r>
                  <w:r>
                    <w:rPr>
                      <w:rFonts w:hint="default" w:ascii="Times New Roman" w:hAnsi="Times New Roman" w:eastAsia="宋体" w:cs="Times New Roman"/>
                      <w:b w:val="0"/>
                      <w:bCs w:val="0"/>
                      <w:color w:val="auto"/>
                    </w:rPr>
                    <w:t>（μg/kg）</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ru-RU"/>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ru-RU"/>
                    </w:rPr>
                    <w:t>/</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0"/>
                  <w:vAlign w:val="center"/>
                </w:tcPr>
                <w:p>
                  <w:pPr>
                    <w:pStyle w:val="82"/>
                    <w:ind w:firstLine="0" w:firstLineChars="0"/>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lang w:val="ru-RU"/>
                    </w:rPr>
                    <w:t>石油烃（C</w:t>
                  </w:r>
                  <w:r>
                    <w:rPr>
                      <w:rFonts w:hint="default" w:ascii="Times New Roman" w:hAnsi="Times New Roman" w:eastAsia="宋体" w:cs="Times New Roman"/>
                      <w:b w:val="0"/>
                      <w:bCs w:val="0"/>
                      <w:color w:val="auto"/>
                      <w:vertAlign w:val="subscript"/>
                      <w:lang w:val="ru-RU"/>
                    </w:rPr>
                    <w:t>10</w:t>
                  </w:r>
                  <w:r>
                    <w:rPr>
                      <w:rFonts w:hint="default" w:ascii="Times New Roman" w:hAnsi="Times New Roman" w:eastAsia="宋体" w:cs="Times New Roman"/>
                      <w:b w:val="0"/>
                      <w:bCs w:val="0"/>
                      <w:color w:val="auto"/>
                      <w:lang w:val="ru-RU"/>
                    </w:rPr>
                    <w:t>-C</w:t>
                  </w:r>
                  <w:r>
                    <w:rPr>
                      <w:rFonts w:hint="default" w:ascii="Times New Roman" w:hAnsi="Times New Roman" w:eastAsia="宋体" w:cs="Times New Roman"/>
                      <w:b w:val="0"/>
                      <w:bCs w:val="0"/>
                      <w:color w:val="auto"/>
                      <w:vertAlign w:val="subscript"/>
                      <w:lang w:val="ru-RU"/>
                    </w:rPr>
                    <w:t>40</w:t>
                  </w:r>
                  <w:r>
                    <w:rPr>
                      <w:rFonts w:hint="default" w:ascii="Times New Roman" w:hAnsi="Times New Roman" w:eastAsia="宋体" w:cs="Times New Roman"/>
                      <w:b w:val="0"/>
                      <w:bCs w:val="0"/>
                      <w:color w:val="auto"/>
                      <w:lang w:val="ru-RU"/>
                    </w:rPr>
                    <w:t>）</w:t>
                  </w:r>
                </w:p>
              </w:tc>
              <w:tc>
                <w:tcPr>
                  <w:tcW w:w="788"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12" w:type="dxa"/>
                  <w:noWrap w:val="0"/>
                  <w:vAlign w:val="center"/>
                </w:tcPr>
                <w:p>
                  <w:pPr>
                    <w:adjustRightInd w:val="0"/>
                    <w:snapToGrid w:val="0"/>
                    <w:jc w:val="center"/>
                    <w:rPr>
                      <w:rFonts w:hint="default" w:ascii="Times New Roman" w:hAnsi="Times New Roman" w:eastAsia="宋体" w:cs="Times New Roman"/>
                      <w:b w:val="0"/>
                      <w:bCs w:val="0"/>
                      <w:color w:val="auto"/>
                      <w:szCs w:val="21"/>
                      <w:lang w:val="ru-RU"/>
                    </w:rPr>
                  </w:pPr>
                  <w:r>
                    <w:rPr>
                      <w:rFonts w:hint="default" w:ascii="Times New Roman" w:hAnsi="Times New Roman" w:eastAsia="宋体" w:cs="Times New Roman"/>
                      <w:b w:val="0"/>
                      <w:bCs w:val="0"/>
                      <w:color w:val="auto"/>
                      <w:szCs w:val="21"/>
                    </w:rPr>
                    <w:t>/</w:t>
                  </w:r>
                </w:p>
              </w:tc>
              <w:tc>
                <w:tcPr>
                  <w:tcW w:w="66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9"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643"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721" w:type="dxa"/>
                  <w:noWrap w:val="0"/>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达标</w:t>
                  </w:r>
                </w:p>
              </w:tc>
              <w:tc>
                <w:tcPr>
                  <w:tcW w:w="792" w:type="dxa"/>
                  <w:noWrap w:val="0"/>
                  <w:vAlign w:val="center"/>
                </w:tcPr>
                <w:p>
                  <w:pPr>
                    <w:jc w:val="center"/>
                    <w:rPr>
                      <w:rFonts w:hint="default" w:ascii="Times New Roman" w:hAnsi="Times New Roman" w:eastAsia="宋体" w:cs="Times New Roman"/>
                      <w:b w:val="0"/>
                      <w:bCs w:val="0"/>
                      <w:color w:val="auto"/>
                      <w:kern w:val="2"/>
                      <w:sz w:val="21"/>
                      <w:szCs w:val="21"/>
                      <w:lang w:val="ru-RU" w:eastAsia="zh-CN" w:bidi="ar-SA"/>
                    </w:rPr>
                  </w:pPr>
                  <w:r>
                    <w:rPr>
                      <w:rFonts w:hint="default" w:ascii="Times New Roman" w:hAnsi="Times New Roman" w:eastAsia="宋体" w:cs="Times New Roman"/>
                      <w:b w:val="0"/>
                      <w:bCs w:val="0"/>
                      <w:color w:val="auto"/>
                      <w:szCs w:val="21"/>
                    </w:rPr>
                    <w:t>ND</w:t>
                  </w:r>
                </w:p>
              </w:tc>
              <w:tc>
                <w:tcPr>
                  <w:tcW w:w="73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4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达标</w:t>
                  </w:r>
                </w:p>
              </w:tc>
            </w:tr>
          </w:tbl>
          <w:p>
            <w:pPr>
              <w:spacing w:line="46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由监测结果可知，本项目厂区土壤环境质量现状监测点</w:t>
            </w:r>
            <w:r>
              <w:rPr>
                <w:rFonts w:hint="default" w:ascii="Times New Roman" w:hAnsi="Times New Roman" w:eastAsia="宋体" w:cs="Times New Roman"/>
                <w:b w:val="0"/>
                <w:bCs w:val="0"/>
                <w:color w:val="auto"/>
                <w:sz w:val="24"/>
                <w:lang w:val="en-US" w:eastAsia="zh-CN"/>
              </w:rPr>
              <w:t>中</w:t>
            </w:r>
            <w:r>
              <w:rPr>
                <w:rFonts w:hint="default" w:ascii="Times New Roman" w:hAnsi="Times New Roman" w:eastAsia="宋体" w:cs="Times New Roman"/>
                <w:b w:val="0"/>
                <w:bCs w:val="0"/>
                <w:color w:val="auto"/>
                <w:sz w:val="24"/>
              </w:rPr>
              <w:t>各项监测因子均能满足《土壤环境质量标准建设用地土壤</w:t>
            </w:r>
            <w:r>
              <w:rPr>
                <w:rFonts w:hint="default" w:ascii="Times New Roman" w:hAnsi="Times New Roman" w:eastAsia="宋体" w:cs="Times New Roman"/>
                <w:b w:val="0"/>
                <w:bCs w:val="0"/>
                <w:color w:val="auto"/>
                <w:sz w:val="24"/>
                <w:lang w:val="en-US" w:eastAsia="zh-CN"/>
              </w:rPr>
              <w:t>污染</w:t>
            </w:r>
            <w:r>
              <w:rPr>
                <w:rFonts w:hint="default" w:ascii="Times New Roman" w:hAnsi="Times New Roman" w:eastAsia="宋体" w:cs="Times New Roman"/>
                <w:b w:val="0"/>
                <w:bCs w:val="0"/>
                <w:color w:val="auto"/>
                <w:sz w:val="24"/>
              </w:rPr>
              <w:t>风险管控标准（试行）》（GB36600-2018）第二类用地筛选值标准，说明评价区内土壤环境质量现状良好。</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rPr>
              <w:t>、生态环境现状</w:t>
            </w:r>
          </w:p>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所在区域内生态环境主要是以农业生产为主的生态环境。植被以农作物为优势种，主要作物有小麦、玉米以及蔬菜等；动物以家养类为主，主要动物有猪、牛、羊、鸡等，野生动物以田鼠、麻雀、蛇等当地常见种为主。区域内无珍稀濒危的动植物，生态系统较为单一，生态环境问题主要为人类活动对化肥、农药等不合理使用对农作物产品质量的影响</w:t>
            </w:r>
            <w:r>
              <w:rPr>
                <w:rFonts w:hint="eastAsia" w:ascii="Times New Roman" w:hAnsi="Times New Roman" w:eastAsia="宋体" w:cs="Times New Roman"/>
                <w:b w:val="0"/>
                <w:bCs w:val="0"/>
                <w:color w:val="auto"/>
                <w:sz w:val="24"/>
                <w:szCs w:val="24"/>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02" w:hRule="atLeast"/>
          <w:jc w:val="center"/>
        </w:trPr>
        <w:tc>
          <w:tcPr>
            <w:tcW w:w="800" w:type="dxa"/>
            <w:vAlign w:val="center"/>
          </w:tcPr>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环境</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保护</w:t>
            </w:r>
          </w:p>
          <w:p>
            <w:pPr>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 w:val="24"/>
                <w:szCs w:val="24"/>
              </w:rPr>
              <w:t>目标</w:t>
            </w:r>
          </w:p>
        </w:tc>
        <w:tc>
          <w:tcPr>
            <w:tcW w:w="8190" w:type="dxa"/>
          </w:tcPr>
          <w:p>
            <w:pPr>
              <w:widowControl/>
              <w:adjustRightInd w:val="0"/>
              <w:snapToGrid w:val="0"/>
              <w:spacing w:line="460" w:lineRule="exact"/>
              <w:ind w:firstLine="480" w:firstLineChars="200"/>
              <w:rPr>
                <w:rFonts w:hint="default" w:ascii="Times New Roman" w:hAnsi="Times New Roman" w:eastAsia="宋体" w:cs="Times New Roman"/>
                <w:b w:val="0"/>
                <w:bCs w:val="0"/>
                <w:color w:val="auto"/>
                <w:sz w:val="24"/>
                <w:szCs w:val="32"/>
                <w:lang w:bidi="ar"/>
              </w:rPr>
            </w:pPr>
            <w:r>
              <w:rPr>
                <w:rFonts w:hint="default" w:ascii="Times New Roman" w:hAnsi="Times New Roman" w:eastAsia="宋体" w:cs="Times New Roman"/>
                <w:b w:val="0"/>
                <w:bCs w:val="0"/>
                <w:color w:val="auto"/>
                <w:sz w:val="24"/>
                <w:szCs w:val="32"/>
                <w:lang w:bidi="ar"/>
              </w:rPr>
              <w:t>本项目位于</w:t>
            </w:r>
            <w:r>
              <w:rPr>
                <w:rFonts w:hint="default" w:ascii="Times New Roman" w:hAnsi="Times New Roman" w:eastAsia="宋体" w:cs="Times New Roman"/>
                <w:b w:val="0"/>
                <w:bCs w:val="0"/>
                <w:color w:val="auto"/>
                <w:sz w:val="24"/>
                <w:szCs w:val="24"/>
              </w:rPr>
              <w:t>临汾市</w:t>
            </w:r>
            <w:r>
              <w:rPr>
                <w:rFonts w:hint="default" w:ascii="Times New Roman" w:hAnsi="Times New Roman" w:eastAsia="宋体" w:cs="Times New Roman"/>
                <w:b w:val="0"/>
                <w:bCs w:val="0"/>
                <w:color w:val="auto"/>
                <w:kern w:val="0"/>
                <w:sz w:val="24"/>
                <w:szCs w:val="24"/>
              </w:rPr>
              <w:t>大宁县曲娥镇</w:t>
            </w:r>
            <w:r>
              <w:rPr>
                <w:rFonts w:hint="eastAsia" w:ascii="Times New Roman" w:hAnsi="Times New Roman" w:eastAsia="宋体" w:cs="Times New Roman"/>
                <w:b w:val="0"/>
                <w:bCs w:val="0"/>
                <w:color w:val="auto"/>
                <w:kern w:val="0"/>
                <w:sz w:val="24"/>
                <w:szCs w:val="24"/>
                <w:lang w:eastAsia="zh-CN"/>
              </w:rPr>
              <w:t>曲风村</w:t>
            </w:r>
            <w:r>
              <w:rPr>
                <w:rFonts w:hint="default" w:ascii="Times New Roman" w:hAnsi="Times New Roman" w:eastAsia="宋体" w:cs="Times New Roman"/>
                <w:b w:val="0"/>
                <w:bCs w:val="0"/>
                <w:color w:val="auto"/>
                <w:kern w:val="0"/>
                <w:sz w:val="24"/>
                <w:szCs w:val="24"/>
              </w:rPr>
              <w:t>东南80m</w:t>
            </w:r>
            <w:r>
              <w:rPr>
                <w:rFonts w:hint="default" w:ascii="Times New Roman" w:hAnsi="Times New Roman" w:eastAsia="宋体" w:cs="Times New Roman"/>
                <w:b w:val="0"/>
                <w:bCs w:val="0"/>
                <w:color w:val="auto"/>
                <w:sz w:val="24"/>
                <w:szCs w:val="32"/>
                <w:lang w:bidi="ar"/>
              </w:rPr>
              <w:t>，本项目</w:t>
            </w:r>
            <w:r>
              <w:rPr>
                <w:rFonts w:hint="default" w:ascii="Times New Roman" w:hAnsi="Times New Roman" w:eastAsia="宋体" w:cs="Times New Roman"/>
                <w:b w:val="0"/>
                <w:bCs w:val="0"/>
                <w:color w:val="auto"/>
                <w:sz w:val="24"/>
                <w:szCs w:val="32"/>
                <w:lang w:val="en-US" w:eastAsia="zh-CN" w:bidi="ar"/>
              </w:rPr>
              <w:t>北</w:t>
            </w:r>
            <w:r>
              <w:rPr>
                <w:rFonts w:hint="default" w:ascii="Times New Roman" w:hAnsi="Times New Roman" w:eastAsia="宋体" w:cs="Times New Roman"/>
                <w:b w:val="0"/>
                <w:bCs w:val="0"/>
                <w:color w:val="auto"/>
                <w:sz w:val="24"/>
                <w:szCs w:val="32"/>
                <w:lang w:bidi="ar"/>
              </w:rPr>
              <w:t>侧为</w:t>
            </w:r>
            <w:r>
              <w:rPr>
                <w:rFonts w:hint="eastAsia" w:ascii="Times New Roman" w:hAnsi="Times New Roman" w:eastAsia="宋体" w:cs="Times New Roman"/>
                <w:b w:val="0"/>
                <w:bCs w:val="0"/>
                <w:color w:val="auto"/>
                <w:sz w:val="24"/>
                <w:szCs w:val="32"/>
                <w:lang w:val="en-US" w:eastAsia="zh-CN" w:bidi="ar"/>
              </w:rPr>
              <w:t>临街商铺</w:t>
            </w:r>
            <w:r>
              <w:rPr>
                <w:rFonts w:hint="default" w:ascii="Times New Roman" w:hAnsi="Times New Roman" w:eastAsia="宋体" w:cs="Times New Roman"/>
                <w:b w:val="0"/>
                <w:bCs w:val="0"/>
                <w:color w:val="auto"/>
                <w:sz w:val="24"/>
                <w:szCs w:val="32"/>
                <w:lang w:bidi="ar"/>
              </w:rPr>
              <w:t>，</w:t>
            </w:r>
            <w:r>
              <w:rPr>
                <w:rFonts w:hint="default" w:ascii="Times New Roman" w:hAnsi="Times New Roman" w:eastAsia="宋体" w:cs="Times New Roman"/>
                <w:b w:val="0"/>
                <w:bCs w:val="0"/>
                <w:color w:val="auto"/>
                <w:sz w:val="24"/>
                <w:szCs w:val="32"/>
                <w:lang w:val="en-US" w:eastAsia="zh-CN" w:bidi="ar"/>
              </w:rPr>
              <w:t>西</w:t>
            </w:r>
            <w:r>
              <w:rPr>
                <w:rFonts w:hint="default" w:ascii="Times New Roman" w:hAnsi="Times New Roman" w:eastAsia="宋体" w:cs="Times New Roman"/>
                <w:b w:val="0"/>
                <w:bCs w:val="0"/>
                <w:color w:val="auto"/>
                <w:sz w:val="24"/>
                <w:szCs w:val="32"/>
                <w:lang w:bidi="ar"/>
              </w:rPr>
              <w:t>侧、南侧和东侧均为耕地。厂址周围没有风景名胜、文物古迹等，主要保护对象为厂址附近村民、自然和农业生态环境等。具体保护目标见表3-4，</w:t>
            </w:r>
            <w:r>
              <w:rPr>
                <w:rFonts w:hint="eastAsia" w:ascii="Times New Roman" w:hAnsi="Times New Roman" w:eastAsia="宋体" w:cs="Times New Roman"/>
                <w:b w:val="0"/>
                <w:bCs w:val="0"/>
                <w:color w:val="auto"/>
                <w:sz w:val="24"/>
                <w:szCs w:val="32"/>
                <w:lang w:val="en-US" w:eastAsia="zh-CN" w:bidi="ar"/>
              </w:rPr>
              <w:t>四邻关系图见附图13，</w:t>
            </w:r>
            <w:r>
              <w:rPr>
                <w:rFonts w:hint="default" w:ascii="Times New Roman" w:hAnsi="Times New Roman" w:eastAsia="宋体" w:cs="Times New Roman"/>
                <w:b w:val="0"/>
                <w:bCs w:val="0"/>
                <w:color w:val="auto"/>
                <w:sz w:val="24"/>
                <w:szCs w:val="32"/>
                <w:lang w:bidi="ar"/>
              </w:rPr>
              <w:t>环境保护目标图见附图</w:t>
            </w:r>
            <w:r>
              <w:rPr>
                <w:rFonts w:hint="default" w:ascii="Times New Roman" w:hAnsi="Times New Roman" w:eastAsia="宋体" w:cs="Times New Roman"/>
                <w:b w:val="0"/>
                <w:bCs w:val="0"/>
                <w:color w:val="auto"/>
                <w:sz w:val="24"/>
                <w:szCs w:val="32"/>
                <w:lang w:val="en-US" w:eastAsia="zh-CN" w:bidi="ar"/>
              </w:rPr>
              <w:t>1</w:t>
            </w:r>
            <w:r>
              <w:rPr>
                <w:rFonts w:hint="eastAsia" w:ascii="Times New Roman" w:hAnsi="Times New Roman" w:eastAsia="宋体" w:cs="Times New Roman"/>
                <w:b w:val="0"/>
                <w:bCs w:val="0"/>
                <w:color w:val="auto"/>
                <w:sz w:val="24"/>
                <w:szCs w:val="32"/>
                <w:lang w:val="en-US" w:eastAsia="zh-CN" w:bidi="ar"/>
              </w:rPr>
              <w:t>4</w:t>
            </w:r>
            <w:r>
              <w:rPr>
                <w:rFonts w:hint="default" w:ascii="Times New Roman" w:hAnsi="Times New Roman" w:eastAsia="宋体" w:cs="Times New Roman"/>
                <w:b w:val="0"/>
                <w:bCs w:val="0"/>
                <w:color w:val="auto"/>
                <w:sz w:val="24"/>
                <w:szCs w:val="32"/>
                <w:lang w:bidi="ar"/>
              </w:rPr>
              <w:t>。</w:t>
            </w:r>
          </w:p>
          <w:p>
            <w:pPr>
              <w:widowControl/>
              <w:adjustRightInd w:val="0"/>
              <w:snapToGrid w:val="0"/>
              <w:spacing w:line="460" w:lineRule="exact"/>
              <w:jc w:val="center"/>
              <w:rPr>
                <w:rFonts w:hint="default" w:ascii="Times New Roman" w:hAnsi="Times New Roman" w:eastAsia="宋体" w:cs="Times New Roman"/>
                <w:b w:val="0"/>
                <w:bCs w:val="0"/>
                <w:color w:val="auto"/>
                <w:sz w:val="24"/>
                <w:szCs w:val="32"/>
                <w:lang w:bidi="ar"/>
              </w:rPr>
            </w:pPr>
            <w:r>
              <w:rPr>
                <w:rFonts w:hint="default" w:ascii="Times New Roman" w:hAnsi="Times New Roman" w:eastAsia="宋体" w:cs="Times New Roman"/>
                <w:b w:val="0"/>
                <w:bCs w:val="0"/>
                <w:color w:val="auto"/>
                <w:sz w:val="24"/>
              </w:rPr>
              <w:t>表3-</w:t>
            </w:r>
            <w:r>
              <w:rPr>
                <w:rFonts w:hint="eastAsia" w:ascii="Times New Roman" w:hAnsi="Times New Roman" w:eastAsia="宋体" w:cs="Times New Roman"/>
                <w:b w:val="0"/>
                <w:bCs w:val="0"/>
                <w:color w:val="auto"/>
                <w:sz w:val="24"/>
                <w:lang w:val="en-US" w:eastAsia="zh-CN"/>
              </w:rPr>
              <w:t>11</w:t>
            </w:r>
            <w:r>
              <w:rPr>
                <w:rFonts w:hint="default" w:ascii="Times New Roman" w:hAnsi="Times New Roman" w:eastAsia="宋体" w:cs="Times New Roman"/>
                <w:b w:val="0"/>
                <w:bCs w:val="0"/>
                <w:color w:val="auto"/>
                <w:sz w:val="24"/>
              </w:rPr>
              <w:t xml:space="preserve">  环境保护目标一览表</w:t>
            </w:r>
          </w:p>
          <w:tbl>
            <w:tblPr>
              <w:tblStyle w:val="26"/>
              <w:tblW w:w="8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709"/>
              <w:gridCol w:w="1276"/>
              <w:gridCol w:w="1134"/>
              <w:gridCol w:w="708"/>
              <w:gridCol w:w="709"/>
              <w:gridCol w:w="166"/>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环境</w:t>
                  </w:r>
                </w:p>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要素</w:t>
                  </w:r>
                </w:p>
              </w:tc>
              <w:tc>
                <w:tcPr>
                  <w:tcW w:w="709"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名称</w:t>
                  </w:r>
                </w:p>
              </w:tc>
              <w:tc>
                <w:tcPr>
                  <w:tcW w:w="2410" w:type="dxa"/>
                  <w:gridSpan w:val="2"/>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坐标</w:t>
                  </w:r>
                </w:p>
              </w:tc>
              <w:tc>
                <w:tcPr>
                  <w:tcW w:w="708"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保护内容</w:t>
                  </w:r>
                </w:p>
              </w:tc>
              <w:tc>
                <w:tcPr>
                  <w:tcW w:w="709"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方位/距离</w:t>
                  </w:r>
                </w:p>
              </w:tc>
              <w:tc>
                <w:tcPr>
                  <w:tcW w:w="1880" w:type="dxa"/>
                  <w:gridSpan w:val="2"/>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环境保护目标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continue"/>
                  <w:vAlign w:val="center"/>
                </w:tcPr>
                <w:p>
                  <w:pPr>
                    <w:jc w:val="center"/>
                    <w:rPr>
                      <w:rFonts w:hint="default" w:ascii="Times New Roman" w:hAnsi="Times New Roman" w:eastAsia="宋体" w:cs="Times New Roman"/>
                      <w:b w:val="0"/>
                      <w:bCs w:val="0"/>
                      <w:color w:val="auto"/>
                      <w:szCs w:val="21"/>
                    </w:rPr>
                  </w:pPr>
                </w:p>
              </w:tc>
              <w:tc>
                <w:tcPr>
                  <w:tcW w:w="709" w:type="dxa"/>
                  <w:vMerge w:val="continue"/>
                  <w:vAlign w:val="center"/>
                </w:tcPr>
                <w:p>
                  <w:pPr>
                    <w:jc w:val="center"/>
                    <w:rPr>
                      <w:rFonts w:hint="default" w:ascii="Times New Roman" w:hAnsi="Times New Roman" w:eastAsia="宋体" w:cs="Times New Roman"/>
                      <w:b w:val="0"/>
                      <w:bCs w:val="0"/>
                      <w:color w:val="auto"/>
                      <w:szCs w:val="21"/>
                    </w:rPr>
                  </w:pPr>
                </w:p>
              </w:tc>
              <w:tc>
                <w:tcPr>
                  <w:tcW w:w="1276"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Y</w:t>
                  </w:r>
                </w:p>
              </w:tc>
              <w:tc>
                <w:tcPr>
                  <w:tcW w:w="1134"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X</w:t>
                  </w:r>
                </w:p>
              </w:tc>
              <w:tc>
                <w:tcPr>
                  <w:tcW w:w="708" w:type="dxa"/>
                  <w:vMerge w:val="continue"/>
                  <w:vAlign w:val="center"/>
                </w:tcPr>
                <w:p>
                  <w:pPr>
                    <w:jc w:val="center"/>
                    <w:rPr>
                      <w:rFonts w:hint="default" w:ascii="Times New Roman" w:hAnsi="Times New Roman" w:eastAsia="宋体" w:cs="Times New Roman"/>
                      <w:b w:val="0"/>
                      <w:bCs w:val="0"/>
                      <w:color w:val="auto"/>
                      <w:szCs w:val="21"/>
                    </w:rPr>
                  </w:pPr>
                </w:p>
              </w:tc>
              <w:tc>
                <w:tcPr>
                  <w:tcW w:w="709" w:type="dxa"/>
                  <w:vMerge w:val="continue"/>
                  <w:vAlign w:val="center"/>
                </w:tcPr>
                <w:p>
                  <w:pPr>
                    <w:jc w:val="center"/>
                    <w:rPr>
                      <w:rFonts w:hint="default" w:ascii="Times New Roman" w:hAnsi="Times New Roman" w:eastAsia="宋体" w:cs="Times New Roman"/>
                      <w:b w:val="0"/>
                      <w:bCs w:val="0"/>
                      <w:color w:val="auto"/>
                      <w:szCs w:val="21"/>
                    </w:rPr>
                  </w:pPr>
                </w:p>
              </w:tc>
              <w:tc>
                <w:tcPr>
                  <w:tcW w:w="1880" w:type="dxa"/>
                  <w:gridSpan w:val="2"/>
                  <w:vMerge w:val="continue"/>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大气环境</w:t>
                  </w:r>
                </w:p>
              </w:tc>
              <w:tc>
                <w:tcPr>
                  <w:tcW w:w="709" w:type="dxa"/>
                  <w:vAlign w:val="center"/>
                </w:tcPr>
                <w:p>
                  <w:pPr>
                    <w:jc w:val="center"/>
                    <w:rPr>
                      <w:rFonts w:hint="default" w:ascii="Times New Roman" w:hAnsi="Times New Roman" w:eastAsia="宋体" w:cs="Times New Roman"/>
                      <w:b w:val="0"/>
                      <w:bCs w:val="0"/>
                      <w:color w:val="auto"/>
                      <w:szCs w:val="21"/>
                    </w:rPr>
                  </w:pPr>
                  <w:r>
                    <w:rPr>
                      <w:rFonts w:hint="eastAsia" w:ascii="Times New Roman" w:hAnsi="Times New Roman" w:eastAsia="宋体" w:cs="Times New Roman"/>
                      <w:b w:val="0"/>
                      <w:bCs w:val="0"/>
                      <w:color w:val="auto"/>
                      <w:szCs w:val="21"/>
                      <w:lang w:val="en-US" w:eastAsia="zh-CN"/>
                    </w:rPr>
                    <w:t>曲风村</w:t>
                  </w:r>
                </w:p>
              </w:tc>
              <w:tc>
                <w:tcPr>
                  <w:tcW w:w="1276"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default" w:ascii="Times New Roman" w:hAnsi="Times New Roman" w:eastAsia="宋体" w:cs="Times New Roman"/>
                      <w:b w:val="0"/>
                      <w:bCs w:val="0"/>
                      <w:color w:val="auto"/>
                      <w:kern w:val="0"/>
                      <w:szCs w:val="21"/>
                      <w:lang w:bidi="zh-CN"/>
                    </w:rPr>
                    <w:t>11</w:t>
                  </w:r>
                  <w:r>
                    <w:rPr>
                      <w:rFonts w:hint="default" w:ascii="Times New Roman" w:hAnsi="Times New Roman" w:eastAsia="宋体" w:cs="Times New Roman"/>
                      <w:b w:val="0"/>
                      <w:bCs w:val="0"/>
                      <w:color w:val="auto"/>
                      <w:kern w:val="0"/>
                      <w:szCs w:val="21"/>
                      <w:lang w:val="en-US" w:bidi="zh-CN"/>
                    </w:rPr>
                    <w:t>0.625165</w:t>
                  </w:r>
                </w:p>
              </w:tc>
              <w:tc>
                <w:tcPr>
                  <w:tcW w:w="1134"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default" w:ascii="Times New Roman" w:hAnsi="Times New Roman" w:eastAsia="宋体" w:cs="Times New Roman"/>
                      <w:b w:val="0"/>
                      <w:bCs w:val="0"/>
                      <w:color w:val="auto"/>
                      <w:kern w:val="0"/>
                      <w:szCs w:val="21"/>
                      <w:lang w:bidi="zh-CN"/>
                    </w:rPr>
                    <w:t>36.4</w:t>
                  </w:r>
                  <w:r>
                    <w:rPr>
                      <w:rFonts w:hint="default" w:ascii="Times New Roman" w:hAnsi="Times New Roman" w:eastAsia="宋体" w:cs="Times New Roman"/>
                      <w:b w:val="0"/>
                      <w:bCs w:val="0"/>
                      <w:color w:val="auto"/>
                      <w:kern w:val="0"/>
                      <w:szCs w:val="21"/>
                      <w:lang w:val="en-US" w:bidi="zh-CN"/>
                    </w:rPr>
                    <w:t>46470</w:t>
                  </w:r>
                </w:p>
              </w:tc>
              <w:tc>
                <w:tcPr>
                  <w:tcW w:w="708"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居民</w:t>
                  </w:r>
                </w:p>
              </w:tc>
              <w:tc>
                <w:tcPr>
                  <w:tcW w:w="875" w:type="dxa"/>
                  <w:gridSpan w:val="2"/>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西北</w:t>
                  </w:r>
                  <w:r>
                    <w:rPr>
                      <w:rFonts w:hint="eastAsia" w:ascii="Times New Roman" w:hAnsi="Times New Roman" w:eastAsia="宋体" w:cs="Times New Roman"/>
                      <w:b w:val="0"/>
                      <w:bCs w:val="0"/>
                      <w:color w:val="auto"/>
                      <w:szCs w:val="21"/>
                      <w:lang w:val="en-US" w:eastAsia="zh-CN"/>
                    </w:rPr>
                    <w:t>0.08k</w:t>
                  </w:r>
                  <w:r>
                    <w:rPr>
                      <w:rFonts w:hint="default" w:ascii="Times New Roman" w:hAnsi="Times New Roman" w:eastAsia="宋体" w:cs="Times New Roman"/>
                      <w:b w:val="0"/>
                      <w:bCs w:val="0"/>
                      <w:color w:val="auto"/>
                      <w:szCs w:val="21"/>
                    </w:rPr>
                    <w:t>m</w:t>
                  </w:r>
                </w:p>
              </w:tc>
              <w:tc>
                <w:tcPr>
                  <w:tcW w:w="1714" w:type="dxa"/>
                  <w:vMerge w:val="restart"/>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《环境空气质量标准》（GB3095-2012）二级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continue"/>
                  <w:vAlign w:val="center"/>
                </w:tcPr>
                <w:p>
                  <w:pPr>
                    <w:jc w:val="center"/>
                    <w:rPr>
                      <w:rFonts w:hint="default" w:ascii="Times New Roman" w:hAnsi="Times New Roman" w:eastAsia="宋体" w:cs="Times New Roman"/>
                      <w:b w:val="0"/>
                      <w:bCs w:val="0"/>
                      <w:color w:val="auto"/>
                      <w:szCs w:val="21"/>
                    </w:rPr>
                  </w:pPr>
                </w:p>
              </w:tc>
              <w:tc>
                <w:tcPr>
                  <w:tcW w:w="709" w:type="dxa"/>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道教村</w:t>
                  </w:r>
                </w:p>
              </w:tc>
              <w:tc>
                <w:tcPr>
                  <w:tcW w:w="1276"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110.644598</w:t>
                  </w:r>
                </w:p>
              </w:tc>
              <w:tc>
                <w:tcPr>
                  <w:tcW w:w="1134"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36.454611</w:t>
                  </w:r>
                </w:p>
              </w:tc>
              <w:tc>
                <w:tcPr>
                  <w:tcW w:w="708"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居民</w:t>
                  </w:r>
                </w:p>
              </w:tc>
              <w:tc>
                <w:tcPr>
                  <w:tcW w:w="875" w:type="dxa"/>
                  <w:gridSpan w:val="2"/>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东北1.8km</w:t>
                  </w:r>
                </w:p>
              </w:tc>
              <w:tc>
                <w:tcPr>
                  <w:tcW w:w="1714" w:type="dxa"/>
                  <w:vMerge w:val="continue"/>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continue"/>
                  <w:vAlign w:val="center"/>
                </w:tcPr>
                <w:p>
                  <w:pPr>
                    <w:jc w:val="center"/>
                    <w:rPr>
                      <w:rFonts w:hint="default" w:ascii="Times New Roman" w:hAnsi="Times New Roman" w:eastAsia="宋体" w:cs="Times New Roman"/>
                      <w:b w:val="0"/>
                      <w:bCs w:val="0"/>
                      <w:color w:val="auto"/>
                      <w:szCs w:val="21"/>
                    </w:rPr>
                  </w:pPr>
                </w:p>
              </w:tc>
              <w:tc>
                <w:tcPr>
                  <w:tcW w:w="709" w:type="dxa"/>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模范科村</w:t>
                  </w:r>
                </w:p>
              </w:tc>
              <w:tc>
                <w:tcPr>
                  <w:tcW w:w="1276"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110.601940</w:t>
                  </w:r>
                </w:p>
              </w:tc>
              <w:tc>
                <w:tcPr>
                  <w:tcW w:w="1134"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36.456458</w:t>
                  </w:r>
                </w:p>
              </w:tc>
              <w:tc>
                <w:tcPr>
                  <w:tcW w:w="708"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居民</w:t>
                  </w:r>
                </w:p>
              </w:tc>
              <w:tc>
                <w:tcPr>
                  <w:tcW w:w="875" w:type="dxa"/>
                  <w:gridSpan w:val="2"/>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西南2.8km</w:t>
                  </w:r>
                </w:p>
              </w:tc>
              <w:tc>
                <w:tcPr>
                  <w:tcW w:w="1714" w:type="dxa"/>
                  <w:vMerge w:val="continue"/>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Merge w:val="continue"/>
                  <w:vAlign w:val="center"/>
                </w:tcPr>
                <w:p>
                  <w:pPr>
                    <w:jc w:val="center"/>
                    <w:rPr>
                      <w:rFonts w:hint="default" w:ascii="Times New Roman" w:hAnsi="Times New Roman" w:eastAsia="宋体" w:cs="Times New Roman"/>
                      <w:b w:val="0"/>
                      <w:bCs w:val="0"/>
                      <w:color w:val="auto"/>
                      <w:szCs w:val="21"/>
                    </w:rPr>
                  </w:pPr>
                </w:p>
              </w:tc>
              <w:tc>
                <w:tcPr>
                  <w:tcW w:w="709" w:type="dxa"/>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内史村</w:t>
                  </w:r>
                </w:p>
              </w:tc>
              <w:tc>
                <w:tcPr>
                  <w:tcW w:w="1276"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110.639534</w:t>
                  </w:r>
                </w:p>
              </w:tc>
              <w:tc>
                <w:tcPr>
                  <w:tcW w:w="1134" w:type="dxa"/>
                  <w:vAlign w:val="center"/>
                </w:tcPr>
                <w:p>
                  <w:pPr>
                    <w:adjustRightInd w:val="0"/>
                    <w:snapToGrid w:val="0"/>
                    <w:jc w:val="center"/>
                    <w:rPr>
                      <w:rFonts w:hint="default" w:ascii="Times New Roman" w:hAnsi="Times New Roman" w:eastAsia="宋体" w:cs="Times New Roman"/>
                      <w:b w:val="0"/>
                      <w:bCs w:val="0"/>
                      <w:color w:val="auto"/>
                      <w:kern w:val="0"/>
                      <w:szCs w:val="21"/>
                      <w:lang w:val="en-US" w:bidi="zh-CN"/>
                    </w:rPr>
                  </w:pPr>
                  <w:r>
                    <w:rPr>
                      <w:rFonts w:hint="eastAsia" w:ascii="Times New Roman" w:hAnsi="Times New Roman" w:eastAsia="宋体" w:cs="Times New Roman"/>
                      <w:b w:val="0"/>
                      <w:bCs w:val="0"/>
                      <w:color w:val="auto"/>
                      <w:kern w:val="0"/>
                      <w:szCs w:val="21"/>
                      <w:lang w:val="en-US" w:bidi="zh-CN"/>
                    </w:rPr>
                    <w:t>36.430664</w:t>
                  </w:r>
                </w:p>
              </w:tc>
              <w:tc>
                <w:tcPr>
                  <w:tcW w:w="708"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居民</w:t>
                  </w:r>
                </w:p>
              </w:tc>
              <w:tc>
                <w:tcPr>
                  <w:tcW w:w="875" w:type="dxa"/>
                  <w:gridSpan w:val="2"/>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东南1.6km</w:t>
                  </w:r>
                </w:p>
              </w:tc>
              <w:tc>
                <w:tcPr>
                  <w:tcW w:w="1714" w:type="dxa"/>
                  <w:vMerge w:val="continue"/>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声环境</w:t>
                  </w:r>
                </w:p>
              </w:tc>
              <w:tc>
                <w:tcPr>
                  <w:tcW w:w="6416" w:type="dxa"/>
                  <w:gridSpan w:val="7"/>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厂界外50米范围内没有声环境保护目标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地下水环境</w:t>
                  </w:r>
                </w:p>
              </w:tc>
              <w:tc>
                <w:tcPr>
                  <w:tcW w:w="6416" w:type="dxa"/>
                  <w:gridSpan w:val="7"/>
                  <w:vAlign w:val="center"/>
                </w:tcPr>
                <w:p>
                  <w:pPr>
                    <w:jc w:val="center"/>
                    <w:rPr>
                      <w:rFonts w:hint="default" w:ascii="Times New Roman" w:hAnsi="Times New Roman" w:eastAsia="宋体" w:cs="Times New Roman"/>
                      <w:b w:val="0"/>
                      <w:bCs w:val="0"/>
                      <w:color w:val="auto"/>
                      <w:spacing w:val="-4"/>
                      <w:szCs w:val="21"/>
                    </w:rPr>
                  </w:pPr>
                  <w:r>
                    <w:rPr>
                      <w:rFonts w:hint="default" w:ascii="Times New Roman" w:hAnsi="Times New Roman" w:eastAsia="宋体" w:cs="Times New Roman"/>
                      <w:b w:val="0"/>
                      <w:bCs w:val="0"/>
                      <w:color w:val="auto"/>
                      <w:szCs w:val="21"/>
                    </w:rPr>
                    <w:t>厂界边界向外延伸500m范围内无地下水型集中式饮用水水源和热水、矿泉水、温泉等特殊地下水资源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97"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生态环境</w:t>
                  </w:r>
                </w:p>
              </w:tc>
              <w:tc>
                <w:tcPr>
                  <w:tcW w:w="6416" w:type="dxa"/>
                  <w:gridSpan w:val="7"/>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项目用地范围内没有生态环境保护目标</w:t>
                  </w:r>
                </w:p>
              </w:tc>
            </w:tr>
          </w:tbl>
          <w:p>
            <w:pPr>
              <w:widowControl/>
              <w:adjustRightInd w:val="0"/>
              <w:snapToGrid w:val="0"/>
              <w:spacing w:line="460" w:lineRule="exact"/>
              <w:ind w:firstLine="480" w:firstLineChars="200"/>
              <w:rPr>
                <w:rFonts w:hint="default" w:ascii="Times New Roman" w:hAnsi="Times New Roman" w:eastAsia="宋体" w:cs="Times New Roman"/>
                <w:b w:val="0"/>
                <w:bCs w:val="0"/>
                <w:color w:val="auto"/>
                <w:sz w:val="24"/>
                <w:szCs w:val="32"/>
                <w:lang w:bidi="ar"/>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Mar>
              <w:left w:w="28" w:type="dxa"/>
              <w:right w:w="28" w:type="dxa"/>
            </w:tcMar>
            <w:vAlign w:val="center"/>
          </w:tcPr>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污染</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物排</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放控</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制标</w:t>
            </w:r>
          </w:p>
          <w:p>
            <w:pPr>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 w:val="24"/>
                <w:szCs w:val="24"/>
              </w:rPr>
              <w:t>准</w:t>
            </w:r>
          </w:p>
        </w:tc>
        <w:tc>
          <w:tcPr>
            <w:tcW w:w="8190" w:type="dxa"/>
          </w:tcPr>
          <w:p>
            <w:pPr>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1、废气</w:t>
            </w:r>
          </w:p>
          <w:p>
            <w:pPr>
              <w:adjustRightInd w:val="0"/>
              <w:snapToGrid w:val="0"/>
              <w:spacing w:line="44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本项目</w:t>
            </w:r>
            <w:r>
              <w:rPr>
                <w:rFonts w:hint="eastAsia" w:ascii="Times New Roman" w:hAnsi="Times New Roman" w:eastAsia="宋体" w:cs="Times New Roman"/>
                <w:b w:val="0"/>
                <w:bCs w:val="0"/>
                <w:color w:val="auto"/>
                <w:kern w:val="0"/>
                <w:sz w:val="24"/>
                <w:szCs w:val="24"/>
                <w:lang w:val="en-US" w:eastAsia="zh-CN"/>
              </w:rPr>
              <w:t>运营期大气污染物</w:t>
            </w:r>
            <w:r>
              <w:rPr>
                <w:rFonts w:hint="default" w:ascii="Times New Roman" w:hAnsi="Times New Roman" w:eastAsia="宋体" w:cs="Times New Roman"/>
                <w:b w:val="0"/>
                <w:bCs w:val="0"/>
                <w:color w:val="auto"/>
                <w:kern w:val="0"/>
                <w:sz w:val="24"/>
                <w:szCs w:val="24"/>
              </w:rPr>
              <w:t>排放标准</w:t>
            </w:r>
            <w:r>
              <w:rPr>
                <w:rFonts w:hint="eastAsia" w:ascii="Times New Roman" w:hAnsi="Times New Roman" w:eastAsia="宋体" w:cs="Times New Roman"/>
                <w:b w:val="0"/>
                <w:bCs w:val="0"/>
                <w:color w:val="auto"/>
                <w:kern w:val="0"/>
                <w:sz w:val="24"/>
                <w:szCs w:val="24"/>
                <w:lang w:val="en-US" w:eastAsia="zh-CN"/>
              </w:rPr>
              <w:t>具体为：</w:t>
            </w:r>
            <w:r>
              <w:rPr>
                <w:rFonts w:hint="default" w:ascii="Times New Roman" w:hAnsi="Times New Roman" w:eastAsia="宋体" w:cs="Times New Roman"/>
                <w:b w:val="0"/>
                <w:bCs w:val="0"/>
                <w:color w:val="auto"/>
                <w:kern w:val="0"/>
                <w:sz w:val="24"/>
                <w:szCs w:val="24"/>
              </w:rPr>
              <w:t>。</w:t>
            </w:r>
          </w:p>
          <w:tbl>
            <w:tblPr>
              <w:tblStyle w:val="26"/>
              <w:tblW w:w="7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2"/>
              <w:gridCol w:w="1258"/>
              <w:gridCol w:w="1126"/>
              <w:gridCol w:w="1300"/>
              <w:gridCol w:w="915"/>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3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排放名称及标准号</w:t>
                  </w:r>
                </w:p>
              </w:tc>
              <w:tc>
                <w:tcPr>
                  <w:tcW w:w="79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级（类）别</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污染因子</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标准限值浓度</w:t>
                  </w:r>
                </w:p>
              </w:tc>
              <w:tc>
                <w:tcPr>
                  <w:tcW w:w="5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排气筒高度</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317"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《建材工业大气污染物排放标准》</w:t>
                  </w:r>
                  <w:r>
                    <w:rPr>
                      <w:rFonts w:hint="eastAsia" w:ascii="Times New Roman" w:hAnsi="Times New Roman" w:eastAsia="宋体" w:cs="Times New Roman"/>
                      <w:b w:val="0"/>
                      <w:bCs w:val="0"/>
                      <w:color w:val="auto"/>
                      <w:spacing w:val="4"/>
                      <w:sz w:val="21"/>
                      <w:szCs w:val="21"/>
                      <w:highlight w:val="none"/>
                      <w:lang w:eastAsia="zh-CN"/>
                    </w:rPr>
                    <w:t>（</w:t>
                  </w:r>
                  <w:r>
                    <w:rPr>
                      <w:rFonts w:hint="default" w:ascii="Times New Roman" w:hAnsi="Times New Roman" w:eastAsia="宋体" w:cs="Times New Roman"/>
                      <w:b w:val="0"/>
                      <w:bCs w:val="0"/>
                      <w:color w:val="auto"/>
                      <w:spacing w:val="4"/>
                      <w:sz w:val="21"/>
                      <w:szCs w:val="21"/>
                      <w:highlight w:val="none"/>
                    </w:rPr>
                    <w:t>DB37/2373-2018</w:t>
                  </w:r>
                  <w:r>
                    <w:rPr>
                      <w:rFonts w:hint="eastAsia" w:ascii="Times New Roman" w:hAnsi="Times New Roman" w:eastAsia="宋体" w:cs="Times New Roman"/>
                      <w:b w:val="0"/>
                      <w:bCs w:val="0"/>
                      <w:color w:val="auto"/>
                      <w:spacing w:val="4"/>
                      <w:sz w:val="21"/>
                      <w:szCs w:val="21"/>
                      <w:highlight w:val="none"/>
                      <w:lang w:eastAsia="zh-CN"/>
                    </w:rPr>
                    <w:t>）</w:t>
                  </w:r>
                </w:p>
              </w:tc>
              <w:tc>
                <w:tcPr>
                  <w:tcW w:w="79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表2中非金属矿重点控制区排放标准</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eastAsia="zh-CN"/>
                    </w:rPr>
                  </w:pPr>
                  <w:r>
                    <w:rPr>
                      <w:rFonts w:hint="default" w:ascii="Times New Roman" w:hAnsi="Times New Roman" w:eastAsia="宋体" w:cs="Times New Roman"/>
                      <w:b w:val="0"/>
                      <w:bCs w:val="0"/>
                      <w:color w:val="auto"/>
                      <w:spacing w:val="4"/>
                      <w:sz w:val="21"/>
                      <w:szCs w:val="21"/>
                      <w:highlight w:val="none"/>
                      <w:lang w:eastAsia="zh-CN"/>
                    </w:rPr>
                    <w:t>颗粒物</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10mg/m</w:t>
                  </w:r>
                  <w:r>
                    <w:rPr>
                      <w:rFonts w:hint="default" w:ascii="Times New Roman" w:hAnsi="Times New Roman" w:eastAsia="宋体" w:cs="Times New Roman"/>
                      <w:b w:val="0"/>
                      <w:bCs w:val="0"/>
                      <w:color w:val="auto"/>
                      <w:spacing w:val="4"/>
                      <w:sz w:val="21"/>
                      <w:szCs w:val="21"/>
                      <w:highlight w:val="none"/>
                      <w:vertAlign w:val="superscript"/>
                      <w:lang w:val="en-US" w:eastAsia="zh-CN"/>
                    </w:rPr>
                    <w:t>3</w:t>
                  </w:r>
                </w:p>
              </w:tc>
              <w:tc>
                <w:tcPr>
                  <w:tcW w:w="576"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≥15m</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7"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《锅炉大气污染物排放标准》（</w:t>
                  </w:r>
                  <w:r>
                    <w:rPr>
                      <w:rFonts w:hint="default" w:ascii="Times New Roman" w:hAnsi="Times New Roman" w:eastAsia="宋体" w:cs="Times New Roman"/>
                      <w:b w:val="0"/>
                      <w:bCs w:val="0"/>
                      <w:color w:val="auto"/>
                      <w:spacing w:val="4"/>
                      <w:sz w:val="21"/>
                      <w:szCs w:val="21"/>
                      <w:highlight w:val="none"/>
                      <w:lang w:val="en-US" w:eastAsia="zh-CN"/>
                    </w:rPr>
                    <w:t>DB14/1929-2019</w:t>
                  </w:r>
                  <w:r>
                    <w:rPr>
                      <w:rFonts w:hint="default" w:ascii="Times New Roman" w:hAnsi="Times New Roman" w:eastAsia="宋体" w:cs="Times New Roman"/>
                      <w:b w:val="0"/>
                      <w:bCs w:val="0"/>
                      <w:color w:val="auto"/>
                      <w:spacing w:val="4"/>
                      <w:sz w:val="21"/>
                      <w:szCs w:val="21"/>
                      <w:highlight w:val="none"/>
                    </w:rPr>
                    <w:t>）</w:t>
                  </w:r>
                </w:p>
              </w:tc>
              <w:tc>
                <w:tcPr>
                  <w:tcW w:w="792"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表3（燃</w:t>
                  </w:r>
                  <w:r>
                    <w:rPr>
                      <w:rFonts w:hint="default" w:ascii="Times New Roman" w:hAnsi="Times New Roman" w:eastAsia="宋体" w:cs="Times New Roman"/>
                      <w:b w:val="0"/>
                      <w:bCs w:val="0"/>
                      <w:color w:val="auto"/>
                      <w:spacing w:val="4"/>
                      <w:sz w:val="21"/>
                      <w:szCs w:val="21"/>
                      <w:highlight w:val="none"/>
                      <w:lang w:eastAsia="zh-CN"/>
                    </w:rPr>
                    <w:t>气</w:t>
                  </w:r>
                  <w:r>
                    <w:rPr>
                      <w:rFonts w:hint="default" w:ascii="Times New Roman" w:hAnsi="Times New Roman" w:eastAsia="宋体" w:cs="Times New Roman"/>
                      <w:b w:val="0"/>
                      <w:bCs w:val="0"/>
                      <w:color w:val="auto"/>
                      <w:spacing w:val="4"/>
                      <w:sz w:val="21"/>
                      <w:szCs w:val="21"/>
                      <w:highlight w:val="none"/>
                    </w:rPr>
                    <w:t>锅炉）排放标准</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烟尘</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lang w:val="en-US" w:eastAsia="zh-CN"/>
                    </w:rPr>
                    <w:t>5</w:t>
                  </w:r>
                  <w:r>
                    <w:rPr>
                      <w:rFonts w:hint="default" w:ascii="Times New Roman" w:hAnsi="Times New Roman" w:eastAsia="宋体" w:cs="Times New Roman"/>
                      <w:b w:val="0"/>
                      <w:bCs w:val="0"/>
                      <w:color w:val="auto"/>
                      <w:spacing w:val="4"/>
                      <w:sz w:val="21"/>
                      <w:szCs w:val="21"/>
                      <w:highlight w:val="none"/>
                    </w:rPr>
                    <w:t>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≥8m</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SO</w:t>
                  </w:r>
                  <w:r>
                    <w:rPr>
                      <w:rFonts w:hint="default" w:ascii="Times New Roman" w:hAnsi="Times New Roman" w:eastAsia="宋体" w:cs="Times New Roman"/>
                      <w:b w:val="0"/>
                      <w:bCs w:val="0"/>
                      <w:color w:val="auto"/>
                      <w:spacing w:val="4"/>
                      <w:sz w:val="21"/>
                      <w:szCs w:val="21"/>
                      <w:highlight w:val="none"/>
                      <w:vertAlign w:val="subscript"/>
                    </w:rPr>
                    <w:t>2</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lang w:val="en-US" w:eastAsia="zh-CN"/>
                    </w:rPr>
                    <w:t>35</w:t>
                  </w:r>
                  <w:r>
                    <w:rPr>
                      <w:rFonts w:hint="default" w:ascii="Times New Roman" w:hAnsi="Times New Roman" w:eastAsia="宋体" w:cs="Times New Roman"/>
                      <w:b w:val="0"/>
                      <w:bCs w:val="0"/>
                      <w:color w:val="auto"/>
                      <w:spacing w:val="4"/>
                      <w:sz w:val="21"/>
                      <w:szCs w:val="21"/>
                      <w:highlight w:val="none"/>
                    </w:rPr>
                    <w:t>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NOx</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lang w:val="en-US" w:eastAsia="zh-CN"/>
                    </w:rPr>
                    <w:t>50</w:t>
                  </w:r>
                  <w:r>
                    <w:rPr>
                      <w:rFonts w:hint="default" w:ascii="Times New Roman" w:hAnsi="Times New Roman" w:eastAsia="宋体" w:cs="Times New Roman"/>
                      <w:b w:val="0"/>
                      <w:bCs w:val="0"/>
                      <w:color w:val="auto"/>
                      <w:spacing w:val="4"/>
                      <w:sz w:val="21"/>
                      <w:szCs w:val="21"/>
                      <w:highlight w:val="none"/>
                    </w:rPr>
                    <w:t>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7"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《大气污染物综合排放标准》（GB16297-1996）</w:t>
                  </w:r>
                </w:p>
              </w:tc>
              <w:tc>
                <w:tcPr>
                  <w:tcW w:w="792"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表2中二级标准</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沥青烟</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lang w:val="en-US" w:eastAsia="zh-CN"/>
                    </w:rPr>
                    <w:t>40</w:t>
                  </w:r>
                  <w:r>
                    <w:rPr>
                      <w:rFonts w:hint="default" w:ascii="Times New Roman" w:hAnsi="Times New Roman" w:eastAsia="宋体" w:cs="Times New Roman"/>
                      <w:b w:val="0"/>
                      <w:bCs w:val="0"/>
                      <w:color w:val="auto"/>
                      <w:spacing w:val="4"/>
                      <w:sz w:val="21"/>
                      <w:szCs w:val="21"/>
                      <w:highlight w:val="none"/>
                    </w:rPr>
                    <w:t>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eastAsia" w:ascii="Times New Roman" w:hAnsi="Times New Roman" w:eastAsia="宋体" w:cs="Times New Roman"/>
                      <w:b w:val="0"/>
                      <w:bCs w:val="0"/>
                      <w:color w:val="auto"/>
                      <w:spacing w:val="4"/>
                      <w:sz w:val="21"/>
                      <w:szCs w:val="21"/>
                      <w:highlight w:val="none"/>
                      <w:lang w:val="en-US" w:eastAsia="zh-CN"/>
                    </w:rPr>
                    <w:t>≥15m</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0.18kg/h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苯并[a]芘</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0.3×10</w:t>
                  </w:r>
                  <w:r>
                    <w:rPr>
                      <w:rFonts w:hint="default" w:ascii="Times New Roman" w:hAnsi="Times New Roman" w:eastAsia="宋体" w:cs="Times New Roman"/>
                      <w:b w:val="0"/>
                      <w:bCs w:val="0"/>
                      <w:color w:val="auto"/>
                      <w:spacing w:val="4"/>
                      <w:sz w:val="21"/>
                      <w:szCs w:val="21"/>
                      <w:highlight w:val="none"/>
                      <w:vertAlign w:val="superscript"/>
                    </w:rPr>
                    <w:t>-3</w:t>
                  </w:r>
                  <w:r>
                    <w:rPr>
                      <w:rFonts w:hint="default" w:ascii="Times New Roman" w:hAnsi="Times New Roman" w:eastAsia="宋体" w:cs="Times New Roman"/>
                      <w:b w:val="0"/>
                      <w:bCs w:val="0"/>
                      <w:color w:val="auto"/>
                      <w:spacing w:val="4"/>
                      <w:sz w:val="21"/>
                      <w:szCs w:val="21"/>
                      <w:highlight w:val="none"/>
                    </w:rPr>
                    <w:t xml:space="preserve"> 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0.05×10</w:t>
                  </w:r>
                  <w:r>
                    <w:rPr>
                      <w:rFonts w:hint="default" w:ascii="Times New Roman" w:hAnsi="Times New Roman" w:eastAsia="宋体" w:cs="Times New Roman"/>
                      <w:b w:val="0"/>
                      <w:bCs w:val="0"/>
                      <w:color w:val="auto"/>
                      <w:spacing w:val="4"/>
                      <w:sz w:val="21"/>
                      <w:szCs w:val="21"/>
                      <w:highlight w:val="none"/>
                      <w:vertAlign w:val="superscript"/>
                    </w:rPr>
                    <w:t>-3</w:t>
                  </w:r>
                  <w:r>
                    <w:rPr>
                      <w:rFonts w:hint="default" w:ascii="Times New Roman" w:hAnsi="Times New Roman" w:eastAsia="宋体" w:cs="Times New Roman"/>
                      <w:b w:val="0"/>
                      <w:bCs w:val="0"/>
                      <w:color w:val="auto"/>
                      <w:spacing w:val="4"/>
                      <w:sz w:val="21"/>
                      <w:szCs w:val="21"/>
                      <w:highlight w:val="none"/>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无组织废气</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苯并[a]芘</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0.008μg/m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颗粒物</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1.0 mg/m</w:t>
                  </w:r>
                  <w:r>
                    <w:rPr>
                      <w:rFonts w:hint="default" w:ascii="Times New Roman" w:hAnsi="Times New Roman" w:eastAsia="宋体" w:cs="Times New Roman"/>
                      <w:b w:val="0"/>
                      <w:bCs w:val="0"/>
                      <w:color w:val="auto"/>
                      <w:spacing w:val="4"/>
                      <w:sz w:val="21"/>
                      <w:szCs w:val="21"/>
                      <w:highlight w:val="none"/>
                      <w:vertAlign w:val="superscript"/>
                    </w:rPr>
                    <w:t>3</w:t>
                  </w: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317"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rPr>
                    <w:t>《工业企业挥发性有机物排放控制标准》</w:t>
                  </w:r>
                  <w:r>
                    <w:rPr>
                      <w:rFonts w:hint="eastAsia" w:ascii="Times New Roman" w:hAnsi="Times New Roman" w:eastAsia="宋体" w:cs="Times New Roman"/>
                      <w:b w:val="0"/>
                      <w:bCs w:val="0"/>
                      <w:color w:val="auto"/>
                      <w:spacing w:val="4"/>
                      <w:sz w:val="21"/>
                      <w:szCs w:val="21"/>
                      <w:highlight w:val="none"/>
                      <w:lang w:eastAsia="zh-CN"/>
                    </w:rPr>
                    <w:t>（</w:t>
                  </w:r>
                  <w:r>
                    <w:rPr>
                      <w:rFonts w:hint="default" w:ascii="Times New Roman" w:hAnsi="Times New Roman" w:eastAsia="宋体" w:cs="Times New Roman"/>
                      <w:b w:val="0"/>
                      <w:bCs w:val="0"/>
                      <w:color w:val="auto"/>
                      <w:spacing w:val="4"/>
                      <w:sz w:val="21"/>
                      <w:szCs w:val="21"/>
                      <w:highlight w:val="none"/>
                    </w:rPr>
                    <w:t>DB13/2322-2016</w:t>
                  </w:r>
                  <w:r>
                    <w:rPr>
                      <w:rFonts w:hint="eastAsia" w:ascii="Times New Roman" w:hAnsi="Times New Roman" w:eastAsia="宋体" w:cs="Times New Roman"/>
                      <w:b w:val="0"/>
                      <w:bCs w:val="0"/>
                      <w:color w:val="auto"/>
                      <w:spacing w:val="4"/>
                      <w:sz w:val="21"/>
                      <w:szCs w:val="21"/>
                      <w:highlight w:val="none"/>
                      <w:lang w:eastAsia="zh-CN"/>
                    </w:rPr>
                    <w:t>）</w:t>
                  </w:r>
                </w:p>
              </w:tc>
              <w:tc>
                <w:tcPr>
                  <w:tcW w:w="79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eastAsia="zh-CN"/>
                    </w:rPr>
                  </w:pPr>
                  <w:r>
                    <w:rPr>
                      <w:rFonts w:hint="default" w:ascii="Times New Roman" w:hAnsi="Times New Roman" w:eastAsia="宋体" w:cs="Times New Roman"/>
                      <w:b w:val="0"/>
                      <w:bCs w:val="0"/>
                      <w:color w:val="auto"/>
                      <w:spacing w:val="4"/>
                      <w:sz w:val="21"/>
                      <w:szCs w:val="21"/>
                      <w:highlight w:val="none"/>
                    </w:rPr>
                    <w:t>表</w:t>
                  </w:r>
                  <w:r>
                    <w:rPr>
                      <w:rFonts w:hint="default" w:ascii="Times New Roman" w:hAnsi="Times New Roman" w:eastAsia="宋体" w:cs="Times New Roman"/>
                      <w:b w:val="0"/>
                      <w:bCs w:val="0"/>
                      <w:color w:val="auto"/>
                      <w:spacing w:val="4"/>
                      <w:sz w:val="21"/>
                      <w:szCs w:val="21"/>
                      <w:highlight w:val="none"/>
                      <w:lang w:val="en-US" w:eastAsia="zh-CN"/>
                    </w:rPr>
                    <w:t>1</w:t>
                  </w:r>
                  <w:r>
                    <w:rPr>
                      <w:rFonts w:hint="default" w:ascii="Times New Roman" w:hAnsi="Times New Roman" w:eastAsia="宋体" w:cs="Times New Roman"/>
                      <w:b w:val="0"/>
                      <w:bCs w:val="0"/>
                      <w:color w:val="auto"/>
                      <w:spacing w:val="4"/>
                      <w:sz w:val="21"/>
                      <w:szCs w:val="21"/>
                      <w:highlight w:val="none"/>
                    </w:rPr>
                    <w:t>排放标准</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非甲烷总烃</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80</w:t>
                  </w:r>
                </w:p>
              </w:tc>
              <w:tc>
                <w:tcPr>
                  <w:tcW w:w="576" w:type="pct"/>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w:t>
                  </w: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31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p>
              </w:tc>
              <w:tc>
                <w:tcPr>
                  <w:tcW w:w="792"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eastAsia="zh-CN"/>
                    </w:rPr>
                  </w:pPr>
                  <w:r>
                    <w:rPr>
                      <w:rFonts w:hint="default" w:ascii="Times New Roman" w:hAnsi="Times New Roman" w:eastAsia="宋体" w:cs="Times New Roman"/>
                      <w:b w:val="0"/>
                      <w:bCs w:val="0"/>
                      <w:color w:val="auto"/>
                      <w:spacing w:val="4"/>
                      <w:sz w:val="21"/>
                      <w:szCs w:val="21"/>
                      <w:highlight w:val="none"/>
                    </w:rPr>
                    <w:t>表</w:t>
                  </w:r>
                  <w:r>
                    <w:rPr>
                      <w:rFonts w:hint="default" w:ascii="Times New Roman" w:hAnsi="Times New Roman" w:eastAsia="宋体" w:cs="Times New Roman"/>
                      <w:b w:val="0"/>
                      <w:bCs w:val="0"/>
                      <w:color w:val="auto"/>
                      <w:spacing w:val="4"/>
                      <w:sz w:val="21"/>
                      <w:szCs w:val="21"/>
                      <w:highlight w:val="none"/>
                      <w:lang w:val="en-US" w:eastAsia="zh-CN"/>
                    </w:rPr>
                    <w:t>2</w:t>
                  </w:r>
                  <w:r>
                    <w:rPr>
                      <w:rFonts w:hint="default" w:ascii="Times New Roman" w:hAnsi="Times New Roman" w:eastAsia="宋体" w:cs="Times New Roman"/>
                      <w:b w:val="0"/>
                      <w:bCs w:val="0"/>
                      <w:color w:val="auto"/>
                      <w:spacing w:val="4"/>
                      <w:sz w:val="21"/>
                      <w:szCs w:val="21"/>
                      <w:highlight w:val="none"/>
                    </w:rPr>
                    <w:t>排放标准</w:t>
                  </w:r>
                </w:p>
              </w:tc>
              <w:tc>
                <w:tcPr>
                  <w:tcW w:w="709"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rPr>
                  </w:pPr>
                  <w:r>
                    <w:rPr>
                      <w:rFonts w:hint="default" w:ascii="Times New Roman" w:hAnsi="Times New Roman" w:eastAsia="宋体" w:cs="Times New Roman"/>
                      <w:b w:val="0"/>
                      <w:bCs w:val="0"/>
                      <w:color w:val="auto"/>
                      <w:spacing w:val="4"/>
                      <w:sz w:val="21"/>
                      <w:szCs w:val="21"/>
                      <w:highlight w:val="none"/>
                      <w:lang w:val="en-US" w:eastAsia="zh-CN"/>
                    </w:rPr>
                    <w:t>非甲烷总烃</w:t>
                  </w:r>
                </w:p>
              </w:tc>
              <w:tc>
                <w:tcPr>
                  <w:tcW w:w="818"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2.0</w:t>
                  </w:r>
                </w:p>
              </w:tc>
              <w:tc>
                <w:tcPr>
                  <w:tcW w:w="576"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p>
              </w:tc>
              <w:tc>
                <w:tcPr>
                  <w:tcW w:w="784"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pacing w:val="4"/>
                      <w:sz w:val="21"/>
                      <w:szCs w:val="21"/>
                      <w:highlight w:val="none"/>
                      <w:lang w:val="en-US" w:eastAsia="zh-CN"/>
                    </w:rPr>
                  </w:pPr>
                  <w:r>
                    <w:rPr>
                      <w:rFonts w:hint="default" w:ascii="Times New Roman" w:hAnsi="Times New Roman" w:eastAsia="宋体" w:cs="Times New Roman"/>
                      <w:b w:val="0"/>
                      <w:bCs w:val="0"/>
                      <w:color w:val="auto"/>
                      <w:spacing w:val="4"/>
                      <w:sz w:val="21"/>
                      <w:szCs w:val="21"/>
                      <w:highlight w:val="none"/>
                      <w:lang w:val="en-US" w:eastAsia="zh-CN"/>
                    </w:rPr>
                    <w:t>/</w:t>
                  </w:r>
                </w:p>
              </w:tc>
            </w:tr>
          </w:tbl>
          <w:p>
            <w:pPr>
              <w:adjustRightInd w:val="0"/>
              <w:snapToGrid w:val="0"/>
              <w:spacing w:line="44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2、噪声</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本项目厂界噪声执行《工业企业厂界环境噪声排放标准》(GB12348-2008) 中2类标准，具体为：</w:t>
            </w:r>
          </w:p>
          <w:tbl>
            <w:tblPr>
              <w:tblStyle w:val="26"/>
              <w:tblW w:w="7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6"/>
              <w:gridCol w:w="2618"/>
              <w:gridCol w:w="2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2636"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类  别</w:t>
                  </w:r>
                </w:p>
              </w:tc>
              <w:tc>
                <w:tcPr>
                  <w:tcW w:w="2618"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昼  间</w:t>
                  </w:r>
                </w:p>
              </w:tc>
              <w:tc>
                <w:tcPr>
                  <w:tcW w:w="2685"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夜  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2636"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2类</w:t>
                  </w:r>
                </w:p>
              </w:tc>
              <w:tc>
                <w:tcPr>
                  <w:tcW w:w="2618"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60</w:t>
                  </w:r>
                </w:p>
              </w:tc>
              <w:tc>
                <w:tcPr>
                  <w:tcW w:w="2685" w:type="dxa"/>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50</w:t>
                  </w:r>
                </w:p>
              </w:tc>
            </w:tr>
          </w:tbl>
          <w:p>
            <w:pPr>
              <w:adjustRightInd w:val="0"/>
              <w:snapToGrid w:val="0"/>
              <w:spacing w:line="44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3、固废</w:t>
            </w:r>
          </w:p>
          <w:p>
            <w:pPr>
              <w:adjustRightInd w:val="0"/>
              <w:snapToGrid w:val="0"/>
              <w:spacing w:line="440" w:lineRule="exact"/>
              <w:ind w:firstLine="480" w:firstLineChars="200"/>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sz w:val="24"/>
                <w:szCs w:val="24"/>
              </w:rPr>
              <w:t>本项目产生的一般工业固废废物执行《一般工业固体废物贮存和填埋污染控制标准》（GB18599-2020）中的相关规定；产生的危险废物执行《危险废物贮存污染控制标准》（GB18597-2023）的规定。</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37" w:hRule="atLeast"/>
          <w:jc w:val="center"/>
        </w:trPr>
        <w:tc>
          <w:tcPr>
            <w:tcW w:w="800" w:type="dxa"/>
            <w:vAlign w:val="center"/>
          </w:tcPr>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总量</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控制</w:t>
            </w:r>
          </w:p>
          <w:p>
            <w:pPr>
              <w:adjustRightInd w:val="0"/>
              <w:snapToGrid w:val="0"/>
              <w:jc w:val="center"/>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指标</w:t>
            </w:r>
          </w:p>
        </w:tc>
        <w:tc>
          <w:tcPr>
            <w:tcW w:w="8190" w:type="dxa"/>
            <w:vAlign w:val="center"/>
          </w:tcPr>
          <w:p>
            <w:pPr>
              <w:spacing w:line="44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sz w:val="24"/>
                <w:szCs w:val="24"/>
              </w:rPr>
              <w:t>根据山西省生态环境厅晋环规[2023]1号关于印发《建设项目主要污染物排放总量核定暂行办法》的通知，本项目需申请的总量指标为：颗粒物</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szCs w:val="24"/>
              </w:rPr>
              <w:t>0.</w:t>
            </w:r>
            <w:r>
              <w:rPr>
                <w:rFonts w:hint="eastAsia" w:ascii="Times New Roman" w:hAnsi="Times New Roman" w:eastAsia="宋体" w:cs="Times New Roman"/>
                <w:b w:val="0"/>
                <w:bCs w:val="0"/>
                <w:color w:val="auto"/>
                <w:sz w:val="24"/>
                <w:szCs w:val="24"/>
                <w:lang w:val="en-US" w:eastAsia="zh-CN"/>
              </w:rPr>
              <w:t>039t</w:t>
            </w:r>
            <w:r>
              <w:rPr>
                <w:rFonts w:hint="default" w:ascii="Times New Roman" w:hAnsi="Times New Roman" w:eastAsia="宋体" w:cs="Times New Roman"/>
                <w:b w:val="0"/>
                <w:bCs w:val="0"/>
                <w:color w:val="auto"/>
                <w:sz w:val="24"/>
                <w:szCs w:val="24"/>
              </w:rPr>
              <w:t>/a（粉尘</w:t>
            </w:r>
            <w:r>
              <w:rPr>
                <w:rFonts w:hint="eastAsia" w:ascii="Times New Roman" w:hAnsi="Times New Roman" w:eastAsia="宋体" w:cs="Times New Roman"/>
                <w:b w:val="0"/>
                <w:bCs w:val="0"/>
                <w:color w:val="auto"/>
                <w:sz w:val="24"/>
                <w:szCs w:val="24"/>
                <w:lang w:val="en-US" w:eastAsia="zh-CN"/>
              </w:rPr>
              <w:t>0.013</w:t>
            </w:r>
            <w:r>
              <w:rPr>
                <w:rFonts w:hint="default" w:ascii="Times New Roman" w:hAnsi="Times New Roman" w:eastAsia="宋体" w:cs="Times New Roman"/>
                <w:b w:val="0"/>
                <w:bCs w:val="0"/>
                <w:color w:val="auto"/>
                <w:sz w:val="24"/>
                <w:szCs w:val="24"/>
              </w:rPr>
              <w:t>t/a</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烟尘0.026</w:t>
            </w:r>
            <w:r>
              <w:rPr>
                <w:rFonts w:hint="default" w:ascii="Times New Roman" w:hAnsi="Times New Roman" w:eastAsia="宋体" w:cs="Times New Roman"/>
                <w:b w:val="0"/>
                <w:bCs w:val="0"/>
                <w:color w:val="auto"/>
                <w:sz w:val="24"/>
                <w:szCs w:val="24"/>
              </w:rPr>
              <w:t>t/a</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rPr>
              <w:t>，SO</w:t>
            </w:r>
            <w:r>
              <w:rPr>
                <w:rFonts w:hint="default" w:ascii="Times New Roman" w:hAnsi="Times New Roman" w:eastAsia="宋体" w:cs="Times New Roman"/>
                <w:b w:val="0"/>
                <w:bCs w:val="0"/>
                <w:color w:val="auto"/>
                <w:sz w:val="24"/>
                <w:vertAlign w:val="subscript"/>
              </w:rPr>
              <w:t>2</w:t>
            </w:r>
            <w:r>
              <w:rPr>
                <w:rFonts w:hint="default" w:ascii="Times New Roman" w:hAnsi="Times New Roman" w:eastAsia="宋体" w:cs="Times New Roman"/>
                <w:b w:val="0"/>
                <w:bCs w:val="0"/>
                <w:color w:val="auto"/>
                <w:sz w:val="24"/>
              </w:rPr>
              <w:t>：</w:t>
            </w:r>
            <w:r>
              <w:rPr>
                <w:rFonts w:hint="eastAsia" w:ascii="Times New Roman" w:hAnsi="Times New Roman" w:eastAsia="宋体" w:cs="Times New Roman"/>
                <w:b w:val="0"/>
                <w:bCs w:val="0"/>
                <w:color w:val="auto"/>
                <w:sz w:val="24"/>
                <w:lang w:val="en-US" w:eastAsia="zh-CN"/>
              </w:rPr>
              <w:t>0.182</w:t>
            </w:r>
            <w:r>
              <w:rPr>
                <w:rFonts w:hint="default" w:ascii="Times New Roman" w:hAnsi="Times New Roman" w:eastAsia="宋体" w:cs="Times New Roman"/>
                <w:b w:val="0"/>
                <w:bCs w:val="0"/>
                <w:color w:val="auto"/>
                <w:sz w:val="24"/>
              </w:rPr>
              <w:t>t/a，NO</w:t>
            </w:r>
            <w:r>
              <w:rPr>
                <w:rFonts w:hint="default" w:ascii="Times New Roman" w:hAnsi="Times New Roman" w:eastAsia="宋体" w:cs="Times New Roman"/>
                <w:b w:val="0"/>
                <w:bCs w:val="0"/>
                <w:color w:val="auto"/>
                <w:sz w:val="24"/>
                <w:vertAlign w:val="subscript"/>
              </w:rPr>
              <w:t>x</w:t>
            </w:r>
            <w:r>
              <w:rPr>
                <w:rFonts w:hint="default" w:ascii="Times New Roman" w:hAnsi="Times New Roman" w:eastAsia="宋体" w:cs="Times New Roman"/>
                <w:b w:val="0"/>
                <w:bCs w:val="0"/>
                <w:color w:val="auto"/>
                <w:sz w:val="24"/>
              </w:rPr>
              <w:t>：</w:t>
            </w:r>
            <w:r>
              <w:rPr>
                <w:rFonts w:hint="eastAsia" w:ascii="Times New Roman" w:hAnsi="Times New Roman" w:eastAsia="宋体" w:cs="Times New Roman"/>
                <w:b w:val="0"/>
                <w:bCs w:val="0"/>
                <w:color w:val="auto"/>
                <w:sz w:val="24"/>
                <w:lang w:val="en-US" w:eastAsia="zh-CN"/>
              </w:rPr>
              <w:t>0.261</w:t>
            </w:r>
            <w:r>
              <w:rPr>
                <w:rFonts w:hint="default" w:ascii="Times New Roman" w:hAnsi="Times New Roman" w:eastAsia="宋体" w:cs="Times New Roman"/>
                <w:b w:val="0"/>
                <w:bCs w:val="0"/>
                <w:color w:val="auto"/>
                <w:sz w:val="24"/>
              </w:rPr>
              <w:t>t/a</w:t>
            </w:r>
            <w:r>
              <w:rPr>
                <w:rFonts w:hint="eastAsia" w:ascii="Times New Roman" w:hAnsi="Times New Roman" w:eastAsia="宋体" w:cs="Times New Roman"/>
                <w:b w:val="0"/>
                <w:bCs w:val="0"/>
                <w:color w:val="auto"/>
                <w:sz w:val="24"/>
                <w:lang w:eastAsia="zh-CN"/>
              </w:rPr>
              <w:t>，</w:t>
            </w:r>
            <w:r>
              <w:rPr>
                <w:rFonts w:hint="eastAsia" w:ascii="Times New Roman" w:hAnsi="Times New Roman" w:eastAsia="宋体" w:cs="Times New Roman"/>
                <w:b w:val="0"/>
                <w:bCs w:val="0"/>
                <w:color w:val="auto"/>
                <w:sz w:val="24"/>
                <w:lang w:val="en-US" w:eastAsia="zh-CN"/>
              </w:rPr>
              <w:t>挥发性有机物：0.157</w:t>
            </w:r>
            <w:r>
              <w:rPr>
                <w:rFonts w:hint="default" w:ascii="Times New Roman" w:hAnsi="Times New Roman" w:eastAsia="宋体" w:cs="Times New Roman"/>
                <w:b w:val="0"/>
                <w:bCs w:val="0"/>
                <w:color w:val="auto"/>
                <w:sz w:val="24"/>
                <w:szCs w:val="24"/>
              </w:rPr>
              <w:t>t/a</w:t>
            </w:r>
            <w:r>
              <w:rPr>
                <w:rFonts w:hint="eastAsia" w:ascii="Times New Roman" w:hAnsi="Times New Roman" w:eastAsia="宋体" w:cs="Times New Roman"/>
                <w:b w:val="0"/>
                <w:bCs w:val="0"/>
                <w:color w:val="auto"/>
                <w:sz w:val="24"/>
                <w:szCs w:val="24"/>
                <w:lang w:eastAsia="zh-CN"/>
              </w:rPr>
              <w:t>（</w:t>
            </w:r>
            <w:r>
              <w:rPr>
                <w:rFonts w:hint="eastAsia" w:ascii="Times New Roman" w:hAnsi="Times New Roman" w:eastAsia="宋体" w:cs="Times New Roman"/>
                <w:b w:val="0"/>
                <w:bCs w:val="0"/>
                <w:color w:val="auto"/>
                <w:sz w:val="24"/>
                <w:szCs w:val="24"/>
                <w:lang w:val="en-US" w:eastAsia="zh-CN"/>
              </w:rPr>
              <w:t>非甲烷总烃</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b w:val="0"/>
                <w:bCs w:val="0"/>
                <w:color w:val="auto"/>
                <w:sz w:val="24"/>
              </w:rPr>
              <w:t>。</w:t>
            </w:r>
          </w:p>
        </w:tc>
      </w:tr>
    </w:tbl>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r>
        <w:rPr>
          <w:rFonts w:ascii="Times New Roman" w:hAnsi="Times New Roman" w:eastAsia="黑体" w:cs="Times New Roman"/>
          <w:snapToGrid w:val="0"/>
          <w:color w:val="auto"/>
          <w:kern w:val="0"/>
          <w:sz w:val="36"/>
          <w:szCs w:val="36"/>
        </w:rPr>
        <w:br w:type="page"/>
      </w:r>
      <w:bookmarkStart w:id="7" w:name="_Toc100886268"/>
      <w:r>
        <w:rPr>
          <w:rFonts w:ascii="Times New Roman" w:hAnsi="Times New Roman" w:eastAsia="黑体" w:cs="Times New Roman"/>
          <w:snapToGrid w:val="0"/>
          <w:color w:val="auto"/>
          <w:kern w:val="0"/>
          <w:sz w:val="30"/>
          <w:szCs w:val="30"/>
        </w:rPr>
        <w:t>四、主要环境影响和保护措施</w:t>
      </w:r>
      <w:bookmarkEnd w:id="7"/>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Mar>
              <w:left w:w="28" w:type="dxa"/>
              <w:right w:w="28" w:type="dxa"/>
            </w:tcMar>
            <w:vAlign w:val="center"/>
          </w:tcPr>
          <w:p>
            <w:pPr>
              <w:widowControl/>
              <w:adjustRightInd w:val="0"/>
              <w:snapToGrid w:val="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施工</w:t>
            </w:r>
          </w:p>
          <w:p>
            <w:pPr>
              <w:widowControl/>
              <w:adjustRightInd w:val="0"/>
              <w:snapToGrid w:val="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期环</w:t>
            </w:r>
          </w:p>
          <w:p>
            <w:pPr>
              <w:widowControl/>
              <w:adjustRightInd w:val="0"/>
              <w:snapToGrid w:val="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境保</w:t>
            </w:r>
          </w:p>
          <w:p>
            <w:pPr>
              <w:widowControl/>
              <w:adjustRightInd w:val="0"/>
              <w:snapToGrid w:val="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护措</w:t>
            </w:r>
          </w:p>
          <w:p>
            <w:pPr>
              <w:widowControl/>
              <w:adjustRightInd w:val="0"/>
              <w:snapToGrid w:val="0"/>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施</w:t>
            </w:r>
          </w:p>
        </w:tc>
        <w:tc>
          <w:tcPr>
            <w:tcW w:w="8162" w:type="dxa"/>
          </w:tcPr>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本次项目为新建项目，根据现场勘查，项目尚未开工建设，施工期主要环境影响和保护措施为：</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1、废气</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项目施工期主要大气环境影响为扬尘对周围大气环境的影响，扬尘主要为施工扬尘和道路运输扬尘。施工扬尘主要来自于土石方开挖、施工现场物料装卸、堆放以及物料堆放等过程；道路运输扬尘来自于施工机械和车辆的往来过程。扬尘排放方式为间歇不定量排放，其影响范围为施工现场附近和运输道路沿途。</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根据《中华人民共和国大气污染防治法》、《山西省大气污染防治条例》、《临汾市大气污染防治条例》、《关于印发临汾市扬尘污染专项整治行动方案的通知》、《临汾市建筑工程施工扬尘污染防治规定》等要求，提出以下防治措施：</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⑴项目施工场地应严格做到6个100%，主要为施工工地周边100%围挡；物料堆放100%苫盖；出入车辆100%冲洗；施工现场地面100%硬化；土方开挖100%湿法作业；渣土车辆100%密闭运输。</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⑵建筑材料的防尘管理措施。施工过程中使用水泥、石灰、砂石、涂料、铺装材料等易产生扬尘的建筑材料，应以不透水的隔尘布完全覆盖或放置在顶部且四周均密封、遮蔽的设施内。</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⑶从严控制物料和渣土运输污染，运输车辆全部采用“全密闭”、“全定位”、“全监控”的新型环保渣土车，并符合环保尾气排放标准；无主管部门核发渣土运输许可证和交部门核发限行道路通行证的车辆一律不得进入工地，密闭不严、车轮带泥的车辆，一律不得驶出工地；渣土运输必须按照规定线路、规定时间行驶，必须到指定场所倾倒。</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⑷施工期间，对于工地内裸露地面，应采取覆盖防尘布或防尘网；定期喷水抑尘，扬尘严重时应加大洒水频率。</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⑸车辆出口处按照有关规定设置洗车台、冲洗设备、循环沉淀水池等车辆冲洗设施，出场车辆应对车轮、车身、车槽帮等部门进行清理或清洗以保证车辆清洁上路。</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⑹合理设置施工标志牌。施工期间，施工单位应根据《建设工程施工现场管理规定》的规定设置现场平面布置图、工程概况牌、文明施工牌、管理或责任人人员名单及环保监督电话告示牌等。</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⑺施工过程中产生的弃土、弃料及其它建筑垃圾，应及时清运。多余土方需在厂区预留场地堆存的，可采取覆盖防尘布、定期喷水抑尘等措施。土石方运输车辆应采取车厢遮盖措施防止沿路抛洒等。</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⑻施工期间需使用混凝土时，应使用预拌商品混凝土，不得现场搅拌混凝土、拌石灰土等。</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⑼非道路移动机械的防治要求</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①建立非道路移动机械登记制度，并对其排放状况进行监督检查；②加强在用非道路移动机械的排放检测和维修，保证非道路移动机械及其污染控制装置处于正常技术状态，确保维修后的非道路移动机械排放稳定达标，同时妥善保存维修记录；③加强非道路移动机械的排放治理改造，保证非移动设备尾气达标排放；④提升非道路移动机械燃料的清洁性，使用满足标准要求的燃油，鼓励使用清洁能源，并留存燃料购买台账，留存备查；⑤加强非道路移动机械的噪声控制。禁止任何单位或个人擅自拆除弃用非道路移动机械的消声、隔声和吸声装置，加强对噪声控制装置的维护保养。。</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⑽道路施工，严格划定作业区。管线施工过程未能及时回用的土方应及时覆盖防尘布、定期喷水抑尘。</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采取上述措施后，能最大限度减少施工扬尘对周边环境空气产生影响较小。随着施工过程的结束，这些影响也将随之消失。</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2、废水</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本次项目施工期废水主要为施工废水和施工人员产生的生活污水。主要污染物为</w:t>
            </w:r>
            <w:r>
              <w:rPr>
                <w:rFonts w:hint="default" w:ascii="Times New Roman" w:hAnsi="Times New Roman" w:eastAsia="宋体" w:cs="Times New Roman"/>
                <w:b w:val="0"/>
                <w:bCs w:val="0"/>
                <w:color w:val="auto"/>
                <w:sz w:val="24"/>
                <w:highlight w:val="none"/>
              </w:rPr>
              <w:t>COD、</w:t>
            </w:r>
            <w:r>
              <w:rPr>
                <w:rFonts w:hint="default" w:ascii="Times New Roman" w:hAnsi="Times New Roman" w:eastAsia="宋体" w:cs="Times New Roman"/>
                <w:b w:val="0"/>
                <w:bCs w:val="0"/>
                <w:color w:val="auto"/>
                <w:sz w:val="24"/>
                <w:highlight w:val="none"/>
                <w:lang w:val="en-US" w:eastAsia="zh-CN"/>
              </w:rPr>
              <w:t>BOD、</w:t>
            </w:r>
            <w:r>
              <w:rPr>
                <w:rFonts w:hint="default" w:ascii="Times New Roman" w:hAnsi="Times New Roman" w:eastAsia="宋体" w:cs="Times New Roman"/>
                <w:b w:val="0"/>
                <w:bCs w:val="0"/>
                <w:color w:val="auto"/>
                <w:sz w:val="24"/>
                <w:highlight w:val="none"/>
              </w:rPr>
              <w:t>SS、氨氮</w:t>
            </w:r>
            <w:r>
              <w:rPr>
                <w:rFonts w:hint="default" w:ascii="Times New Roman" w:hAnsi="Times New Roman" w:eastAsia="宋体" w:cs="Times New Roman"/>
                <w:b w:val="0"/>
                <w:bCs w:val="0"/>
                <w:color w:val="auto"/>
                <w:sz w:val="24"/>
                <w:highlight w:val="none"/>
                <w:lang w:val="en-US" w:eastAsia="zh-CN"/>
              </w:rPr>
              <w:t>，其水量较小，形不成规模排放，收集后用于场地洒水抑尘。</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kern w:val="0"/>
                <w:sz w:val="24"/>
                <w:szCs w:val="24"/>
              </w:rPr>
              <w:t>通过采取上述措施后，施工期间产生的废水不会对当地水体环境产生的影响较小。</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3、噪声</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施工期的噪声主要来源于施工现场的各类机械设备和物资运输的交通噪声，为了避免施工噪声对周围环境造成影响，建设单位拟采取以下措施：</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⑴降低施工设备噪声：要定期对机械设备进行维护和保养，使其一直保持良好的状态，减轻因设备运行状态不佳而造成的噪声污染；对动力机械、设备加强定期检修、养护；</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⑵对位置相对固定的机械设备，能于室内操作的尽量进入操作间，不能进入操作间的，可适当建立单面声障；</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⑶按规定操作机械设备，模板、支架装卸过程中，尽量减少碰撞声音；</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⑷运输车辆在经过周围村庄时应限制车速，尽量减少鸣笛。</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⑸严格按照评价规定的噪声治理措施进行施工，尤其是采用低噪声设备，合理安排作业时间，可有效降低噪声对环境的影响，并减少社会影响；</w:t>
            </w:r>
          </w:p>
          <w:p>
            <w:pPr>
              <w:keepNext w:val="0"/>
              <w:keepLines w:val="0"/>
              <w:pageBreakBefore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kern w:val="0"/>
                <w:sz w:val="24"/>
                <w:szCs w:val="24"/>
              </w:rPr>
              <w:t>在采取相应的噪声控制措施，安排合理的施工计划后，施工噪声时间对周围环境产生的影响较小。</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4、固废</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施工期固体废物主要为施工人员的生活垃圾、施工渣土、损坏或废弃的各种建筑装修材料。对于生活垃圾，评价要求其清运至当地政府指定地点统一进行处理；其他施工渣土、废弃的建筑材料在厂区堆存期间应当用苫布遮盖，且不得长期堆存，及时由建设单位运往当地政府指定的建筑垃圾堆放场统一处理，运输车辆要用进行苫盖，防治散落造成二次扬尘污染。</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施工期会对周围环境会产生一定影响，但施工期的环境影响多为短期可逆影响，随着施工阶段的结束而消失，故其影响并不突出。本次项目工程量相对较小，施工期较短，对环境的影响较小。</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5、生态环境</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建设期的生态环境影响主要是水土流失。本项目的水土流失主要是由于工程建设扰动原地貌会损坏植被。工程中易产生水土流失的地带为场地内的开挖面、路堤坡面、挖方斜面、临时堆土场等处，可能产生的水土流失类型以水力侵蚀为主，部分不良地质区有可能产生重力侵蚀，但概率不大。水土流失形式以降雨和地表径流产生的层状面蚀和细沟面蚀为主，局部地域有程度轻微的沟蚀。</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rPr>
              <w:t>对此，评价要求土方堆存应进行覆盖，设置施工场地雨水排泄系统，施工期应同步进行场地的硬化和绿化工作的实施，可使水土流失得到有效控制。在采取上述措施后，工程施工期间的环境影响可降至最低限度。随着工程施工期的结束，这些影响也将消失</w:t>
            </w:r>
            <w:r>
              <w:rPr>
                <w:rFonts w:hint="eastAsia" w:ascii="Times New Roman" w:hAnsi="Times New Roman" w:eastAsia="宋体" w:cs="Times New Roman"/>
                <w:b w:val="0"/>
                <w:bCs w:val="0"/>
                <w:color w:val="auto"/>
                <w:ker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kern w:val="0"/>
                <w:sz w:val="24"/>
                <w:szCs w:val="24"/>
                <w:lang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auto"/>
                <w:kern w:val="0"/>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Mar>
              <w:left w:w="28" w:type="dxa"/>
              <w:right w:w="28" w:type="dxa"/>
            </w:tcMar>
            <w:vAlign w:val="center"/>
          </w:tcPr>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运营</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期环</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境影</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响和</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保护</w:t>
            </w:r>
          </w:p>
          <w:p>
            <w:pPr>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措施</w:t>
            </w:r>
          </w:p>
        </w:tc>
        <w:tc>
          <w:tcPr>
            <w:tcW w:w="8162" w:type="dxa"/>
          </w:tcPr>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一、环境空气影响分析</w:t>
            </w:r>
          </w:p>
          <w:p>
            <w:pPr>
              <w:spacing w:line="44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t>本项目废气污染源源强核算结果及相关参数见表4-1。</w:t>
            </w:r>
            <w:r>
              <w:rPr>
                <w:rFonts w:hint="default" w:ascii="Times New Roman" w:hAnsi="Times New Roman" w:eastAsia="宋体" w:cs="Times New Roman"/>
                <w:b w:val="0"/>
                <w:bCs w:val="0"/>
                <w:color w:val="auto"/>
                <w:sz w:val="24"/>
                <w:szCs w:val="24"/>
                <w:lang w:val="en-US" w:eastAsia="zh-CN"/>
              </w:rPr>
              <w:t>具体详见大气环境影响专项评价。</w:t>
            </w:r>
          </w:p>
          <w:p>
            <w:pPr>
              <w:spacing w:line="44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表4-1  项目废气污染源源强核算结果及相关参数一览表</w:t>
            </w:r>
          </w:p>
          <w:tbl>
            <w:tblPr>
              <w:tblStyle w:val="26"/>
              <w:tblW w:w="49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677"/>
              <w:gridCol w:w="583"/>
              <w:gridCol w:w="772"/>
              <w:gridCol w:w="668"/>
              <w:gridCol w:w="1375"/>
              <w:gridCol w:w="635"/>
              <w:gridCol w:w="709"/>
              <w:gridCol w:w="658"/>
              <w:gridCol w:w="643"/>
              <w:gridCol w:w="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83"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产排污环节</w:t>
                  </w:r>
                </w:p>
              </w:tc>
              <w:tc>
                <w:tcPr>
                  <w:tcW w:w="429"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污染物</w:t>
                  </w:r>
                </w:p>
              </w:tc>
              <w:tc>
                <w:tcPr>
                  <w:tcW w:w="370"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废气量</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m</w:t>
                  </w:r>
                  <w:r>
                    <w:rPr>
                      <w:rFonts w:hint="default" w:ascii="Times New Roman" w:hAnsi="Times New Roman" w:eastAsia="宋体" w:cs="Times New Roman"/>
                      <w:b w:val="0"/>
                      <w:bCs w:val="0"/>
                      <w:color w:val="auto"/>
                      <w:sz w:val="18"/>
                      <w:szCs w:val="18"/>
                      <w:vertAlign w:val="superscript"/>
                    </w:rPr>
                    <w:t>3</w:t>
                  </w:r>
                  <w:r>
                    <w:rPr>
                      <w:rFonts w:hint="default" w:ascii="Times New Roman" w:hAnsi="Times New Roman" w:eastAsia="宋体" w:cs="Times New Roman"/>
                      <w:b w:val="0"/>
                      <w:bCs w:val="0"/>
                      <w:color w:val="auto"/>
                      <w:sz w:val="18"/>
                      <w:szCs w:val="18"/>
                    </w:rPr>
                    <w:t>/h</w:t>
                  </w:r>
                </w:p>
              </w:tc>
              <w:tc>
                <w:tcPr>
                  <w:tcW w:w="914"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污染物产生</w:t>
                  </w:r>
                </w:p>
              </w:tc>
              <w:tc>
                <w:tcPr>
                  <w:tcW w:w="1276"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治理措施</w:t>
                  </w:r>
                </w:p>
              </w:tc>
              <w:tc>
                <w:tcPr>
                  <w:tcW w:w="867" w:type="pct"/>
                  <w:gridSpan w:val="2"/>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污染物排放</w:t>
                  </w:r>
                </w:p>
              </w:tc>
              <w:tc>
                <w:tcPr>
                  <w:tcW w:w="408"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排放时间（h）</w:t>
                  </w:r>
                </w:p>
              </w:tc>
              <w:tc>
                <w:tcPr>
                  <w:tcW w:w="249"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排放形式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48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42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370"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490"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产生浓度</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pacing w:val="-20"/>
                      <w:sz w:val="18"/>
                      <w:szCs w:val="18"/>
                    </w:rPr>
                  </w:pPr>
                  <w:r>
                    <w:rPr>
                      <w:rFonts w:hint="default" w:ascii="Times New Roman" w:hAnsi="Times New Roman" w:eastAsia="宋体" w:cs="Times New Roman"/>
                      <w:b w:val="0"/>
                      <w:bCs w:val="0"/>
                      <w:color w:val="auto"/>
                      <w:spacing w:val="-20"/>
                      <w:sz w:val="18"/>
                      <w:szCs w:val="18"/>
                    </w:rPr>
                    <w:t>mg/Nm</w:t>
                  </w:r>
                  <w:r>
                    <w:rPr>
                      <w:rFonts w:hint="default" w:ascii="Times New Roman" w:hAnsi="Times New Roman" w:eastAsia="宋体" w:cs="Times New Roman"/>
                      <w:b w:val="0"/>
                      <w:bCs w:val="0"/>
                      <w:color w:val="auto"/>
                      <w:spacing w:val="-20"/>
                      <w:sz w:val="18"/>
                      <w:szCs w:val="18"/>
                      <w:vertAlign w:val="superscript"/>
                    </w:rPr>
                    <w:t>3</w:t>
                  </w:r>
                </w:p>
              </w:tc>
              <w:tc>
                <w:tcPr>
                  <w:tcW w:w="424"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产生量</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t/a</w:t>
                  </w:r>
                </w:p>
              </w:tc>
              <w:tc>
                <w:tcPr>
                  <w:tcW w:w="87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工艺</w:t>
                  </w: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效率</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w:t>
                  </w:r>
                </w:p>
              </w:tc>
              <w:tc>
                <w:tcPr>
                  <w:tcW w:w="450"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排放浓度</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pacing w:val="-20"/>
                      <w:sz w:val="18"/>
                      <w:szCs w:val="18"/>
                    </w:rPr>
                    <w:t>mg/Nm</w:t>
                  </w:r>
                  <w:r>
                    <w:rPr>
                      <w:rFonts w:hint="default" w:ascii="Times New Roman" w:hAnsi="Times New Roman" w:eastAsia="宋体" w:cs="Times New Roman"/>
                      <w:b w:val="0"/>
                      <w:bCs w:val="0"/>
                      <w:color w:val="auto"/>
                      <w:spacing w:val="-20"/>
                      <w:sz w:val="18"/>
                      <w:szCs w:val="18"/>
                      <w:vertAlign w:val="superscript"/>
                    </w:rPr>
                    <w:t>3</w:t>
                  </w:r>
                </w:p>
              </w:tc>
              <w:tc>
                <w:tcPr>
                  <w:tcW w:w="417"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排放量</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t/a</w:t>
                  </w:r>
                </w:p>
              </w:tc>
              <w:tc>
                <w:tcPr>
                  <w:tcW w:w="408"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24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483"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sz w:val="18"/>
                      <w:szCs w:val="18"/>
                    </w:rPr>
                    <w:t>导热油炉</w:t>
                  </w: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烟尘</w:t>
                  </w:r>
                </w:p>
              </w:tc>
              <w:tc>
                <w:tcPr>
                  <w:tcW w:w="370"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2171.68</w:t>
                  </w: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0"/>
                      <w:sz w:val="18"/>
                      <w:szCs w:val="18"/>
                      <w:lang w:eastAsia="zh-CN"/>
                    </w:rPr>
                  </w:pPr>
                  <w:r>
                    <w:rPr>
                      <w:rFonts w:hint="eastAsia" w:ascii="Times New Roman" w:hAnsi="Times New Roman" w:eastAsia="宋体" w:cs="Times New Roman"/>
                      <w:b w:val="0"/>
                      <w:bCs w:val="0"/>
                      <w:color w:val="auto"/>
                      <w:kern w:val="0"/>
                      <w:sz w:val="18"/>
                      <w:szCs w:val="18"/>
                      <w:lang w:val="en-US" w:eastAsia="zh-CN"/>
                    </w:rPr>
                    <w:t>5</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rPr>
                  </w:pPr>
                  <w:r>
                    <w:rPr>
                      <w:rFonts w:hint="default" w:ascii="Times New Roman" w:hAnsi="Times New Roman" w:eastAsia="宋体" w:cs="Times New Roman"/>
                      <w:b w:val="0"/>
                      <w:bCs w:val="0"/>
                      <w:color w:val="auto"/>
                      <w:kern w:val="0"/>
                      <w:sz w:val="18"/>
                      <w:szCs w:val="18"/>
                    </w:rPr>
                    <w:t>0.0</w:t>
                  </w:r>
                  <w:r>
                    <w:rPr>
                      <w:rFonts w:hint="eastAsia" w:ascii="Times New Roman" w:hAnsi="Times New Roman" w:eastAsia="宋体" w:cs="Times New Roman"/>
                      <w:b w:val="0"/>
                      <w:bCs w:val="0"/>
                      <w:color w:val="auto"/>
                      <w:kern w:val="0"/>
                      <w:sz w:val="18"/>
                      <w:szCs w:val="18"/>
                      <w:lang w:val="en-US" w:eastAsia="zh-CN"/>
                    </w:rPr>
                    <w:t>26</w:t>
                  </w:r>
                </w:p>
              </w:tc>
              <w:tc>
                <w:tcPr>
                  <w:tcW w:w="873"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加装预混式低氮燃烧器，烟气经8m高的排气筒排放</w:t>
                  </w: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0"/>
                      <w:sz w:val="18"/>
                      <w:szCs w:val="18"/>
                      <w:lang w:eastAsia="zh-CN"/>
                    </w:rPr>
                  </w:pPr>
                  <w:r>
                    <w:rPr>
                      <w:rFonts w:hint="eastAsia" w:ascii="Times New Roman" w:hAnsi="Times New Roman" w:eastAsia="宋体" w:cs="Times New Roman"/>
                      <w:b w:val="0"/>
                      <w:bCs w:val="0"/>
                      <w:color w:val="auto"/>
                      <w:kern w:val="0"/>
                      <w:sz w:val="18"/>
                      <w:szCs w:val="18"/>
                      <w:lang w:val="en-US" w:eastAsia="zh-CN"/>
                    </w:rPr>
                    <w:t>5</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rPr>
                    <w:t>0.0</w:t>
                  </w:r>
                  <w:r>
                    <w:rPr>
                      <w:rFonts w:hint="eastAsia" w:ascii="Times New Roman" w:hAnsi="Times New Roman" w:eastAsia="宋体" w:cs="Times New Roman"/>
                      <w:b w:val="0"/>
                      <w:bCs w:val="0"/>
                      <w:color w:val="auto"/>
                      <w:kern w:val="0"/>
                      <w:sz w:val="18"/>
                      <w:szCs w:val="18"/>
                      <w:lang w:val="en-US" w:eastAsia="zh-CN"/>
                    </w:rPr>
                    <w:t>26</w:t>
                  </w:r>
                </w:p>
              </w:tc>
              <w:tc>
                <w:tcPr>
                  <w:tcW w:w="408"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lang w:val="en-US" w:eastAsia="zh-CN"/>
                    </w:rPr>
                    <w:t>24</w:t>
                  </w:r>
                  <w:r>
                    <w:rPr>
                      <w:rFonts w:hint="default" w:ascii="Times New Roman" w:hAnsi="Times New Roman" w:eastAsia="宋体" w:cs="Times New Roman"/>
                      <w:b w:val="0"/>
                      <w:bCs w:val="0"/>
                      <w:color w:val="auto"/>
                      <w:sz w:val="18"/>
                      <w:szCs w:val="18"/>
                    </w:rPr>
                    <w:t>00</w:t>
                  </w:r>
                </w:p>
              </w:tc>
              <w:tc>
                <w:tcPr>
                  <w:tcW w:w="249"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sz w:val="18"/>
                      <w:szCs w:val="18"/>
                    </w:rPr>
                    <w:t>有组织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kern w:val="0"/>
                      <w:sz w:val="18"/>
                      <w:szCs w:val="18"/>
                    </w:rPr>
                    <w:t>SO</w:t>
                  </w:r>
                  <w:r>
                    <w:rPr>
                      <w:rFonts w:hint="default" w:ascii="Times New Roman" w:hAnsi="Times New Roman" w:eastAsia="宋体" w:cs="Times New Roman"/>
                      <w:b w:val="0"/>
                      <w:bCs w:val="0"/>
                      <w:color w:val="auto"/>
                      <w:kern w:val="0"/>
                      <w:sz w:val="18"/>
                      <w:szCs w:val="18"/>
                      <w:vertAlign w:val="subscript"/>
                    </w:rPr>
                    <w:t>2</w:t>
                  </w:r>
                </w:p>
              </w:tc>
              <w:tc>
                <w:tcPr>
                  <w:tcW w:w="370"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35</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0.</w:t>
                  </w:r>
                  <w:r>
                    <w:rPr>
                      <w:rFonts w:hint="default" w:ascii="Times New Roman" w:hAnsi="Times New Roman" w:eastAsia="宋体" w:cs="Times New Roman"/>
                      <w:b w:val="0"/>
                      <w:bCs w:val="0"/>
                      <w:color w:val="auto"/>
                      <w:kern w:val="0"/>
                      <w:sz w:val="18"/>
                      <w:szCs w:val="18"/>
                      <w:lang w:val="en-US" w:eastAsia="zh-CN"/>
                    </w:rPr>
                    <w:t>182</w:t>
                  </w:r>
                </w:p>
              </w:tc>
              <w:tc>
                <w:tcPr>
                  <w:tcW w:w="87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35</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rPr>
                    <w:t>0.</w:t>
                  </w:r>
                  <w:r>
                    <w:rPr>
                      <w:rFonts w:hint="default" w:ascii="Times New Roman" w:hAnsi="Times New Roman" w:eastAsia="宋体" w:cs="Times New Roman"/>
                      <w:b w:val="0"/>
                      <w:bCs w:val="0"/>
                      <w:color w:val="auto"/>
                      <w:kern w:val="0"/>
                      <w:sz w:val="18"/>
                      <w:szCs w:val="18"/>
                      <w:lang w:val="en-US" w:eastAsia="zh-CN"/>
                    </w:rPr>
                    <w:t>182</w:t>
                  </w:r>
                </w:p>
              </w:tc>
              <w:tc>
                <w:tcPr>
                  <w:tcW w:w="408"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24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r>
                    <w:rPr>
                      <w:rFonts w:hint="default" w:ascii="Times New Roman" w:hAnsi="Times New Roman" w:eastAsia="宋体" w:cs="Times New Roman"/>
                      <w:b w:val="0"/>
                      <w:bCs w:val="0"/>
                      <w:color w:val="auto"/>
                      <w:kern w:val="0"/>
                      <w:sz w:val="18"/>
                      <w:szCs w:val="18"/>
                    </w:rPr>
                    <w:t>NO</w:t>
                  </w:r>
                  <w:r>
                    <w:rPr>
                      <w:rFonts w:hint="default" w:ascii="Times New Roman" w:hAnsi="Times New Roman" w:eastAsia="宋体" w:cs="Times New Roman"/>
                      <w:b w:val="0"/>
                      <w:bCs w:val="0"/>
                      <w:color w:val="auto"/>
                      <w:kern w:val="0"/>
                      <w:sz w:val="18"/>
                      <w:szCs w:val="18"/>
                      <w:vertAlign w:val="subscript"/>
                    </w:rPr>
                    <w:t>x</w:t>
                  </w:r>
                </w:p>
              </w:tc>
              <w:tc>
                <w:tcPr>
                  <w:tcW w:w="370"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50</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0.</w:t>
                  </w:r>
                  <w:r>
                    <w:rPr>
                      <w:rFonts w:hint="default" w:ascii="Times New Roman" w:hAnsi="Times New Roman" w:eastAsia="宋体" w:cs="Times New Roman"/>
                      <w:b w:val="0"/>
                      <w:bCs w:val="0"/>
                      <w:color w:val="auto"/>
                      <w:kern w:val="0"/>
                      <w:sz w:val="18"/>
                      <w:szCs w:val="18"/>
                      <w:lang w:val="en-US" w:eastAsia="zh-CN"/>
                    </w:rPr>
                    <w:t>261</w:t>
                  </w:r>
                </w:p>
              </w:tc>
              <w:tc>
                <w:tcPr>
                  <w:tcW w:w="87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50</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rPr>
                    <w:t>0.</w:t>
                  </w:r>
                  <w:r>
                    <w:rPr>
                      <w:rFonts w:hint="default" w:ascii="Times New Roman" w:hAnsi="Times New Roman" w:eastAsia="宋体" w:cs="Times New Roman"/>
                      <w:b w:val="0"/>
                      <w:bCs w:val="0"/>
                      <w:color w:val="auto"/>
                      <w:kern w:val="0"/>
                      <w:sz w:val="18"/>
                      <w:szCs w:val="18"/>
                      <w:lang w:val="en-US" w:eastAsia="zh-CN"/>
                    </w:rPr>
                    <w:t>261</w:t>
                  </w:r>
                </w:p>
              </w:tc>
              <w:tc>
                <w:tcPr>
                  <w:tcW w:w="408"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24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rPr>
                  </w:pPr>
                  <w:r>
                    <w:rPr>
                      <w:rFonts w:hint="default" w:ascii="Times New Roman" w:hAnsi="Times New Roman" w:eastAsia="宋体" w:cs="Times New Roman"/>
                      <w:b w:val="0"/>
                      <w:bCs w:val="0"/>
                      <w:color w:val="auto"/>
                      <w:sz w:val="18"/>
                      <w:szCs w:val="18"/>
                      <w:lang w:val="en-US" w:eastAsia="zh-CN"/>
                    </w:rPr>
                    <w:t>沥青</w:t>
                  </w:r>
                  <w:r>
                    <w:rPr>
                      <w:rFonts w:hint="default" w:ascii="Times New Roman" w:hAnsi="Times New Roman" w:eastAsia="宋体" w:cs="Times New Roman"/>
                      <w:b w:val="0"/>
                      <w:bCs w:val="0"/>
                      <w:color w:val="auto"/>
                      <w:kern w:val="44"/>
                      <w:sz w:val="18"/>
                      <w:szCs w:val="18"/>
                      <w:lang w:val="en-US" w:eastAsia="zh-CN"/>
                    </w:rPr>
                    <w:t>加热</w:t>
                  </w:r>
                  <w:r>
                    <w:rPr>
                      <w:rFonts w:hint="default" w:ascii="Times New Roman" w:hAnsi="Times New Roman" w:eastAsia="宋体" w:cs="Times New Roman"/>
                      <w:b w:val="0"/>
                      <w:bCs w:val="0"/>
                      <w:color w:val="auto"/>
                      <w:sz w:val="18"/>
                      <w:szCs w:val="18"/>
                      <w:highlight w:val="none"/>
                      <w:lang w:val="en-US" w:eastAsia="zh-CN"/>
                    </w:rPr>
                    <w:t>储存</w:t>
                  </w:r>
                  <w:r>
                    <w:rPr>
                      <w:rFonts w:hint="default" w:ascii="Times New Roman" w:hAnsi="Times New Roman" w:eastAsia="宋体" w:cs="Times New Roman"/>
                      <w:b w:val="0"/>
                      <w:bCs w:val="0"/>
                      <w:color w:val="auto"/>
                      <w:kern w:val="44"/>
                      <w:sz w:val="18"/>
                      <w:szCs w:val="18"/>
                    </w:rPr>
                    <w:t>、</w:t>
                  </w:r>
                  <w:r>
                    <w:rPr>
                      <w:rFonts w:hint="default" w:ascii="Times New Roman" w:hAnsi="Times New Roman" w:eastAsia="宋体" w:cs="Times New Roman"/>
                      <w:b w:val="0"/>
                      <w:bCs w:val="0"/>
                      <w:color w:val="auto"/>
                      <w:sz w:val="18"/>
                      <w:szCs w:val="18"/>
                      <w:lang w:val="en-US" w:eastAsia="zh-CN"/>
                    </w:rPr>
                    <w:t>配料、</w:t>
                  </w:r>
                  <w:r>
                    <w:rPr>
                      <w:rFonts w:hint="default" w:ascii="Times New Roman" w:hAnsi="Times New Roman" w:eastAsia="宋体" w:cs="Times New Roman"/>
                      <w:b w:val="0"/>
                      <w:bCs w:val="0"/>
                      <w:color w:val="auto"/>
                      <w:sz w:val="18"/>
                      <w:szCs w:val="18"/>
                    </w:rPr>
                    <w:t>搅拌、浸油、涂油</w:t>
                  </w:r>
                  <w:r>
                    <w:rPr>
                      <w:rFonts w:hint="eastAsia" w:ascii="Times New Roman" w:hAnsi="Times New Roman" w:eastAsia="宋体" w:cs="Times New Roman"/>
                      <w:b w:val="0"/>
                      <w:bCs w:val="0"/>
                      <w:color w:val="auto"/>
                      <w:sz w:val="18"/>
                      <w:szCs w:val="18"/>
                      <w:lang w:val="en-US" w:eastAsia="zh-CN"/>
                    </w:rPr>
                    <w:t>、</w:t>
                  </w:r>
                  <w:r>
                    <w:rPr>
                      <w:rFonts w:hint="default" w:ascii="Times New Roman" w:hAnsi="Times New Roman" w:eastAsia="宋体" w:cs="Times New Roman"/>
                      <w:b w:val="0"/>
                      <w:bCs w:val="0"/>
                      <w:color w:val="auto"/>
                      <w:sz w:val="18"/>
                      <w:szCs w:val="18"/>
                      <w:lang w:val="en-US" w:eastAsia="zh-CN"/>
                    </w:rPr>
                    <w:t>覆膜</w:t>
                  </w:r>
                  <w:r>
                    <w:rPr>
                      <w:rFonts w:hint="eastAsia" w:ascii="Times New Roman" w:hAnsi="Times New Roman" w:eastAsia="宋体" w:cs="Times New Roman"/>
                      <w:b w:val="0"/>
                      <w:bCs w:val="0"/>
                      <w:color w:val="auto"/>
                      <w:sz w:val="18"/>
                      <w:szCs w:val="18"/>
                      <w:lang w:val="en-US" w:eastAsia="zh-CN"/>
                    </w:rPr>
                    <w:t>、冷却</w:t>
                  </w: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沥青烟</w:t>
                  </w:r>
                </w:p>
              </w:tc>
              <w:tc>
                <w:tcPr>
                  <w:tcW w:w="370"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25000</w:t>
                  </w: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eastAsia="宋体" w:cs="Times New Roman"/>
                      <w:b w:val="0"/>
                      <w:bCs w:val="0"/>
                      <w:color w:val="auto"/>
                      <w:kern w:val="0"/>
                      <w:sz w:val="18"/>
                      <w:szCs w:val="18"/>
                      <w:lang w:val="en-US" w:eastAsia="zh-CN"/>
                    </w:rPr>
                    <w:t>45.21</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3.038</w:t>
                  </w:r>
                </w:p>
              </w:tc>
              <w:tc>
                <w:tcPr>
                  <w:tcW w:w="873"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rPr>
                  </w:pPr>
                  <w:r>
                    <w:rPr>
                      <w:rFonts w:hint="default" w:ascii="Times New Roman" w:hAnsi="Times New Roman" w:eastAsia="宋体" w:cs="Times New Roman"/>
                      <w:b w:val="0"/>
                      <w:bCs w:val="0"/>
                      <w:color w:val="auto"/>
                      <w:kern w:val="0"/>
                      <w:sz w:val="18"/>
                      <w:szCs w:val="18"/>
                    </w:rPr>
                    <w:t>经收集后一同经</w:t>
                  </w:r>
                  <w:r>
                    <w:rPr>
                      <w:rFonts w:hint="default" w:ascii="Times New Roman" w:hAnsi="Times New Roman" w:eastAsia="宋体" w:cs="Times New Roman"/>
                      <w:b w:val="0"/>
                      <w:bCs w:val="0"/>
                      <w:color w:val="auto"/>
                      <w:kern w:val="0"/>
                      <w:sz w:val="18"/>
                      <w:szCs w:val="18"/>
                      <w:lang w:eastAsia="zh-CN"/>
                    </w:rPr>
                    <w:t>“</w:t>
                  </w:r>
                  <w:r>
                    <w:rPr>
                      <w:rFonts w:hint="default" w:ascii="Times New Roman" w:hAnsi="Times New Roman" w:eastAsia="宋体" w:cs="Times New Roman"/>
                      <w:b w:val="0"/>
                      <w:bCs w:val="0"/>
                      <w:color w:val="auto"/>
                      <w:sz w:val="18"/>
                      <w:szCs w:val="18"/>
                      <w:highlight w:val="none"/>
                      <w:lang w:val="en-US" w:eastAsia="zh-CN"/>
                    </w:rPr>
                    <w:t>水喷淋处理+气液分离+电捕捉+活性炭吸附</w:t>
                  </w:r>
                  <w:r>
                    <w:rPr>
                      <w:rFonts w:hint="default" w:ascii="Times New Roman" w:hAnsi="Times New Roman" w:eastAsia="宋体" w:cs="Times New Roman"/>
                      <w:b w:val="0"/>
                      <w:bCs w:val="0"/>
                      <w:color w:val="auto"/>
                      <w:kern w:val="0"/>
                      <w:sz w:val="18"/>
                      <w:szCs w:val="18"/>
                      <w:lang w:eastAsia="zh-CN"/>
                    </w:rPr>
                    <w:t>”</w:t>
                  </w:r>
                  <w:r>
                    <w:rPr>
                      <w:rFonts w:hint="default" w:ascii="Times New Roman" w:hAnsi="Times New Roman" w:eastAsia="宋体" w:cs="Times New Roman"/>
                      <w:b w:val="0"/>
                      <w:bCs w:val="0"/>
                      <w:color w:val="auto"/>
                      <w:kern w:val="0"/>
                      <w:sz w:val="18"/>
                      <w:szCs w:val="18"/>
                      <w:lang w:val="en-US" w:eastAsia="zh-CN"/>
                    </w:rPr>
                    <w:t>措施处理后经15</w:t>
                  </w:r>
                  <w:r>
                    <w:rPr>
                      <w:rFonts w:hint="default" w:ascii="Times New Roman" w:hAnsi="Times New Roman" w:eastAsia="宋体" w:cs="Times New Roman"/>
                      <w:b w:val="0"/>
                      <w:bCs w:val="0"/>
                      <w:color w:val="auto"/>
                      <w:kern w:val="0"/>
                      <w:sz w:val="18"/>
                      <w:szCs w:val="18"/>
                    </w:rPr>
                    <w:t>m高的排气筒排放</w:t>
                  </w:r>
                </w:p>
              </w:tc>
              <w:tc>
                <w:tcPr>
                  <w:tcW w:w="403"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sz w:val="18"/>
                      <w:szCs w:val="18"/>
                    </w:rPr>
                    <w:t>9</w:t>
                  </w:r>
                  <w:r>
                    <w:rPr>
                      <w:rFonts w:hint="default" w:ascii="Times New Roman" w:hAnsi="Times New Roman" w:eastAsia="宋体" w:cs="Times New Roman"/>
                      <w:b w:val="0"/>
                      <w:bCs w:val="0"/>
                      <w:color w:val="auto"/>
                      <w:sz w:val="18"/>
                      <w:szCs w:val="18"/>
                      <w:lang w:val="en-US" w:eastAsia="zh-CN"/>
                    </w:rPr>
                    <w:t>8</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eastAsia="宋体" w:cs="Times New Roman"/>
                      <w:b w:val="0"/>
                      <w:bCs w:val="0"/>
                      <w:color w:val="auto"/>
                      <w:kern w:val="0"/>
                      <w:sz w:val="18"/>
                      <w:szCs w:val="18"/>
                      <w:lang w:val="en-US" w:eastAsia="zh-CN"/>
                    </w:rPr>
                    <w:t>0.89</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0.061</w:t>
                  </w:r>
                </w:p>
              </w:tc>
              <w:tc>
                <w:tcPr>
                  <w:tcW w:w="408"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24</w:t>
                  </w:r>
                  <w:r>
                    <w:rPr>
                      <w:rFonts w:hint="default" w:ascii="Times New Roman" w:hAnsi="Times New Roman" w:eastAsia="宋体" w:cs="Times New Roman"/>
                      <w:b w:val="0"/>
                      <w:bCs w:val="0"/>
                      <w:color w:val="auto"/>
                      <w:sz w:val="18"/>
                      <w:szCs w:val="18"/>
                    </w:rPr>
                    <w:t>00</w:t>
                  </w:r>
                </w:p>
              </w:tc>
              <w:tc>
                <w:tcPr>
                  <w:tcW w:w="249" w:type="pct"/>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有组织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苯并[a]芘</w:t>
                  </w:r>
                </w:p>
              </w:tc>
              <w:tc>
                <w:tcPr>
                  <w:tcW w:w="370"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0.0</w:t>
                  </w:r>
                  <w:r>
                    <w:rPr>
                      <w:rFonts w:hint="eastAsia" w:ascii="Times New Roman" w:hAnsi="Times New Roman" w:eastAsia="宋体" w:cs="Times New Roman"/>
                      <w:b w:val="0"/>
                      <w:bCs w:val="0"/>
                      <w:color w:val="auto"/>
                      <w:kern w:val="0"/>
                      <w:sz w:val="18"/>
                      <w:szCs w:val="18"/>
                      <w:lang w:val="en-US" w:eastAsia="zh-CN"/>
                    </w:rPr>
                    <w:t>11</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0.675</w:t>
                  </w:r>
                  <w:r>
                    <w:rPr>
                      <w:rFonts w:hint="default" w:ascii="Times New Roman" w:hAnsi="Times New Roman" w:eastAsia="宋体" w:cs="Times New Roman"/>
                      <w:b w:val="0"/>
                      <w:bCs w:val="0"/>
                      <w:color w:val="auto"/>
                      <w:sz w:val="18"/>
                      <w:szCs w:val="18"/>
                    </w:rPr>
                    <w:t>×10</w:t>
                  </w:r>
                  <w:r>
                    <w:rPr>
                      <w:rFonts w:hint="default" w:ascii="Times New Roman" w:hAnsi="Times New Roman" w:eastAsia="宋体" w:cs="Times New Roman"/>
                      <w:b w:val="0"/>
                      <w:bCs w:val="0"/>
                      <w:color w:val="auto"/>
                      <w:sz w:val="18"/>
                      <w:szCs w:val="18"/>
                      <w:vertAlign w:val="superscript"/>
                    </w:rPr>
                    <w:t>-3</w:t>
                  </w:r>
                </w:p>
              </w:tc>
              <w:tc>
                <w:tcPr>
                  <w:tcW w:w="87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0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0.2</w:t>
                  </w:r>
                  <w:r>
                    <w:rPr>
                      <w:rFonts w:hint="eastAsia" w:ascii="Times New Roman" w:hAnsi="Times New Roman" w:eastAsia="宋体" w:cs="Times New Roman"/>
                      <w:b w:val="0"/>
                      <w:bCs w:val="0"/>
                      <w:color w:val="auto"/>
                      <w:kern w:val="0"/>
                      <w:sz w:val="18"/>
                      <w:szCs w:val="18"/>
                      <w:lang w:val="en-US" w:eastAsia="zh-CN"/>
                    </w:rPr>
                    <w:t>01</w:t>
                  </w:r>
                  <w:r>
                    <w:rPr>
                      <w:rFonts w:hint="default" w:ascii="Times New Roman" w:hAnsi="Times New Roman" w:eastAsia="宋体" w:cs="Times New Roman"/>
                      <w:b w:val="0"/>
                      <w:bCs w:val="0"/>
                      <w:color w:val="auto"/>
                      <w:sz w:val="18"/>
                      <w:szCs w:val="18"/>
                    </w:rPr>
                    <w:t>×10</w:t>
                  </w:r>
                  <w:r>
                    <w:rPr>
                      <w:rFonts w:hint="default" w:ascii="Times New Roman" w:hAnsi="Times New Roman" w:eastAsia="宋体" w:cs="Times New Roman"/>
                      <w:b w:val="0"/>
                      <w:bCs w:val="0"/>
                      <w:color w:val="auto"/>
                      <w:sz w:val="18"/>
                      <w:szCs w:val="18"/>
                      <w:vertAlign w:val="superscript"/>
                    </w:rPr>
                    <w:t>-3</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0.014</w:t>
                  </w:r>
                  <w:r>
                    <w:rPr>
                      <w:rFonts w:hint="default" w:ascii="Times New Roman" w:hAnsi="Times New Roman" w:eastAsia="宋体" w:cs="Times New Roman"/>
                      <w:b w:val="0"/>
                      <w:bCs w:val="0"/>
                      <w:color w:val="auto"/>
                      <w:sz w:val="18"/>
                      <w:szCs w:val="18"/>
                    </w:rPr>
                    <w:t>×10</w:t>
                  </w:r>
                  <w:r>
                    <w:rPr>
                      <w:rFonts w:hint="default" w:ascii="Times New Roman" w:hAnsi="Times New Roman" w:eastAsia="宋体" w:cs="Times New Roman"/>
                      <w:b w:val="0"/>
                      <w:bCs w:val="0"/>
                      <w:color w:val="auto"/>
                      <w:sz w:val="18"/>
                      <w:szCs w:val="18"/>
                      <w:vertAlign w:val="superscript"/>
                    </w:rPr>
                    <w:t>-3</w:t>
                  </w:r>
                </w:p>
              </w:tc>
              <w:tc>
                <w:tcPr>
                  <w:tcW w:w="408"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24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非甲烷总烃</w:t>
                  </w:r>
                </w:p>
              </w:tc>
              <w:tc>
                <w:tcPr>
                  <w:tcW w:w="370"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eastAsia="宋体" w:cs="Times New Roman"/>
                      <w:b w:val="0"/>
                      <w:bCs w:val="0"/>
                      <w:color w:val="auto"/>
                      <w:kern w:val="0"/>
                      <w:sz w:val="18"/>
                      <w:szCs w:val="18"/>
                      <w:lang w:val="en-US" w:eastAsia="zh-CN"/>
                    </w:rPr>
                    <w:t>116.71</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7.844</w:t>
                  </w:r>
                </w:p>
              </w:tc>
              <w:tc>
                <w:tcPr>
                  <w:tcW w:w="87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03"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2.</w:t>
                  </w:r>
                  <w:r>
                    <w:rPr>
                      <w:rFonts w:hint="eastAsia" w:ascii="Times New Roman" w:hAnsi="Times New Roman" w:eastAsia="宋体" w:cs="Times New Roman"/>
                      <w:b w:val="0"/>
                      <w:bCs w:val="0"/>
                      <w:color w:val="auto"/>
                      <w:kern w:val="0"/>
                      <w:sz w:val="18"/>
                      <w:szCs w:val="18"/>
                      <w:lang w:val="en-US" w:eastAsia="zh-CN"/>
                    </w:rPr>
                    <w:t>50</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0.157</w:t>
                  </w:r>
                </w:p>
              </w:tc>
              <w:tc>
                <w:tcPr>
                  <w:tcW w:w="408"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c>
                <w:tcPr>
                  <w:tcW w:w="249" w:type="pct"/>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rPr>
                  </w:pPr>
                  <w:r>
                    <w:rPr>
                      <w:rFonts w:hint="default" w:ascii="Times New Roman" w:hAnsi="Times New Roman" w:eastAsia="宋体" w:cs="Times New Roman"/>
                      <w:b w:val="0"/>
                      <w:bCs w:val="0"/>
                      <w:color w:val="auto"/>
                      <w:sz w:val="18"/>
                      <w:szCs w:val="18"/>
                      <w:lang w:val="en-US" w:eastAsia="zh-CN"/>
                    </w:rPr>
                    <w:t>滑石粉储罐</w:t>
                  </w: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rPr>
                    <w:t>粉尘</w:t>
                  </w:r>
                </w:p>
              </w:tc>
              <w:tc>
                <w:tcPr>
                  <w:tcW w:w="370"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1500</w:t>
                  </w: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10000</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6.3</w:t>
                  </w:r>
                </w:p>
              </w:tc>
              <w:tc>
                <w:tcPr>
                  <w:tcW w:w="87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仓顶设布袋除尘器，过滤风速0.6m/min，过滤面积</w:t>
                  </w:r>
                  <w:r>
                    <w:rPr>
                      <w:rFonts w:hint="default" w:ascii="Times New Roman" w:hAnsi="Times New Roman" w:eastAsia="宋体" w:cs="Times New Roman"/>
                      <w:b w:val="0"/>
                      <w:bCs w:val="0"/>
                      <w:color w:val="auto"/>
                      <w:kern w:val="0"/>
                      <w:sz w:val="18"/>
                      <w:szCs w:val="18"/>
                      <w:lang w:val="en-US" w:eastAsia="zh-CN"/>
                    </w:rPr>
                    <w:t>42</w:t>
                  </w:r>
                  <w:r>
                    <w:rPr>
                      <w:rFonts w:hint="default" w:ascii="Times New Roman" w:hAnsi="Times New Roman" w:eastAsia="宋体" w:cs="Times New Roman"/>
                      <w:b w:val="0"/>
                      <w:bCs w:val="0"/>
                      <w:color w:val="auto"/>
                      <w:sz w:val="18"/>
                      <w:szCs w:val="18"/>
                    </w:rPr>
                    <w:t>m</w:t>
                  </w:r>
                  <w:r>
                    <w:rPr>
                      <w:rFonts w:hint="default" w:ascii="Times New Roman" w:hAnsi="Times New Roman" w:eastAsia="宋体" w:cs="Times New Roman"/>
                      <w:b w:val="0"/>
                      <w:bCs w:val="0"/>
                      <w:color w:val="auto"/>
                      <w:sz w:val="18"/>
                      <w:szCs w:val="18"/>
                      <w:vertAlign w:val="superscript"/>
                    </w:rPr>
                    <w:t>2</w:t>
                  </w:r>
                  <w:r>
                    <w:rPr>
                      <w:rFonts w:hint="default" w:ascii="Times New Roman" w:hAnsi="Times New Roman" w:eastAsia="宋体" w:cs="Times New Roman"/>
                      <w:b w:val="0"/>
                      <w:bCs w:val="0"/>
                      <w:color w:val="auto"/>
                      <w:kern w:val="0"/>
                      <w:sz w:val="18"/>
                      <w:szCs w:val="18"/>
                    </w:rPr>
                    <w:t>，</w:t>
                  </w:r>
                  <w:r>
                    <w:rPr>
                      <w:rFonts w:hint="eastAsia" w:ascii="Times New Roman" w:hAnsi="Times New Roman" w:eastAsia="宋体" w:cs="Times New Roman"/>
                      <w:b w:val="0"/>
                      <w:bCs w:val="0"/>
                      <w:color w:val="auto"/>
                      <w:kern w:val="0"/>
                      <w:sz w:val="18"/>
                      <w:szCs w:val="18"/>
                      <w:lang w:val="en-US" w:eastAsia="zh-CN"/>
                    </w:rPr>
                    <w:t>废气经</w:t>
                  </w:r>
                  <w:r>
                    <w:rPr>
                      <w:rFonts w:hint="default" w:ascii="Times New Roman" w:hAnsi="Times New Roman" w:eastAsia="宋体" w:cs="Times New Roman"/>
                      <w:b w:val="0"/>
                      <w:bCs w:val="0"/>
                      <w:color w:val="auto"/>
                      <w:kern w:val="0"/>
                      <w:sz w:val="18"/>
                      <w:szCs w:val="18"/>
                    </w:rPr>
                    <w:t>高于筒仓仓顶3m且不低于地面15m高的排气筒排放</w:t>
                  </w: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99.9</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10</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0.006</w:t>
                  </w:r>
                </w:p>
              </w:tc>
              <w:tc>
                <w:tcPr>
                  <w:tcW w:w="408"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eastAsia" w:ascii="Times New Roman" w:hAnsi="Times New Roman" w:eastAsia="宋体" w:cs="Times New Roman"/>
                      <w:b w:val="0"/>
                      <w:bCs w:val="0"/>
                      <w:color w:val="auto"/>
                      <w:kern w:val="2"/>
                      <w:sz w:val="18"/>
                      <w:szCs w:val="18"/>
                      <w:lang w:val="en-US" w:eastAsia="zh-CN" w:bidi="ar-SA"/>
                    </w:rPr>
                    <w:t>420</w:t>
                  </w:r>
                </w:p>
              </w:tc>
              <w:tc>
                <w:tcPr>
                  <w:tcW w:w="24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有组织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483"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橡胶粉储罐</w:t>
                  </w:r>
                </w:p>
              </w:tc>
              <w:tc>
                <w:tcPr>
                  <w:tcW w:w="42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粉尘</w:t>
                  </w:r>
                </w:p>
              </w:tc>
              <w:tc>
                <w:tcPr>
                  <w:tcW w:w="370"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lang w:val="en-US" w:eastAsia="zh-CN"/>
                    </w:rPr>
                    <w:t>1500</w:t>
                  </w:r>
                </w:p>
              </w:tc>
              <w:tc>
                <w:tcPr>
                  <w:tcW w:w="49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10000</w:t>
                  </w:r>
                </w:p>
              </w:tc>
              <w:tc>
                <w:tcPr>
                  <w:tcW w:w="424"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7.2</w:t>
                  </w:r>
                </w:p>
              </w:tc>
              <w:tc>
                <w:tcPr>
                  <w:tcW w:w="87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仓顶设布袋除尘器，过滤风速0.6m/min，过滤面积</w:t>
                  </w:r>
                  <w:r>
                    <w:rPr>
                      <w:rFonts w:hint="default" w:ascii="Times New Roman" w:hAnsi="Times New Roman" w:eastAsia="宋体" w:cs="Times New Roman"/>
                      <w:b w:val="0"/>
                      <w:bCs w:val="0"/>
                      <w:color w:val="auto"/>
                      <w:kern w:val="0"/>
                      <w:sz w:val="18"/>
                      <w:szCs w:val="18"/>
                      <w:lang w:val="en-US" w:eastAsia="zh-CN"/>
                    </w:rPr>
                    <w:t>42</w:t>
                  </w:r>
                  <w:r>
                    <w:rPr>
                      <w:rFonts w:hint="default" w:ascii="Times New Roman" w:hAnsi="Times New Roman" w:eastAsia="宋体" w:cs="Times New Roman"/>
                      <w:b w:val="0"/>
                      <w:bCs w:val="0"/>
                      <w:color w:val="auto"/>
                      <w:sz w:val="18"/>
                      <w:szCs w:val="18"/>
                    </w:rPr>
                    <w:t>m</w:t>
                  </w:r>
                  <w:r>
                    <w:rPr>
                      <w:rFonts w:hint="default" w:ascii="Times New Roman" w:hAnsi="Times New Roman" w:eastAsia="宋体" w:cs="Times New Roman"/>
                      <w:b w:val="0"/>
                      <w:bCs w:val="0"/>
                      <w:color w:val="auto"/>
                      <w:sz w:val="18"/>
                      <w:szCs w:val="18"/>
                      <w:vertAlign w:val="superscript"/>
                    </w:rPr>
                    <w:t>2</w:t>
                  </w:r>
                  <w:r>
                    <w:rPr>
                      <w:rFonts w:hint="default" w:ascii="Times New Roman" w:hAnsi="Times New Roman" w:eastAsia="宋体" w:cs="Times New Roman"/>
                      <w:b w:val="0"/>
                      <w:bCs w:val="0"/>
                      <w:color w:val="auto"/>
                      <w:kern w:val="0"/>
                      <w:sz w:val="18"/>
                      <w:szCs w:val="18"/>
                    </w:rPr>
                    <w:t>，</w:t>
                  </w:r>
                  <w:r>
                    <w:rPr>
                      <w:rFonts w:hint="eastAsia" w:ascii="Times New Roman" w:hAnsi="Times New Roman" w:eastAsia="宋体" w:cs="Times New Roman"/>
                      <w:b w:val="0"/>
                      <w:bCs w:val="0"/>
                      <w:color w:val="auto"/>
                      <w:kern w:val="0"/>
                      <w:sz w:val="18"/>
                      <w:szCs w:val="18"/>
                      <w:lang w:val="en-US" w:eastAsia="zh-CN"/>
                    </w:rPr>
                    <w:t>废气经</w:t>
                  </w:r>
                  <w:r>
                    <w:rPr>
                      <w:rFonts w:hint="default" w:ascii="Times New Roman" w:hAnsi="Times New Roman" w:eastAsia="宋体" w:cs="Times New Roman"/>
                      <w:b w:val="0"/>
                      <w:bCs w:val="0"/>
                      <w:color w:val="auto"/>
                      <w:kern w:val="0"/>
                      <w:sz w:val="18"/>
                      <w:szCs w:val="18"/>
                    </w:rPr>
                    <w:t>高于筒仓仓顶3m且不低于地面15m高的排气筒排放</w:t>
                  </w:r>
                </w:p>
              </w:tc>
              <w:tc>
                <w:tcPr>
                  <w:tcW w:w="403"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sz w:val="18"/>
                      <w:szCs w:val="18"/>
                    </w:rPr>
                    <w:t>99.9</w:t>
                  </w:r>
                </w:p>
              </w:tc>
              <w:tc>
                <w:tcPr>
                  <w:tcW w:w="450"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10</w:t>
                  </w:r>
                </w:p>
              </w:tc>
              <w:tc>
                <w:tcPr>
                  <w:tcW w:w="417" w:type="pc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18"/>
                      <w:szCs w:val="18"/>
                      <w:lang w:val="en-US" w:eastAsia="zh-CN"/>
                    </w:rPr>
                  </w:pPr>
                  <w:r>
                    <w:rPr>
                      <w:rFonts w:hint="default" w:ascii="Times New Roman" w:hAnsi="Times New Roman" w:eastAsia="宋体" w:cs="Times New Roman"/>
                      <w:b w:val="0"/>
                      <w:bCs w:val="0"/>
                      <w:color w:val="auto"/>
                      <w:kern w:val="0"/>
                      <w:sz w:val="18"/>
                      <w:szCs w:val="18"/>
                      <w:lang w:val="en-US" w:eastAsia="zh-CN"/>
                    </w:rPr>
                    <w:t>0.007</w:t>
                  </w:r>
                </w:p>
              </w:tc>
              <w:tc>
                <w:tcPr>
                  <w:tcW w:w="408"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eastAsia" w:ascii="Times New Roman" w:hAnsi="Times New Roman" w:eastAsia="宋体" w:cs="Times New Roman"/>
                      <w:b w:val="0"/>
                      <w:bCs w:val="0"/>
                      <w:color w:val="auto"/>
                      <w:kern w:val="2"/>
                      <w:sz w:val="18"/>
                      <w:szCs w:val="18"/>
                      <w:lang w:val="en-US" w:eastAsia="zh-CN" w:bidi="ar-SA"/>
                    </w:rPr>
                    <w:t>480</w:t>
                  </w:r>
                </w:p>
              </w:tc>
              <w:tc>
                <w:tcPr>
                  <w:tcW w:w="249" w:type="pc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有组织</w:t>
                  </w:r>
                </w:p>
              </w:tc>
            </w:tr>
          </w:tbl>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二、地表水环境影响分析</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本项目废水污染源源强核算结果及相关参数见表4-</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kern w:val="24"/>
                <w:sz w:val="24"/>
                <w:szCs w:val="24"/>
              </w:rPr>
            </w:pPr>
            <w:r>
              <w:rPr>
                <w:rFonts w:hint="default" w:ascii="Times New Roman" w:hAnsi="Times New Roman" w:eastAsia="宋体" w:cs="Times New Roman"/>
                <w:b w:val="0"/>
                <w:bCs w:val="0"/>
                <w:color w:val="auto"/>
                <w:kern w:val="24"/>
                <w:sz w:val="24"/>
                <w:szCs w:val="24"/>
              </w:rPr>
              <w:t>表4-</w:t>
            </w:r>
            <w:r>
              <w:rPr>
                <w:rFonts w:hint="eastAsia" w:ascii="Times New Roman" w:hAnsi="Times New Roman" w:eastAsia="宋体" w:cs="Times New Roman"/>
                <w:b w:val="0"/>
                <w:bCs w:val="0"/>
                <w:color w:val="auto"/>
                <w:kern w:val="24"/>
                <w:sz w:val="24"/>
                <w:szCs w:val="24"/>
                <w:lang w:val="en-US" w:eastAsia="zh-CN"/>
              </w:rPr>
              <w:t>2</w:t>
            </w:r>
            <w:r>
              <w:rPr>
                <w:rFonts w:hint="default" w:ascii="Times New Roman" w:hAnsi="Times New Roman" w:eastAsia="宋体" w:cs="Times New Roman"/>
                <w:b w:val="0"/>
                <w:bCs w:val="0"/>
                <w:color w:val="auto"/>
                <w:kern w:val="24"/>
                <w:sz w:val="24"/>
                <w:szCs w:val="24"/>
              </w:rPr>
              <w:t xml:space="preserve">  建设项目废水污染物排放信息一览表</w:t>
            </w:r>
          </w:p>
          <w:tbl>
            <w:tblPr>
              <w:tblStyle w:val="26"/>
              <w:tblW w:w="8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5" w:type="dxa"/>
                <w:bottom w:w="0" w:type="dxa"/>
                <w:right w:w="45" w:type="dxa"/>
              </w:tblCellMar>
            </w:tblPr>
            <w:tblGrid>
              <w:gridCol w:w="293"/>
              <w:gridCol w:w="801"/>
              <w:gridCol w:w="650"/>
              <w:gridCol w:w="633"/>
              <w:gridCol w:w="350"/>
              <w:gridCol w:w="584"/>
              <w:gridCol w:w="690"/>
              <w:gridCol w:w="714"/>
              <w:gridCol w:w="619"/>
              <w:gridCol w:w="747"/>
              <w:gridCol w:w="81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77" w:hRule="atLeast"/>
                <w:jc w:val="center"/>
              </w:trPr>
              <w:tc>
                <w:tcPr>
                  <w:tcW w:w="293"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序号</w:t>
                  </w:r>
                </w:p>
              </w:tc>
              <w:tc>
                <w:tcPr>
                  <w:tcW w:w="801"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废水</w:t>
                  </w:r>
                </w:p>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类别</w:t>
                  </w:r>
                </w:p>
              </w:tc>
              <w:tc>
                <w:tcPr>
                  <w:tcW w:w="650"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污染物</w:t>
                  </w:r>
                </w:p>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种类</w:t>
                  </w:r>
                </w:p>
              </w:tc>
              <w:tc>
                <w:tcPr>
                  <w:tcW w:w="633"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排放去向</w:t>
                  </w:r>
                </w:p>
              </w:tc>
              <w:tc>
                <w:tcPr>
                  <w:tcW w:w="350"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排放</w:t>
                  </w:r>
                </w:p>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规律</w:t>
                  </w:r>
                </w:p>
              </w:tc>
              <w:tc>
                <w:tcPr>
                  <w:tcW w:w="2607" w:type="dxa"/>
                  <w:gridSpan w:val="4"/>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污染治理设施</w:t>
                  </w:r>
                </w:p>
              </w:tc>
              <w:tc>
                <w:tcPr>
                  <w:tcW w:w="747" w:type="dxa"/>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排放口编号</w:t>
                  </w:r>
                </w:p>
              </w:tc>
              <w:tc>
                <w:tcPr>
                  <w:tcW w:w="810" w:type="dxa"/>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排放口设置是否符合要求</w:t>
                  </w:r>
                </w:p>
              </w:tc>
              <w:tc>
                <w:tcPr>
                  <w:tcW w:w="1200" w:type="dxa"/>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排放口类型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100" w:hRule="atLeast"/>
                <w:jc w:val="center"/>
              </w:trPr>
              <w:tc>
                <w:tcPr>
                  <w:tcW w:w="29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01"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5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3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35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58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污染治理设施编号</w:t>
                  </w:r>
                </w:p>
              </w:tc>
              <w:tc>
                <w:tcPr>
                  <w:tcW w:w="69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污染治理设施名称</w:t>
                  </w:r>
                </w:p>
              </w:tc>
              <w:tc>
                <w:tcPr>
                  <w:tcW w:w="71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污染治理设施工艺</w:t>
                  </w:r>
                </w:p>
              </w:tc>
              <w:tc>
                <w:tcPr>
                  <w:tcW w:w="619"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是否为可行技术</w:t>
                  </w:r>
                </w:p>
              </w:tc>
              <w:tc>
                <w:tcPr>
                  <w:tcW w:w="747"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46" w:hRule="atLeast"/>
                <w:jc w:val="center"/>
              </w:trPr>
              <w:tc>
                <w:tcPr>
                  <w:tcW w:w="293"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801"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生活污水</w:t>
                  </w: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COD</w:t>
                  </w:r>
                </w:p>
              </w:tc>
              <w:tc>
                <w:tcPr>
                  <w:tcW w:w="633"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其他（回用）</w:t>
                  </w:r>
                </w:p>
              </w:tc>
              <w:tc>
                <w:tcPr>
                  <w:tcW w:w="350"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584"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90" w:type="dxa"/>
                  <w:vMerge w:val="restart"/>
                  <w:vAlign w:val="center"/>
                </w:tcPr>
                <w:p>
                  <w:pPr>
                    <w:tabs>
                      <w:tab w:val="left" w:pos="3500"/>
                    </w:tabs>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lang w:val="en-US" w:eastAsia="zh-CN"/>
                    </w:rPr>
                    <w:t>沉淀池</w:t>
                  </w:r>
                </w:p>
              </w:tc>
              <w:tc>
                <w:tcPr>
                  <w:tcW w:w="714" w:type="dxa"/>
                  <w:vMerge w:val="restart"/>
                  <w:vAlign w:val="center"/>
                </w:tcPr>
                <w:p>
                  <w:pPr>
                    <w:tabs>
                      <w:tab w:val="left" w:pos="3500"/>
                    </w:tabs>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洒水抑尘</w:t>
                  </w:r>
                </w:p>
              </w:tc>
              <w:tc>
                <w:tcPr>
                  <w:tcW w:w="619"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tc>
              <w:tc>
                <w:tcPr>
                  <w:tcW w:w="747"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10" w:type="dxa"/>
                  <w:vMerge w:val="restart"/>
                  <w:vAlign w:val="center"/>
                </w:tcPr>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p>
                  <w:pPr>
                    <w:spacing w:line="30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□否</w:t>
                  </w:r>
                </w:p>
              </w:tc>
              <w:tc>
                <w:tcPr>
                  <w:tcW w:w="1200" w:type="dxa"/>
                  <w:vMerge w:val="restart"/>
                  <w:vAlign w:val="center"/>
                </w:tcPr>
                <w:p>
                  <w:pPr>
                    <w:spacing w:line="300" w:lineRule="exact"/>
                    <w:jc w:val="left"/>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□企业总排</w:t>
                  </w:r>
                </w:p>
                <w:p>
                  <w:pPr>
                    <w:spacing w:line="300" w:lineRule="exact"/>
                    <w:jc w:val="left"/>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□雨水排放</w:t>
                  </w:r>
                </w:p>
                <w:p>
                  <w:pPr>
                    <w:spacing w:line="300" w:lineRule="exact"/>
                    <w:jc w:val="left"/>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□清洁下水排放</w:t>
                  </w:r>
                </w:p>
                <w:p>
                  <w:pPr>
                    <w:spacing w:line="300" w:lineRule="exact"/>
                    <w:jc w:val="left"/>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□温排水排放</w:t>
                  </w:r>
                </w:p>
                <w:p>
                  <w:pPr>
                    <w:spacing w:line="300" w:lineRule="exact"/>
                    <w:jc w:val="left"/>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□车间或车间处理设施排放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61" w:hRule="atLeast"/>
                <w:jc w:val="center"/>
              </w:trPr>
              <w:tc>
                <w:tcPr>
                  <w:tcW w:w="29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01"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BOD</w:t>
                  </w:r>
                </w:p>
              </w:tc>
              <w:tc>
                <w:tcPr>
                  <w:tcW w:w="63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35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58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9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1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19"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47"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50" w:hRule="atLeast"/>
                <w:jc w:val="center"/>
              </w:trPr>
              <w:tc>
                <w:tcPr>
                  <w:tcW w:w="29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01"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SS</w:t>
                  </w:r>
                </w:p>
              </w:tc>
              <w:tc>
                <w:tcPr>
                  <w:tcW w:w="63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35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58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9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1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19"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47"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95" w:hRule="atLeast"/>
                <w:jc w:val="center"/>
              </w:trPr>
              <w:tc>
                <w:tcPr>
                  <w:tcW w:w="29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01"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氨氮</w:t>
                  </w:r>
                </w:p>
              </w:tc>
              <w:tc>
                <w:tcPr>
                  <w:tcW w:w="633"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35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58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9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1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19"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47"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53" w:hRule="atLeast"/>
                <w:jc w:val="center"/>
              </w:trPr>
              <w:tc>
                <w:tcPr>
                  <w:tcW w:w="29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801"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冷却</w:t>
                  </w:r>
                  <w:r>
                    <w:rPr>
                      <w:rFonts w:hint="eastAsia" w:ascii="Times New Roman" w:hAnsi="Times New Roman" w:eastAsia="宋体" w:cs="Times New Roman"/>
                      <w:b w:val="0"/>
                      <w:bCs w:val="0"/>
                      <w:color w:val="auto"/>
                      <w:szCs w:val="21"/>
                      <w:lang w:val="en-US" w:eastAsia="zh-CN"/>
                    </w:rPr>
                    <w:t>废</w:t>
                  </w:r>
                  <w:r>
                    <w:rPr>
                      <w:rFonts w:hint="default" w:ascii="Times New Roman" w:hAnsi="Times New Roman" w:eastAsia="宋体" w:cs="Times New Roman"/>
                      <w:b w:val="0"/>
                      <w:bCs w:val="0"/>
                      <w:color w:val="auto"/>
                      <w:szCs w:val="21"/>
                    </w:rPr>
                    <w:t>水</w:t>
                  </w: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63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其他（回用）</w:t>
                  </w:r>
                </w:p>
              </w:tc>
              <w:tc>
                <w:tcPr>
                  <w:tcW w:w="3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58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90"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隔油</w:t>
                  </w:r>
                </w:p>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气浮</w:t>
                  </w:r>
                </w:p>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粗滤</w:t>
                  </w:r>
                </w:p>
              </w:tc>
              <w:tc>
                <w:tcPr>
                  <w:tcW w:w="714" w:type="dxa"/>
                  <w:vMerge w:val="restart"/>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循环使用</w:t>
                  </w:r>
                </w:p>
              </w:tc>
              <w:tc>
                <w:tcPr>
                  <w:tcW w:w="619"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tc>
              <w:tc>
                <w:tcPr>
                  <w:tcW w:w="747"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53" w:hRule="atLeast"/>
                <w:jc w:val="center"/>
              </w:trPr>
              <w:tc>
                <w:tcPr>
                  <w:tcW w:w="29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801"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喷淋</w:t>
                  </w:r>
                  <w:r>
                    <w:rPr>
                      <w:rFonts w:hint="eastAsia" w:ascii="Times New Roman" w:hAnsi="Times New Roman" w:eastAsia="宋体" w:cs="Times New Roman"/>
                      <w:b w:val="0"/>
                      <w:bCs w:val="0"/>
                      <w:color w:val="auto"/>
                      <w:szCs w:val="21"/>
                      <w:lang w:val="en-US" w:eastAsia="zh-CN"/>
                    </w:rPr>
                    <w:t>废</w:t>
                  </w:r>
                  <w:r>
                    <w:rPr>
                      <w:rFonts w:hint="default" w:ascii="Times New Roman" w:hAnsi="Times New Roman" w:eastAsia="宋体" w:cs="Times New Roman"/>
                      <w:b w:val="0"/>
                      <w:bCs w:val="0"/>
                      <w:color w:val="auto"/>
                      <w:szCs w:val="21"/>
                      <w:lang w:val="en-US" w:eastAsia="zh-CN"/>
                    </w:rPr>
                    <w:t>水</w:t>
                  </w: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w:t>
                  </w:r>
                </w:p>
              </w:tc>
              <w:tc>
                <w:tcPr>
                  <w:tcW w:w="63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其他（回用）</w:t>
                  </w:r>
                </w:p>
              </w:tc>
              <w:tc>
                <w:tcPr>
                  <w:tcW w:w="3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58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9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714"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619"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tc>
              <w:tc>
                <w:tcPr>
                  <w:tcW w:w="747"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53" w:hRule="atLeast"/>
                <w:jc w:val="center"/>
              </w:trPr>
              <w:tc>
                <w:tcPr>
                  <w:tcW w:w="29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5</w:t>
                  </w:r>
                </w:p>
              </w:tc>
              <w:tc>
                <w:tcPr>
                  <w:tcW w:w="801"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运输车辆轮胎车身冲洗废水</w:t>
                  </w: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SS</w:t>
                  </w:r>
                </w:p>
              </w:tc>
              <w:tc>
                <w:tcPr>
                  <w:tcW w:w="63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其他（回用）</w:t>
                  </w:r>
                </w:p>
              </w:tc>
              <w:tc>
                <w:tcPr>
                  <w:tcW w:w="3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58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69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循环沉淀水池</w:t>
                  </w:r>
                </w:p>
              </w:tc>
              <w:tc>
                <w:tcPr>
                  <w:tcW w:w="71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沉淀循环</w:t>
                  </w:r>
                </w:p>
              </w:tc>
              <w:tc>
                <w:tcPr>
                  <w:tcW w:w="619"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tc>
              <w:tc>
                <w:tcPr>
                  <w:tcW w:w="747"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53" w:hRule="atLeast"/>
                <w:jc w:val="center"/>
              </w:trPr>
              <w:tc>
                <w:tcPr>
                  <w:tcW w:w="293" w:type="dxa"/>
                  <w:vAlign w:val="center"/>
                </w:tcPr>
                <w:p>
                  <w:pPr>
                    <w:tabs>
                      <w:tab w:val="left" w:pos="3500"/>
                    </w:tabs>
                    <w:spacing w:line="220" w:lineRule="exact"/>
                    <w:jc w:val="center"/>
                    <w:rPr>
                      <w:rFonts w:hint="eastAsia"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6</w:t>
                  </w:r>
                </w:p>
              </w:tc>
              <w:tc>
                <w:tcPr>
                  <w:tcW w:w="801"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初期雨水</w:t>
                  </w:r>
                </w:p>
              </w:tc>
              <w:tc>
                <w:tcPr>
                  <w:tcW w:w="65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SS</w:t>
                  </w:r>
                </w:p>
              </w:tc>
              <w:tc>
                <w:tcPr>
                  <w:tcW w:w="633"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其他（回用）</w:t>
                  </w:r>
                </w:p>
              </w:tc>
              <w:tc>
                <w:tcPr>
                  <w:tcW w:w="350"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584"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c>
                <w:tcPr>
                  <w:tcW w:w="690"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初期雨水收集池</w:t>
                  </w:r>
                </w:p>
              </w:tc>
              <w:tc>
                <w:tcPr>
                  <w:tcW w:w="714"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沉淀</w:t>
                  </w:r>
                </w:p>
              </w:tc>
              <w:tc>
                <w:tcPr>
                  <w:tcW w:w="619"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是</w:t>
                  </w:r>
                </w:p>
              </w:tc>
              <w:tc>
                <w:tcPr>
                  <w:tcW w:w="747" w:type="dxa"/>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c>
                <w:tcPr>
                  <w:tcW w:w="81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c>
                <w:tcPr>
                  <w:tcW w:w="1200" w:type="dxa"/>
                  <w:vMerge w:val="continue"/>
                  <w:vAlign w:val="center"/>
                </w:tcPr>
                <w:p>
                  <w:pPr>
                    <w:tabs>
                      <w:tab w:val="left" w:pos="3500"/>
                    </w:tabs>
                    <w:spacing w:line="220" w:lineRule="exact"/>
                    <w:jc w:val="center"/>
                    <w:rPr>
                      <w:rFonts w:hint="default" w:ascii="Times New Roman" w:hAnsi="Times New Roman" w:eastAsia="宋体" w:cs="Times New Roman"/>
                      <w:b w:val="0"/>
                      <w:bCs w:val="0"/>
                      <w:color w:val="auto"/>
                      <w:szCs w:val="21"/>
                    </w:rPr>
                  </w:pPr>
                </w:p>
              </w:tc>
            </w:tr>
          </w:tbl>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1、污染源强及污染防治措施</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⑴生活污水</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eastAsia" w:ascii="Times New Roman" w:hAnsi="Times New Roman" w:eastAsia="宋体" w:cs="Times New Roman"/>
                <w:b w:val="0"/>
                <w:bCs w:val="0"/>
                <w:color w:val="auto"/>
                <w:sz w:val="24"/>
                <w:szCs w:val="24"/>
                <w:lang w:val="en-US" w:eastAsia="zh-CN"/>
              </w:rPr>
              <w:t>本项目设置水冲厕所，</w:t>
            </w:r>
            <w:r>
              <w:rPr>
                <w:rFonts w:hint="default" w:ascii="Times New Roman" w:hAnsi="Times New Roman" w:eastAsia="宋体" w:cs="Times New Roman"/>
                <w:b w:val="0"/>
                <w:bCs w:val="0"/>
                <w:color w:val="auto"/>
                <w:sz w:val="24"/>
                <w:szCs w:val="24"/>
              </w:rPr>
              <w:t>运营期生活用水量为1.71m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/d，</w:t>
            </w:r>
            <w:r>
              <w:rPr>
                <w:rFonts w:hint="default" w:ascii="Times New Roman" w:hAnsi="Times New Roman" w:eastAsia="宋体" w:cs="Times New Roman"/>
                <w:b w:val="0"/>
                <w:bCs w:val="0"/>
                <w:color w:val="auto"/>
                <w:sz w:val="24"/>
                <w:szCs w:val="32"/>
              </w:rPr>
              <w:t>生活污水产生量按用水量的80%计，则生活污水产生量为1.37m</w:t>
            </w:r>
            <w:r>
              <w:rPr>
                <w:rFonts w:hint="default" w:ascii="Times New Roman" w:hAnsi="Times New Roman" w:eastAsia="宋体" w:cs="Times New Roman"/>
                <w:b w:val="0"/>
                <w:bCs w:val="0"/>
                <w:color w:val="auto"/>
                <w:sz w:val="24"/>
                <w:szCs w:val="32"/>
                <w:vertAlign w:val="superscript"/>
              </w:rPr>
              <w:t>3</w:t>
            </w:r>
            <w:r>
              <w:rPr>
                <w:rFonts w:hint="default" w:ascii="Times New Roman" w:hAnsi="Times New Roman" w:eastAsia="宋体" w:cs="Times New Roman"/>
                <w:b w:val="0"/>
                <w:bCs w:val="0"/>
                <w:color w:val="auto"/>
                <w:sz w:val="24"/>
                <w:szCs w:val="32"/>
              </w:rPr>
              <w:t>/d，</w:t>
            </w:r>
            <w:r>
              <w:rPr>
                <w:rFonts w:hint="default" w:ascii="Times New Roman" w:hAnsi="Times New Roman" w:eastAsia="宋体" w:cs="Times New Roman"/>
                <w:b w:val="0"/>
                <w:bCs w:val="0"/>
                <w:color w:val="auto"/>
                <w:sz w:val="24"/>
                <w:szCs w:val="24"/>
              </w:rPr>
              <w:t>项目生活污水成分比较简单，主要为COD、BOD</w:t>
            </w:r>
            <w:r>
              <w:rPr>
                <w:rFonts w:hint="default" w:ascii="Times New Roman" w:hAnsi="Times New Roman" w:eastAsia="宋体" w:cs="Times New Roman"/>
                <w:b w:val="0"/>
                <w:bCs w:val="0"/>
                <w:color w:val="auto"/>
                <w:sz w:val="24"/>
                <w:szCs w:val="24"/>
                <w:vertAlign w:val="subscript"/>
              </w:rPr>
              <w:t>5</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kern w:val="0"/>
                <w:sz w:val="24"/>
                <w:szCs w:val="24"/>
              </w:rPr>
              <w:t>氨氮和</w:t>
            </w:r>
            <w:r>
              <w:rPr>
                <w:rFonts w:hint="default" w:ascii="Times New Roman" w:hAnsi="Times New Roman" w:eastAsia="宋体" w:cs="Times New Roman"/>
                <w:b w:val="0"/>
                <w:bCs w:val="0"/>
                <w:color w:val="auto"/>
                <w:sz w:val="24"/>
                <w:szCs w:val="24"/>
              </w:rPr>
              <w:t>SS</w:t>
            </w:r>
            <w:r>
              <w:rPr>
                <w:rFonts w:hint="eastAsia" w:ascii="Times New Roman" w:hAnsi="Times New Roman" w:eastAsia="宋体" w:cs="Times New Roman"/>
                <w:b w:val="0"/>
                <w:bCs w:val="0"/>
                <w:color w:val="auto"/>
                <w:sz w:val="24"/>
                <w:szCs w:val="24"/>
                <w:lang w:val="en-US" w:eastAsia="zh-CN"/>
              </w:rPr>
              <w:t>，其中</w:t>
            </w:r>
            <w:r>
              <w:rPr>
                <w:rFonts w:hint="default" w:ascii="Times New Roman" w:hAnsi="Times New Roman" w:eastAsia="宋体" w:cs="Times New Roman"/>
                <w:b w:val="0"/>
                <w:bCs w:val="0"/>
                <w:color w:val="auto"/>
                <w:sz w:val="24"/>
                <w:szCs w:val="32"/>
              </w:rPr>
              <w:t>食堂含油废水经隔油池处理后与其他生活污水一同排入化粪池，处理后的生活污水通过园区污水管网排入大宁县金昕污水处理厂。</w:t>
            </w:r>
          </w:p>
          <w:p>
            <w:pPr>
              <w:tabs>
                <w:tab w:val="left" w:pos="5130"/>
              </w:tabs>
              <w:spacing w:line="46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类比同行业，生活污水水质指标详见下表。</w:t>
            </w:r>
          </w:p>
          <w:p>
            <w:pPr>
              <w:spacing w:line="460" w:lineRule="exact"/>
              <w:ind w:firstLine="200"/>
              <w:contextualSpacing/>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t xml:space="preserve">  生活污水水质指标一览表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1450"/>
              <w:gridCol w:w="2690"/>
              <w:gridCol w:w="2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序号</w:t>
                  </w:r>
                </w:p>
              </w:tc>
              <w:tc>
                <w:tcPr>
                  <w:tcW w:w="145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名称</w:t>
                  </w:r>
                </w:p>
              </w:tc>
              <w:tc>
                <w:tcPr>
                  <w:tcW w:w="269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产生浓度（mg/L）</w:t>
                  </w:r>
                </w:p>
              </w:tc>
              <w:tc>
                <w:tcPr>
                  <w:tcW w:w="2093"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产生量（t/a）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145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COD</w:t>
                  </w:r>
                </w:p>
              </w:tc>
              <w:tc>
                <w:tcPr>
                  <w:tcW w:w="269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350</w:t>
                  </w:r>
                </w:p>
              </w:tc>
              <w:tc>
                <w:tcPr>
                  <w:tcW w:w="2093"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145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BOD</w:t>
                  </w:r>
                  <w:r>
                    <w:rPr>
                      <w:rFonts w:hint="default" w:ascii="Times New Roman" w:hAnsi="Times New Roman" w:eastAsia="宋体" w:cs="Times New Roman"/>
                      <w:b w:val="0"/>
                      <w:bCs w:val="0"/>
                      <w:color w:val="auto"/>
                      <w:szCs w:val="21"/>
                      <w:vertAlign w:val="subscript"/>
                    </w:rPr>
                    <w:t>5</w:t>
                  </w:r>
                </w:p>
              </w:tc>
              <w:tc>
                <w:tcPr>
                  <w:tcW w:w="2690" w:type="dxa"/>
                  <w:vAlign w:val="center"/>
                </w:tcPr>
                <w:p>
                  <w:pPr>
                    <w:jc w:val="center"/>
                    <w:rPr>
                      <w:rFonts w:hint="default" w:ascii="Times New Roman" w:hAnsi="Times New Roman" w:eastAsia="宋体" w:cs="Times New Roman"/>
                      <w:b w:val="0"/>
                      <w:bCs w:val="0"/>
                      <w:color w:val="auto"/>
                      <w:szCs w:val="21"/>
                    </w:rPr>
                  </w:pPr>
                  <w:r>
                    <w:rPr>
                      <w:rFonts w:hint="eastAsia" w:ascii="Times New Roman" w:hAnsi="Times New Roman" w:eastAsia="宋体" w:cs="Times New Roman"/>
                      <w:b w:val="0"/>
                      <w:bCs w:val="0"/>
                      <w:color w:val="auto"/>
                      <w:szCs w:val="21"/>
                      <w:lang w:val="en-US" w:eastAsia="zh-CN"/>
                    </w:rPr>
                    <w:t>15</w:t>
                  </w:r>
                  <w:r>
                    <w:rPr>
                      <w:rFonts w:hint="default" w:ascii="Times New Roman" w:hAnsi="Times New Roman" w:eastAsia="宋体" w:cs="Times New Roman"/>
                      <w:b w:val="0"/>
                      <w:bCs w:val="0"/>
                      <w:color w:val="auto"/>
                      <w:szCs w:val="21"/>
                    </w:rPr>
                    <w:t>0</w:t>
                  </w:r>
                </w:p>
              </w:tc>
              <w:tc>
                <w:tcPr>
                  <w:tcW w:w="2093" w:type="dxa"/>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0.</w:t>
                  </w:r>
                  <w:r>
                    <w:rPr>
                      <w:rFonts w:hint="eastAsia" w:ascii="Times New Roman" w:hAnsi="Times New Roman" w:eastAsia="宋体" w:cs="Times New Roman"/>
                      <w:b w:val="0"/>
                      <w:bCs w:val="0"/>
                      <w:color w:val="auto"/>
                      <w:szCs w:val="21"/>
                      <w:lang w:val="en-US" w:eastAsia="zh-CN"/>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145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氨氮</w:t>
                  </w:r>
                </w:p>
              </w:tc>
              <w:tc>
                <w:tcPr>
                  <w:tcW w:w="269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37</w:t>
                  </w:r>
                </w:p>
              </w:tc>
              <w:tc>
                <w:tcPr>
                  <w:tcW w:w="2093"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w:t>
                  </w:r>
                </w:p>
              </w:tc>
              <w:tc>
                <w:tcPr>
                  <w:tcW w:w="1450"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SS</w:t>
                  </w:r>
                </w:p>
              </w:tc>
              <w:tc>
                <w:tcPr>
                  <w:tcW w:w="2690" w:type="dxa"/>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200</w:t>
                  </w:r>
                </w:p>
              </w:tc>
              <w:tc>
                <w:tcPr>
                  <w:tcW w:w="2093" w:type="dxa"/>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rPr>
                    <w:t>0.</w:t>
                  </w:r>
                  <w:r>
                    <w:rPr>
                      <w:rFonts w:hint="eastAsia" w:ascii="Times New Roman" w:hAnsi="Times New Roman" w:eastAsia="宋体" w:cs="Times New Roman"/>
                      <w:b w:val="0"/>
                      <w:bCs w:val="0"/>
                      <w:color w:val="auto"/>
                      <w:szCs w:val="21"/>
                      <w:lang w:val="en-US" w:eastAsia="zh-CN"/>
                    </w:rPr>
                    <w:t>274</w:t>
                  </w:r>
                </w:p>
              </w:tc>
            </w:tr>
          </w:tbl>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大宁县金昕污水处理厂原名大宁县第二污水处理厂，位于大宁县曲峨镇曲风村东侧，即本项目东侧，距本项目东侧厂界</w:t>
            </w:r>
            <w:r>
              <w:rPr>
                <w:rFonts w:hint="eastAsia" w:ascii="Times New Roman" w:hAnsi="Times New Roman" w:eastAsia="宋体" w:cs="Times New Roman"/>
                <w:b w:val="0"/>
                <w:bCs w:val="0"/>
                <w:color w:val="auto"/>
                <w:sz w:val="24"/>
                <w:szCs w:val="24"/>
                <w:lang w:val="en-US" w:eastAsia="zh-CN"/>
              </w:rPr>
              <w:t>约8</w:t>
            </w:r>
            <w:r>
              <w:rPr>
                <w:rFonts w:hint="default" w:ascii="Times New Roman" w:hAnsi="Times New Roman" w:eastAsia="宋体" w:cs="Times New Roman"/>
                <w:b w:val="0"/>
                <w:bCs w:val="0"/>
                <w:color w:val="auto"/>
                <w:sz w:val="24"/>
                <w:szCs w:val="24"/>
              </w:rPr>
              <w:t>0m。大宁县金昕污水处理厂设计污水处理规模为6000m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/d，实际建成污水处理规模4000m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/d。2018年3月5日大宁县发展改革和经济信息化局以（大发信审批发</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2018</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11号）对大宁县第二污水处理厂工程可行性研究报告进行了批复；2020年由山西华瑞鑫环保科技有限公司编制完成了《大宁县第二污水处理厂项目环境影响报告表》；2020年7月1日大宁县服务审批管理局以（大审批字</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2020</w:t>
            </w:r>
            <w:r>
              <w:rPr>
                <w:rFonts w:hint="eastAsia" w:ascii="Times New Roman" w:hAnsi="Times New Roman" w:eastAsia="宋体"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rPr>
              <w:t>16号）对该项目环境影响报告表进行了批复。</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经现场调查，该污水处理厂主要处理大宁县新昕污水处理厂处理不完的大宁县城生活污水、曲峨镇中心城区居民生活污水、县城至曲峨镇昕水河沿岸村庄（县城西关、葛口、石城、甘棠、黑城、道教、曲峨）的生活污水，处理范围内污水产生量约为3500-4000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/d。污水处理工艺采用“改良A</w:t>
            </w:r>
            <w:r>
              <w:rPr>
                <w:rFonts w:hint="default" w:ascii="Times New Roman" w:hAnsi="Times New Roman" w:eastAsia="宋体" w:cs="Times New Roman"/>
                <w:b w:val="0"/>
                <w:bCs w:val="0"/>
                <w:color w:val="auto"/>
                <w:sz w:val="24"/>
                <w:szCs w:val="24"/>
                <w:vertAlign w:val="superscript"/>
              </w:rPr>
              <w:t>2</w:t>
            </w:r>
            <w:r>
              <w:rPr>
                <w:rFonts w:hint="default" w:ascii="Times New Roman" w:hAnsi="Times New Roman" w:eastAsia="宋体" w:cs="Times New Roman"/>
                <w:b w:val="0"/>
                <w:bCs w:val="0"/>
                <w:color w:val="auto"/>
                <w:sz w:val="24"/>
                <w:szCs w:val="24"/>
              </w:rPr>
              <w:t>/O+二沉池+混凝沉淀过滤+臭氧氧化”组合工艺，污泥处理采用“带式浓缩脱水机+超高压污泥压干机”工艺，滤饼外运。其设计进水水质为COD：250~400mg/L，BOD</w:t>
            </w:r>
            <w:r>
              <w:rPr>
                <w:rFonts w:hint="default" w:ascii="Times New Roman" w:hAnsi="Times New Roman" w:eastAsia="宋体" w:cs="Times New Roman"/>
                <w:b w:val="0"/>
                <w:bCs w:val="0"/>
                <w:color w:val="auto"/>
                <w:sz w:val="24"/>
                <w:szCs w:val="24"/>
                <w:vertAlign w:val="subscript"/>
              </w:rPr>
              <w:t>5</w:t>
            </w:r>
            <w:r>
              <w:rPr>
                <w:rFonts w:hint="default" w:ascii="Times New Roman" w:hAnsi="Times New Roman" w:eastAsia="宋体" w:cs="Times New Roman"/>
                <w:b w:val="0"/>
                <w:bCs w:val="0"/>
                <w:color w:val="auto"/>
                <w:sz w:val="24"/>
                <w:szCs w:val="24"/>
              </w:rPr>
              <w:t>：80~180mg/L，SS：110~250mg/L，氨氮：25~40mg/l。该污水处理厂为城镇污水处理厂，排水规模大于500m</w:t>
            </w:r>
            <w:r>
              <w:rPr>
                <w:rFonts w:hint="default" w:ascii="Times New Roman" w:hAnsi="Times New Roman" w:eastAsia="宋体" w:cs="Times New Roman"/>
                <w:b w:val="0"/>
                <w:bCs w:val="0"/>
                <w:color w:val="auto"/>
                <w:sz w:val="24"/>
                <w:szCs w:val="24"/>
                <w:vertAlign w:val="superscript"/>
              </w:rPr>
              <w:t>3</w:t>
            </w:r>
            <w:r>
              <w:rPr>
                <w:rFonts w:hint="default" w:ascii="Times New Roman" w:hAnsi="Times New Roman" w:eastAsia="宋体" w:cs="Times New Roman"/>
                <w:b w:val="0"/>
                <w:bCs w:val="0"/>
                <w:color w:val="auto"/>
                <w:sz w:val="24"/>
                <w:szCs w:val="24"/>
              </w:rPr>
              <w:t>/d，且直接排入昕水河。根据《山西省地表水水环境功能区划》（DB14/67-2019），水质要求为III类，根据</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020年</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月</w:t>
            </w:r>
            <w:r>
              <w:rPr>
                <w:rFonts w:hint="eastAsia" w:ascii="Times New Roman" w:hAnsi="Times New Roman" w:eastAsia="宋体" w:cs="Times New Roman"/>
                <w:b w:val="0"/>
                <w:bCs w:val="0"/>
                <w:color w:val="auto"/>
                <w:sz w:val="24"/>
                <w:szCs w:val="24"/>
                <w:lang w:val="en-US" w:eastAsia="zh-CN"/>
              </w:rPr>
              <w:t>24</w:t>
            </w:r>
            <w:r>
              <w:rPr>
                <w:rFonts w:hint="default" w:ascii="Times New Roman" w:hAnsi="Times New Roman" w:eastAsia="宋体" w:cs="Times New Roman"/>
                <w:b w:val="0"/>
                <w:bCs w:val="0"/>
                <w:color w:val="auto"/>
                <w:sz w:val="24"/>
                <w:szCs w:val="24"/>
              </w:rPr>
              <w:t>日临汾市人民政府办公室临政办发[2020]8号《关于印发临汾市2020年重点河流水污染治理攻坚方案的通知》和2020年</w:t>
            </w:r>
            <w:r>
              <w:rPr>
                <w:rFonts w:hint="eastAsia"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t>月</w:t>
            </w:r>
            <w:r>
              <w:rPr>
                <w:rFonts w:hint="eastAsia"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t>日大宁县人民政府办公室大政办发[2020]3号《关于印发大宁县地表水生态环境治理攻坚方案的通知》，城镇污水处理厂出水中COD、氨氮、总磷三项指标按照《地表水环境质量标准》（GB3838-2002）Ⅴ类标准执行；其他指标按照《城镇污水处理厂污染物排放标准》中的一级水质排放标准的A标准执行，同时根据《污水综合排放标准》（DB14/1928-2019）表2，COD40mg/L、氨氮2.0mg/L、总磷0.4mg/L。综上，污水处理厂出水指标为COD：40mg/L，BOD</w:t>
            </w:r>
            <w:r>
              <w:rPr>
                <w:rFonts w:hint="default" w:ascii="Times New Roman" w:hAnsi="Times New Roman" w:eastAsia="宋体" w:cs="Times New Roman"/>
                <w:b w:val="0"/>
                <w:bCs w:val="0"/>
                <w:color w:val="auto"/>
                <w:sz w:val="24"/>
                <w:szCs w:val="24"/>
                <w:vertAlign w:val="subscript"/>
              </w:rPr>
              <w:t>5</w:t>
            </w:r>
            <w:r>
              <w:rPr>
                <w:rFonts w:hint="default" w:ascii="Times New Roman" w:hAnsi="Times New Roman" w:eastAsia="宋体" w:cs="Times New Roman"/>
                <w:b w:val="0"/>
                <w:bCs w:val="0"/>
                <w:color w:val="auto"/>
                <w:sz w:val="24"/>
                <w:szCs w:val="24"/>
              </w:rPr>
              <w:t>：10mg/L，SS：10mg/L，氨氮：2mg/l。</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本项目位于大宁县曲峨镇东南80m处，污水管网已覆盖。项目建成后生活污水每天排放量为</w:t>
            </w:r>
            <w:r>
              <w:rPr>
                <w:rFonts w:hint="eastAsia" w:ascii="Times New Roman" w:hAnsi="Times New Roman" w:eastAsia="宋体" w:cs="Times New Roman"/>
                <w:b w:val="0"/>
                <w:bCs w:val="0"/>
                <w:color w:val="auto"/>
                <w:sz w:val="24"/>
                <w:szCs w:val="24"/>
                <w:lang w:val="en-US" w:eastAsia="zh-CN"/>
              </w:rPr>
              <w:t>1.37</w:t>
            </w:r>
            <w:r>
              <w:rPr>
                <w:rFonts w:hint="default" w:ascii="Times New Roman" w:hAnsi="Times New Roman" w:eastAsia="宋体" w:cs="Times New Roman"/>
                <w:b w:val="0"/>
                <w:bCs w:val="0"/>
                <w:color w:val="auto"/>
                <w:sz w:val="24"/>
                <w:szCs w:val="24"/>
              </w:rPr>
              <w:t>m³，则大宁县金昕污水处理厂能够容纳本项目生活污水。</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⑵生产废水</w:t>
            </w:r>
          </w:p>
          <w:p>
            <w:pPr>
              <w:spacing w:line="460" w:lineRule="exact"/>
              <w:ind w:firstLine="480" w:firstLineChars="200"/>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lang w:val="en-US" w:eastAsia="zh-CN"/>
              </w:rPr>
              <w:t>①冷</w:t>
            </w:r>
            <w:r>
              <w:rPr>
                <w:rFonts w:hint="default" w:ascii="Times New Roman" w:hAnsi="Times New Roman" w:eastAsia="宋体" w:cs="Times New Roman"/>
                <w:b w:val="0"/>
                <w:bCs w:val="0"/>
                <w:color w:val="auto"/>
                <w:sz w:val="24"/>
                <w:szCs w:val="32"/>
              </w:rPr>
              <w:t>却</w:t>
            </w:r>
            <w:r>
              <w:rPr>
                <w:rFonts w:hint="eastAsia" w:ascii="Times New Roman" w:hAnsi="Times New Roman" w:eastAsia="宋体" w:cs="Times New Roman"/>
                <w:b w:val="0"/>
                <w:bCs w:val="0"/>
                <w:color w:val="auto"/>
                <w:sz w:val="24"/>
                <w:szCs w:val="32"/>
                <w:lang w:val="en-US" w:eastAsia="zh-CN"/>
              </w:rPr>
              <w:t>废</w:t>
            </w:r>
            <w:r>
              <w:rPr>
                <w:rFonts w:hint="default" w:ascii="Times New Roman" w:hAnsi="Times New Roman" w:eastAsia="宋体" w:cs="Times New Roman"/>
                <w:b w:val="0"/>
                <w:bCs w:val="0"/>
                <w:color w:val="auto"/>
                <w:sz w:val="24"/>
                <w:szCs w:val="32"/>
              </w:rPr>
              <w:t>水</w:t>
            </w:r>
          </w:p>
          <w:p>
            <w:pPr>
              <w:spacing w:line="460" w:lineRule="exact"/>
              <w:ind w:firstLine="480" w:firstLineChars="200"/>
              <w:rPr>
                <w:rFonts w:hint="eastAsia" w:ascii="Times New Roman" w:hAnsi="Times New Roman" w:eastAsia="宋体" w:cs="Times New Roman"/>
                <w:b w:val="0"/>
                <w:bCs w:val="0"/>
                <w:color w:val="auto"/>
                <w:kern w:val="0"/>
                <w:sz w:val="24"/>
                <w:szCs w:val="24"/>
                <w:lang w:eastAsia="zh-CN"/>
              </w:rPr>
            </w:pPr>
            <w:r>
              <w:rPr>
                <w:rFonts w:hint="default" w:ascii="Times New Roman" w:hAnsi="Times New Roman" w:eastAsia="宋体" w:cs="Times New Roman"/>
                <w:b w:val="0"/>
                <w:bCs w:val="0"/>
                <w:color w:val="auto"/>
                <w:sz w:val="24"/>
                <w:szCs w:val="32"/>
              </w:rPr>
              <w:t>本项目冷却用水循环使用，定期排少量污水，排污量约6m</w:t>
            </w:r>
            <w:r>
              <w:rPr>
                <w:rFonts w:hint="default" w:ascii="Times New Roman" w:hAnsi="Times New Roman" w:eastAsia="宋体" w:cs="Times New Roman"/>
                <w:b w:val="0"/>
                <w:bCs w:val="0"/>
                <w:color w:val="auto"/>
                <w:sz w:val="24"/>
                <w:szCs w:val="32"/>
                <w:vertAlign w:val="superscript"/>
              </w:rPr>
              <w:t>3</w:t>
            </w:r>
            <w:r>
              <w:rPr>
                <w:rFonts w:hint="default" w:ascii="Times New Roman" w:hAnsi="Times New Roman" w:eastAsia="宋体" w:cs="Times New Roman"/>
                <w:b w:val="0"/>
                <w:bCs w:val="0"/>
                <w:color w:val="auto"/>
                <w:sz w:val="24"/>
                <w:szCs w:val="32"/>
              </w:rPr>
              <w:t>/次，每年排污量约4次，合计冷却水定期排污量约0.</w:t>
            </w:r>
            <w:r>
              <w:rPr>
                <w:rFonts w:hint="default" w:ascii="Times New Roman" w:hAnsi="Times New Roman" w:eastAsia="宋体" w:cs="Times New Roman"/>
                <w:b w:val="0"/>
                <w:bCs w:val="0"/>
                <w:color w:val="auto"/>
                <w:sz w:val="24"/>
                <w:szCs w:val="32"/>
                <w:lang w:val="en-US" w:eastAsia="zh-CN"/>
              </w:rPr>
              <w:t>08</w:t>
            </w:r>
            <w:r>
              <w:rPr>
                <w:rFonts w:hint="default" w:ascii="Times New Roman" w:hAnsi="Times New Roman" w:eastAsia="宋体" w:cs="Times New Roman"/>
                <w:b w:val="0"/>
                <w:bCs w:val="0"/>
                <w:color w:val="auto"/>
                <w:sz w:val="24"/>
                <w:szCs w:val="32"/>
              </w:rPr>
              <w:t>m</w:t>
            </w:r>
            <w:r>
              <w:rPr>
                <w:rFonts w:hint="default" w:ascii="Times New Roman" w:hAnsi="Times New Roman" w:eastAsia="宋体" w:cs="Times New Roman"/>
                <w:b w:val="0"/>
                <w:bCs w:val="0"/>
                <w:color w:val="auto"/>
                <w:sz w:val="24"/>
                <w:szCs w:val="32"/>
                <w:vertAlign w:val="superscript"/>
              </w:rPr>
              <w:t>3</w:t>
            </w:r>
            <w:r>
              <w:rPr>
                <w:rFonts w:hint="default" w:ascii="Times New Roman" w:hAnsi="Times New Roman" w:eastAsia="宋体" w:cs="Times New Roman"/>
                <w:b w:val="0"/>
                <w:bCs w:val="0"/>
                <w:color w:val="auto"/>
                <w:sz w:val="24"/>
                <w:szCs w:val="32"/>
              </w:rPr>
              <w:t>/d，污水进入喷淋循环水处理系统处理后循环使用，不外排</w:t>
            </w:r>
            <w:r>
              <w:rPr>
                <w:rFonts w:hint="eastAsia" w:ascii="Times New Roman" w:hAnsi="Times New Roman" w:eastAsia="宋体" w:cs="Times New Roman"/>
                <w:b w:val="0"/>
                <w:bCs w:val="0"/>
                <w:color w:val="auto"/>
                <w:sz w:val="24"/>
                <w:szCs w:val="32"/>
                <w:lang w:eastAsia="zh-CN"/>
              </w:rPr>
              <w:t>。</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lang w:val="en-US" w:eastAsia="zh-CN"/>
              </w:rPr>
              <w:t>②</w:t>
            </w:r>
            <w:r>
              <w:rPr>
                <w:rFonts w:hint="default" w:ascii="Times New Roman" w:hAnsi="Times New Roman" w:eastAsia="宋体" w:cs="Times New Roman"/>
                <w:b w:val="0"/>
                <w:bCs w:val="0"/>
                <w:color w:val="auto"/>
                <w:kern w:val="0"/>
                <w:sz w:val="24"/>
                <w:szCs w:val="24"/>
              </w:rPr>
              <w:t>喷淋</w:t>
            </w:r>
            <w:r>
              <w:rPr>
                <w:rFonts w:hint="eastAsia" w:ascii="Times New Roman" w:hAnsi="Times New Roman" w:eastAsia="宋体" w:cs="Times New Roman"/>
                <w:b w:val="0"/>
                <w:bCs w:val="0"/>
                <w:color w:val="auto"/>
                <w:kern w:val="0"/>
                <w:sz w:val="24"/>
                <w:szCs w:val="24"/>
                <w:lang w:val="en-US" w:eastAsia="zh-CN"/>
              </w:rPr>
              <w:t>废</w:t>
            </w:r>
            <w:r>
              <w:rPr>
                <w:rFonts w:hint="default" w:ascii="Times New Roman" w:hAnsi="Times New Roman" w:eastAsia="宋体" w:cs="Times New Roman"/>
                <w:b w:val="0"/>
                <w:bCs w:val="0"/>
                <w:color w:val="auto"/>
                <w:kern w:val="0"/>
                <w:sz w:val="24"/>
                <w:szCs w:val="24"/>
              </w:rPr>
              <w:t>水</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本项目废气喷淋系统循环水量为300m</w:t>
            </w:r>
            <w:r>
              <w:rPr>
                <w:rFonts w:hint="default" w:ascii="Times New Roman" w:hAnsi="Times New Roman" w:eastAsia="宋体" w:cs="Times New Roman"/>
                <w:b w:val="0"/>
                <w:bCs w:val="0"/>
                <w:color w:val="auto"/>
                <w:kern w:val="0"/>
                <w:sz w:val="24"/>
                <w:szCs w:val="24"/>
                <w:vertAlign w:val="superscript"/>
              </w:rPr>
              <w:t>3</w:t>
            </w:r>
            <w:r>
              <w:rPr>
                <w:rFonts w:hint="default" w:ascii="Times New Roman" w:hAnsi="Times New Roman" w:eastAsia="宋体" w:cs="Times New Roman"/>
                <w:b w:val="0"/>
                <w:bCs w:val="0"/>
                <w:color w:val="auto"/>
                <w:kern w:val="0"/>
                <w:sz w:val="24"/>
                <w:szCs w:val="24"/>
              </w:rPr>
              <w:t>/d，经喷淋循环水处理系统处理后循环使用（采用“隔油</w:t>
            </w:r>
            <w:r>
              <w:rPr>
                <w:rFonts w:hint="eastAsia" w:ascii="Times New Roman" w:hAnsi="Times New Roman" w:eastAsia="宋体" w:cs="Times New Roman"/>
                <w:b w:val="0"/>
                <w:bCs w:val="0"/>
                <w:color w:val="auto"/>
                <w:kern w:val="0"/>
                <w:sz w:val="24"/>
                <w:szCs w:val="24"/>
                <w:lang w:val="en-US" w:eastAsia="zh-CN"/>
              </w:rPr>
              <w:t>-</w:t>
            </w:r>
            <w:r>
              <w:rPr>
                <w:rFonts w:hint="default" w:ascii="Times New Roman" w:hAnsi="Times New Roman" w:eastAsia="宋体" w:cs="Times New Roman"/>
                <w:b w:val="0"/>
                <w:bCs w:val="0"/>
                <w:color w:val="auto"/>
                <w:kern w:val="0"/>
                <w:sz w:val="24"/>
                <w:szCs w:val="24"/>
              </w:rPr>
              <w:t>平流式池、气浮、</w:t>
            </w:r>
            <w:r>
              <w:rPr>
                <w:rFonts w:hint="eastAsia" w:ascii="Times New Roman" w:hAnsi="Times New Roman" w:eastAsia="宋体" w:cs="Times New Roman"/>
                <w:b w:val="0"/>
                <w:bCs w:val="0"/>
                <w:color w:val="auto"/>
                <w:kern w:val="0"/>
                <w:sz w:val="24"/>
                <w:szCs w:val="24"/>
                <w:lang w:val="en-US" w:eastAsia="zh-CN"/>
              </w:rPr>
              <w:t>粗滤-</w:t>
            </w:r>
            <w:r>
              <w:rPr>
                <w:rFonts w:hint="eastAsia" w:ascii="Times New Roman" w:hAnsi="Times New Roman" w:eastAsia="宋体" w:cs="Times New Roman"/>
                <w:b w:val="0"/>
                <w:bCs w:val="0"/>
                <w:color w:val="auto"/>
                <w:kern w:val="0"/>
                <w:sz w:val="24"/>
                <w:szCs w:val="24"/>
                <w:lang w:eastAsia="zh-CN"/>
              </w:rPr>
              <w:t>聚酯滤布</w:t>
            </w:r>
            <w:r>
              <w:rPr>
                <w:rFonts w:hint="default" w:ascii="Times New Roman" w:hAnsi="Times New Roman" w:eastAsia="宋体" w:cs="Times New Roman"/>
                <w:b w:val="0"/>
                <w:bCs w:val="0"/>
                <w:color w:val="auto"/>
                <w:kern w:val="0"/>
                <w:sz w:val="24"/>
                <w:szCs w:val="24"/>
              </w:rPr>
              <w:t>过滤”处理工艺，处理能力15m</w:t>
            </w:r>
            <w:r>
              <w:rPr>
                <w:rFonts w:hint="default" w:ascii="Times New Roman" w:hAnsi="Times New Roman" w:eastAsia="宋体" w:cs="Times New Roman"/>
                <w:b w:val="0"/>
                <w:bCs w:val="0"/>
                <w:color w:val="auto"/>
                <w:kern w:val="0"/>
                <w:sz w:val="24"/>
                <w:szCs w:val="24"/>
                <w:vertAlign w:val="superscript"/>
              </w:rPr>
              <w:t>3</w:t>
            </w:r>
            <w:r>
              <w:rPr>
                <w:rFonts w:hint="default" w:ascii="Times New Roman" w:hAnsi="Times New Roman" w:eastAsia="宋体" w:cs="Times New Roman"/>
                <w:b w:val="0"/>
                <w:bCs w:val="0"/>
                <w:color w:val="auto"/>
                <w:kern w:val="0"/>
                <w:sz w:val="24"/>
                <w:szCs w:val="24"/>
              </w:rPr>
              <w:t>/h）</w:t>
            </w:r>
            <w:r>
              <w:rPr>
                <w:rFonts w:hint="eastAsia" w:ascii="Times New Roman" w:hAnsi="Times New Roman" w:eastAsia="宋体" w:cs="Times New Roman"/>
                <w:b w:val="0"/>
                <w:bCs w:val="0"/>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类比同类企业和处理工艺，出水可满足</w:t>
            </w:r>
            <w:r>
              <w:rPr>
                <w:rFonts w:hint="eastAsia" w:ascii="Times New Roman" w:hAnsi="Times New Roman" w:eastAsia="宋体" w:cs="Times New Roman"/>
                <w:color w:val="auto"/>
                <w:kern w:val="0"/>
                <w:sz w:val="24"/>
                <w:szCs w:val="24"/>
              </w:rPr>
              <w:t>《污水再生利用工程设计规范》</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rPr>
              <w:t>GB50335-2002</w:t>
            </w:r>
            <w:r>
              <w:rPr>
                <w:rFonts w:hint="eastAsia" w:ascii="Times New Roman" w:hAnsi="Times New Roman" w:eastAsia="宋体" w:cs="Times New Roman"/>
                <w:color w:val="auto"/>
                <w:kern w:val="0"/>
                <w:sz w:val="24"/>
                <w:szCs w:val="24"/>
                <w:lang w:eastAsia="zh-CN"/>
              </w:rPr>
              <w:t>）</w:t>
            </w:r>
            <w:r>
              <w:rPr>
                <w:rFonts w:hint="eastAsia" w:ascii="Times New Roman" w:hAnsi="Times New Roman" w:eastAsia="宋体" w:cs="Times New Roman"/>
                <w:color w:val="auto"/>
                <w:kern w:val="0"/>
                <w:sz w:val="24"/>
                <w:szCs w:val="24"/>
                <w:lang w:val="en-US" w:eastAsia="zh-CN"/>
              </w:rPr>
              <w:t>中相关要求</w:t>
            </w:r>
            <w:r>
              <w:rPr>
                <w:rFonts w:hint="default" w:ascii="Times New Roman" w:hAnsi="Times New Roman" w:eastAsia="宋体" w:cs="Times New Roman"/>
                <w:b w:val="0"/>
                <w:bCs w:val="0"/>
                <w:color w:val="auto"/>
                <w:kern w:val="0"/>
                <w:sz w:val="24"/>
                <w:szCs w:val="24"/>
              </w:rPr>
              <w:t>。</w:t>
            </w:r>
          </w:p>
          <w:p>
            <w:pPr>
              <w:spacing w:line="460" w:lineRule="exact"/>
              <w:ind w:firstLine="480" w:firstLineChars="200"/>
              <w:rPr>
                <w:rFonts w:hint="default" w:ascii="Times New Roman" w:hAnsi="Times New Roman" w:eastAsia="宋体" w:cs="Times New Roman"/>
                <w:b w:val="0"/>
                <w:bCs w:val="0"/>
                <w:color w:val="auto"/>
                <w:sz w:val="24"/>
                <w:szCs w:val="32"/>
              </w:rPr>
            </w:pPr>
            <w:r>
              <w:rPr>
                <w:rFonts w:hint="default" w:ascii="Times New Roman" w:hAnsi="Times New Roman" w:eastAsia="宋体" w:cs="Times New Roman"/>
                <w:b w:val="0"/>
                <w:bCs w:val="0"/>
                <w:color w:val="auto"/>
                <w:sz w:val="24"/>
                <w:szCs w:val="32"/>
                <w:lang w:val="en-US" w:eastAsia="zh-CN"/>
              </w:rPr>
              <w:t>③</w:t>
            </w:r>
            <w:r>
              <w:rPr>
                <w:rFonts w:hint="default" w:ascii="Times New Roman" w:hAnsi="Times New Roman" w:eastAsia="宋体" w:cs="Times New Roman"/>
                <w:b w:val="0"/>
                <w:bCs w:val="0"/>
                <w:color w:val="auto"/>
                <w:sz w:val="24"/>
                <w:szCs w:val="32"/>
              </w:rPr>
              <w:t>运输车辆</w:t>
            </w:r>
            <w:r>
              <w:rPr>
                <w:rFonts w:hint="default" w:ascii="Times New Roman" w:hAnsi="Times New Roman" w:eastAsia="宋体" w:cs="Times New Roman"/>
                <w:b w:val="0"/>
                <w:bCs w:val="0"/>
                <w:color w:val="auto"/>
                <w:kern w:val="0"/>
                <w:sz w:val="24"/>
                <w:szCs w:val="24"/>
              </w:rPr>
              <w:t>轮胎车身</w:t>
            </w:r>
            <w:r>
              <w:rPr>
                <w:rFonts w:hint="default" w:ascii="Times New Roman" w:hAnsi="Times New Roman" w:eastAsia="宋体" w:cs="Times New Roman"/>
                <w:b w:val="0"/>
                <w:bCs w:val="0"/>
                <w:color w:val="auto"/>
                <w:sz w:val="24"/>
                <w:szCs w:val="32"/>
              </w:rPr>
              <w:t>冲洗</w:t>
            </w:r>
            <w:r>
              <w:rPr>
                <w:rFonts w:hint="eastAsia" w:ascii="Times New Roman" w:hAnsi="Times New Roman" w:eastAsia="宋体" w:cs="Times New Roman"/>
                <w:b w:val="0"/>
                <w:bCs w:val="0"/>
                <w:color w:val="auto"/>
                <w:sz w:val="24"/>
                <w:szCs w:val="32"/>
                <w:lang w:val="en-US" w:eastAsia="zh-CN"/>
              </w:rPr>
              <w:t>废</w:t>
            </w:r>
            <w:r>
              <w:rPr>
                <w:rFonts w:hint="default" w:ascii="Times New Roman" w:hAnsi="Times New Roman" w:eastAsia="宋体" w:cs="Times New Roman"/>
                <w:b w:val="0"/>
                <w:bCs w:val="0"/>
                <w:color w:val="auto"/>
                <w:sz w:val="24"/>
                <w:szCs w:val="32"/>
              </w:rPr>
              <w:t>水</w:t>
            </w:r>
          </w:p>
          <w:p>
            <w:pPr>
              <w:spacing w:line="460" w:lineRule="exact"/>
              <w:ind w:firstLine="480" w:firstLineChars="200"/>
              <w:rPr>
                <w:rFonts w:hint="default" w:ascii="Times New Roman" w:hAnsi="Times New Roman" w:eastAsia="宋体" w:cs="Times New Roman"/>
                <w:b w:val="0"/>
                <w:bCs w:val="0"/>
                <w:color w:val="auto"/>
                <w:kern w:val="0"/>
                <w:sz w:val="24"/>
                <w:szCs w:val="24"/>
              </w:rPr>
            </w:pPr>
            <w:r>
              <w:rPr>
                <w:rFonts w:hint="default" w:ascii="Times New Roman" w:hAnsi="Times New Roman" w:eastAsia="宋体" w:cs="Times New Roman"/>
                <w:b w:val="0"/>
                <w:bCs w:val="0"/>
                <w:color w:val="auto"/>
                <w:kern w:val="0"/>
                <w:sz w:val="24"/>
                <w:szCs w:val="24"/>
              </w:rPr>
              <w:t>运输车辆轮胎车身冲洗废水按用水量的80%计算，则冲洗废水量约为3.</w:t>
            </w:r>
            <w:r>
              <w:rPr>
                <w:rFonts w:hint="default" w:ascii="Times New Roman" w:hAnsi="Times New Roman" w:eastAsia="宋体" w:cs="Times New Roman"/>
                <w:b w:val="0"/>
                <w:bCs w:val="0"/>
                <w:color w:val="auto"/>
                <w:kern w:val="0"/>
                <w:sz w:val="24"/>
                <w:szCs w:val="24"/>
                <w:lang w:val="en-US" w:eastAsia="zh-CN"/>
              </w:rPr>
              <w:t>84</w:t>
            </w:r>
            <w:r>
              <w:rPr>
                <w:rFonts w:hint="default" w:ascii="Times New Roman" w:hAnsi="Times New Roman" w:eastAsia="宋体" w:cs="Times New Roman"/>
                <w:b w:val="0"/>
                <w:bCs w:val="0"/>
                <w:color w:val="auto"/>
                <w:kern w:val="0"/>
                <w:sz w:val="24"/>
                <w:szCs w:val="24"/>
              </w:rPr>
              <w:t>m</w:t>
            </w:r>
            <w:r>
              <w:rPr>
                <w:rFonts w:hint="default" w:ascii="Times New Roman" w:hAnsi="Times New Roman" w:eastAsia="宋体" w:cs="Times New Roman"/>
                <w:b w:val="0"/>
                <w:bCs w:val="0"/>
                <w:color w:val="auto"/>
                <w:kern w:val="0"/>
                <w:sz w:val="24"/>
                <w:szCs w:val="24"/>
                <w:vertAlign w:val="superscript"/>
              </w:rPr>
              <w:t>3</w:t>
            </w:r>
            <w:r>
              <w:rPr>
                <w:rFonts w:hint="default" w:ascii="Times New Roman" w:hAnsi="Times New Roman" w:eastAsia="宋体" w:cs="Times New Roman"/>
                <w:b w:val="0"/>
                <w:bCs w:val="0"/>
                <w:color w:val="auto"/>
                <w:kern w:val="0"/>
                <w:sz w:val="24"/>
                <w:szCs w:val="24"/>
              </w:rPr>
              <w:t>/d，排入洗车平台沉淀池循环使用，不外排。</w:t>
            </w:r>
          </w:p>
          <w:p>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⑶</w:t>
            </w:r>
            <w:r>
              <w:rPr>
                <w:rFonts w:hint="default" w:ascii="Times New Roman" w:hAnsi="Times New Roman" w:eastAsia="宋体" w:cs="Times New Roman"/>
                <w:color w:val="auto"/>
                <w:sz w:val="24"/>
                <w:szCs w:val="24"/>
                <w:highlight w:val="none"/>
              </w:rPr>
              <w:t>初期雨水</w:t>
            </w:r>
          </w:p>
          <w:p>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大气降水在厂区内形成的地表径流，在降雨后的15min内，污染物浓度较高，污染物主要以SS为主。</w:t>
            </w:r>
            <w:r>
              <w:rPr>
                <w:rFonts w:hint="default" w:ascii="Times New Roman" w:hAnsi="Times New Roman" w:eastAsia="宋体" w:cs="Times New Roman"/>
                <w:color w:val="auto"/>
                <w:sz w:val="24"/>
                <w:szCs w:val="24"/>
                <w:highlight w:val="none"/>
              </w:rPr>
              <w:t>对于初期雨水量，评价按下式计算：</w:t>
            </w:r>
          </w:p>
          <w:p>
            <w:pPr>
              <w:pageBreakBefore w:val="0"/>
              <w:widowControl w:val="0"/>
              <w:kinsoku/>
              <w:wordWrap/>
              <w:overflowPunct/>
              <w:topLinePunct w:val="0"/>
              <w:bidi w:val="0"/>
              <w:spacing w:line="480" w:lineRule="exact"/>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 xml:space="preserve">Q= Ф × q × F× </w:t>
            </w:r>
            <w:r>
              <w:rPr>
                <w:rFonts w:hint="default" w:ascii="Times New Roman" w:hAnsi="Times New Roman" w:eastAsia="宋体" w:cs="Times New Roman"/>
                <w:color w:val="auto"/>
                <w:sz w:val="24"/>
                <w:szCs w:val="24"/>
                <w:highlight w:val="none"/>
                <w:lang w:val="en-US" w:eastAsia="zh-CN"/>
              </w:rPr>
              <w:t>t</w:t>
            </w:r>
          </w:p>
          <w:p>
            <w:pPr>
              <w:keepNext w:val="0"/>
              <w:keepLines w:val="0"/>
              <w:pageBreakBefore w:val="0"/>
              <w:widowControl w:val="0"/>
              <w:kinsoku/>
              <w:wordWrap/>
              <w:overflowPunct/>
              <w:topLinePunct w:val="0"/>
              <w:autoSpaceDE/>
              <w:autoSpaceDN/>
              <w:bidi w:val="0"/>
              <w:adjustRightInd/>
              <w:snapToGrid/>
              <w:spacing w:line="480" w:lineRule="exact"/>
              <w:ind w:firstLine="360" w:firstLineChars="15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式中：Ф—径流系数，取0.9；</w:t>
            </w:r>
          </w:p>
          <w:p>
            <w:pPr>
              <w:keepNext w:val="0"/>
              <w:keepLines w:val="0"/>
              <w:pageBreakBefore w:val="0"/>
              <w:widowControl w:val="0"/>
              <w:kinsoku/>
              <w:wordWrap/>
              <w:overflowPunct/>
              <w:topLinePunct w:val="0"/>
              <w:autoSpaceDE/>
              <w:autoSpaceDN/>
              <w:bidi w:val="0"/>
              <w:adjustRightInd/>
              <w:snapToGrid/>
              <w:spacing w:line="480" w:lineRule="exact"/>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q—设计暴雨强度（L/s•公顷）；</w:t>
            </w:r>
          </w:p>
          <w:p>
            <w:pPr>
              <w:keepNext w:val="0"/>
              <w:keepLines w:val="0"/>
              <w:pageBreakBefore w:val="0"/>
              <w:widowControl w:val="0"/>
              <w:kinsoku/>
              <w:wordWrap/>
              <w:overflowPunct/>
              <w:topLinePunct w:val="0"/>
              <w:autoSpaceDE/>
              <w:autoSpaceDN/>
              <w:bidi w:val="0"/>
              <w:adjustRightInd/>
              <w:snapToGrid/>
              <w:spacing w:line="480" w:lineRule="exact"/>
              <w:ind w:firstLine="1200" w:firstLineChars="500"/>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F—汇水面积，公顷；</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暴雨强度q采用临汾市暴雨强度公式：</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val="en-US" w:eastAsia="zh-CN"/>
              </w:rPr>
              <w:t>1207.4</w:t>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0.94</w:t>
            </w:r>
            <w:r>
              <w:rPr>
                <w:rFonts w:hint="default" w:ascii="Times New Roman" w:hAnsi="Times New Roman" w:eastAsia="宋体" w:cs="Times New Roman"/>
                <w:color w:val="auto"/>
                <w:sz w:val="24"/>
                <w:szCs w:val="24"/>
                <w:highlight w:val="none"/>
              </w:rPr>
              <w:t>LgT）/(t+</w:t>
            </w:r>
            <w:r>
              <w:rPr>
                <w:rFonts w:hint="default" w:ascii="Times New Roman" w:hAnsi="Times New Roman" w:eastAsia="宋体" w:cs="Times New Roman"/>
                <w:color w:val="auto"/>
                <w:sz w:val="24"/>
                <w:szCs w:val="24"/>
                <w:highlight w:val="none"/>
                <w:lang w:val="en-US" w:eastAsia="zh-CN"/>
              </w:rPr>
              <w:t>5.64</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vertAlign w:val="superscript"/>
              </w:rPr>
              <w:t>0.</w:t>
            </w:r>
            <w:r>
              <w:rPr>
                <w:rFonts w:hint="default" w:ascii="Times New Roman" w:hAnsi="Times New Roman" w:eastAsia="宋体" w:cs="Times New Roman"/>
                <w:color w:val="auto"/>
                <w:sz w:val="24"/>
                <w:szCs w:val="24"/>
                <w:highlight w:val="none"/>
                <w:vertAlign w:val="superscript"/>
                <w:lang w:val="en-US" w:eastAsia="zh-CN"/>
              </w:rPr>
              <w:t>74</w:t>
            </w:r>
            <w:r>
              <w:rPr>
                <w:rFonts w:hint="default" w:ascii="Times New Roman" w:hAnsi="Times New Roman" w:eastAsia="宋体" w:cs="Times New Roman"/>
                <w:color w:val="auto"/>
                <w:sz w:val="24"/>
                <w:szCs w:val="24"/>
                <w:highlight w:val="none"/>
              </w:rPr>
              <w:t>(L/s•公顷)</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式中：T—设计重现期，取</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年；</w:t>
            </w:r>
          </w:p>
          <w:p>
            <w:pPr>
              <w:keepNext w:val="0"/>
              <w:keepLines w:val="0"/>
              <w:pageBreakBefore w:val="0"/>
              <w:widowControl w:val="0"/>
              <w:kinsoku/>
              <w:wordWrap/>
              <w:overflowPunct/>
              <w:topLinePunct w:val="0"/>
              <w:autoSpaceDE/>
              <w:autoSpaceDN/>
              <w:bidi w:val="0"/>
              <w:adjustRightInd/>
              <w:snapToGrid/>
              <w:spacing w:line="480" w:lineRule="exact"/>
              <w:ind w:firstLine="1200" w:firstLineChars="5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t—降雨历时（取15min）。</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计算得临汾市暴雨强度为</w:t>
            </w:r>
            <w:r>
              <w:rPr>
                <w:rFonts w:hint="default" w:ascii="Times New Roman" w:hAnsi="Times New Roman" w:eastAsia="宋体" w:cs="Times New Roman"/>
                <w:color w:val="auto"/>
                <w:sz w:val="24"/>
                <w:szCs w:val="24"/>
                <w:highlight w:val="none"/>
                <w:lang w:val="en-US" w:eastAsia="zh-CN"/>
              </w:rPr>
              <w:t>164.89</w:t>
            </w:r>
            <w:r>
              <w:rPr>
                <w:rFonts w:hint="default" w:ascii="Times New Roman" w:hAnsi="Times New Roman" w:eastAsia="宋体" w:cs="Times New Roman"/>
                <w:color w:val="auto"/>
                <w:sz w:val="24"/>
                <w:szCs w:val="24"/>
                <w:highlight w:val="none"/>
              </w:rPr>
              <w:t>L/s•公顷。</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color w:val="auto"/>
                <w:sz w:val="24"/>
                <w:szCs w:val="24"/>
                <w:highlight w:val="none"/>
              </w:rPr>
              <w:t>本项目生产厂区汇水面积约为</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公顷，按一次降雨15min计算，</w:t>
            </w:r>
            <w:r>
              <w:rPr>
                <w:rFonts w:hint="default" w:ascii="Times New Roman" w:hAnsi="Times New Roman" w:eastAsia="宋体" w:cs="Times New Roman"/>
                <w:color w:val="auto"/>
                <w:sz w:val="24"/>
                <w:szCs w:val="24"/>
                <w:highlight w:val="none"/>
                <w:lang w:val="en-US" w:eastAsia="zh-CN"/>
              </w:rPr>
              <w:t>初期雨水量为</w:t>
            </w:r>
            <w:r>
              <w:rPr>
                <w:rFonts w:hint="eastAsia" w:ascii="Times New Roman" w:hAnsi="Times New Roman" w:eastAsia="宋体" w:cs="Times New Roman"/>
                <w:color w:val="auto"/>
                <w:sz w:val="24"/>
                <w:szCs w:val="24"/>
                <w:highlight w:val="none"/>
                <w:lang w:val="en-US" w:eastAsia="zh-CN"/>
              </w:rPr>
              <w:t>148.4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在厂区</w:t>
            </w:r>
            <w:r>
              <w:rPr>
                <w:rFonts w:hint="eastAsia" w:ascii="Times New Roman" w:hAnsi="Times New Roman" w:eastAsia="宋体" w:cs="Times New Roman"/>
                <w:color w:val="auto"/>
                <w:sz w:val="24"/>
                <w:szCs w:val="24"/>
                <w:highlight w:val="none"/>
                <w:lang w:val="en-US" w:eastAsia="zh-CN"/>
              </w:rPr>
              <w:t>东南</w:t>
            </w:r>
            <w:r>
              <w:rPr>
                <w:rFonts w:hint="default" w:ascii="Times New Roman" w:hAnsi="Times New Roman" w:eastAsia="宋体" w:cs="Times New Roman"/>
                <w:color w:val="auto"/>
                <w:sz w:val="24"/>
                <w:szCs w:val="24"/>
                <w:highlight w:val="none"/>
              </w:rPr>
              <w:t>侧地势最低处设置一座</w:t>
            </w:r>
            <w:r>
              <w:rPr>
                <w:rFonts w:hint="eastAsia" w:ascii="Times New Roman" w:hAnsi="Times New Roman" w:eastAsia="宋体" w:cs="Times New Roman"/>
                <w:color w:val="auto"/>
                <w:sz w:val="24"/>
                <w:szCs w:val="24"/>
                <w:highlight w:val="none"/>
                <w:lang w:val="en-US" w:eastAsia="zh-CN"/>
              </w:rPr>
              <w:t>15</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雨水收集池及雨水收集渠道，同时配套后期雨水截断装置，以确保初期雨水收集池仅收集前15min产生的初期雨污水；收集的初期雨水沉淀后用于厂区洒水抑尘，不外排。</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2、地表水环境影响分析</w:t>
            </w:r>
          </w:p>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通过上述分析可知，本项目无生产废水和生活污水外排，对当地地表水的影响在可接受范围内。</w:t>
            </w:r>
          </w:p>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三、声环境影响分析</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本项目噪声污染源源强核算结果及相关参数见表4-</w:t>
            </w:r>
            <w:r>
              <w:rPr>
                <w:rFonts w:hint="eastAsia" w:ascii="Times New Roman" w:hAnsi="Times New Roman" w:eastAsia="宋体" w:cs="Times New Roman"/>
                <w:b w:val="0"/>
                <w:bCs w:val="0"/>
                <w:color w:val="auto"/>
                <w:spacing w:val="4"/>
                <w:sz w:val="24"/>
                <w:szCs w:val="24"/>
                <w:lang w:val="en-US" w:eastAsia="zh-CN"/>
              </w:rPr>
              <w:t>4</w:t>
            </w:r>
            <w:r>
              <w:rPr>
                <w:rFonts w:hint="default" w:ascii="Times New Roman" w:hAnsi="Times New Roman" w:eastAsia="宋体" w:cs="Times New Roman"/>
                <w:b w:val="0"/>
                <w:bCs w:val="0"/>
                <w:color w:val="auto"/>
                <w:spacing w:val="4"/>
                <w:sz w:val="24"/>
                <w:szCs w:val="24"/>
              </w:rPr>
              <w:t>。</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w:t>
            </w: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rPr>
              <w:t xml:space="preserve">  本项目运营期噪声产生、治理及排放情况</w:t>
            </w:r>
          </w:p>
          <w:tbl>
            <w:tblPr>
              <w:tblStyle w:val="90"/>
              <w:tblW w:w="4941"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333"/>
              <w:gridCol w:w="470"/>
              <w:gridCol w:w="1025"/>
              <w:gridCol w:w="1310"/>
              <w:gridCol w:w="513"/>
              <w:gridCol w:w="598"/>
              <w:gridCol w:w="484"/>
              <w:gridCol w:w="612"/>
              <w:gridCol w:w="555"/>
              <w:gridCol w:w="489"/>
              <w:gridCol w:w="482"/>
              <w:gridCol w:w="495"/>
              <w:gridCol w:w="477"/>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212"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序号</w:t>
                  </w:r>
                </w:p>
              </w:tc>
              <w:tc>
                <w:tcPr>
                  <w:tcW w:w="299"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声源名称</w:t>
                  </w:r>
                </w:p>
              </w:tc>
              <w:tc>
                <w:tcPr>
                  <w:tcW w:w="6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声源源强</w:t>
                  </w:r>
                </w:p>
              </w:tc>
              <w:tc>
                <w:tcPr>
                  <w:tcW w:w="835"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声源控制措施</w:t>
                  </w:r>
                </w:p>
              </w:tc>
              <w:tc>
                <w:tcPr>
                  <w:tcW w:w="1016" w:type="pct"/>
                  <w:gridSpan w:val="3"/>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空间相对位置/m</w:t>
                  </w:r>
                </w:p>
              </w:tc>
              <w:tc>
                <w:tcPr>
                  <w:tcW w:w="390"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距室内边界距离/m</w:t>
                  </w:r>
                </w:p>
              </w:tc>
              <w:tc>
                <w:tcPr>
                  <w:tcW w:w="353"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pacing w:val="-5"/>
                      <w:sz w:val="21"/>
                      <w:szCs w:val="21"/>
                    </w:rPr>
                    <w:t>室内边界</w:t>
                  </w:r>
                  <w:r>
                    <w:rPr>
                      <w:rFonts w:hint="default" w:ascii="Times New Roman" w:hAnsi="Times New Roman" w:eastAsia="宋体" w:cs="Times New Roman"/>
                      <w:b w:val="0"/>
                      <w:bCs w:val="0"/>
                      <w:color w:val="auto"/>
                      <w:sz w:val="21"/>
                      <w:szCs w:val="21"/>
                    </w:rPr>
                    <w:t>声级</w:t>
                  </w:r>
                </w:p>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/dB(A)</w:t>
                  </w:r>
                </w:p>
              </w:tc>
              <w:tc>
                <w:tcPr>
                  <w:tcW w:w="311"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运行时段</w:t>
                  </w:r>
                </w:p>
              </w:tc>
              <w:tc>
                <w:tcPr>
                  <w:tcW w:w="307" w:type="pct"/>
                  <w:vMerge w:val="restar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建筑物插入损失/dB(A)</w:t>
                  </w:r>
                </w:p>
              </w:tc>
              <w:tc>
                <w:tcPr>
                  <w:tcW w:w="619" w:type="pct"/>
                  <w:gridSpan w:val="2"/>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建筑物外噪声</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63" w:hRule="atLeast"/>
                <w:jc w:val="center"/>
              </w:trPr>
              <w:tc>
                <w:tcPr>
                  <w:tcW w:w="212"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299"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6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（声压级/距声源距离</w:t>
                  </w:r>
                  <w:r>
                    <w:rPr>
                      <w:rFonts w:hint="default" w:ascii="Times New Roman" w:hAnsi="Times New Roman" w:eastAsia="宋体" w:cs="Times New Roman"/>
                      <w:b w:val="0"/>
                      <w:bCs w:val="0"/>
                      <w:color w:val="auto"/>
                      <w:spacing w:val="-10"/>
                      <w:sz w:val="21"/>
                      <w:szCs w:val="21"/>
                    </w:rPr>
                    <w:t>）/（dB(A)/m）</w:t>
                  </w:r>
                </w:p>
              </w:tc>
              <w:tc>
                <w:tcPr>
                  <w:tcW w:w="835"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i/>
                      <w:color w:val="auto"/>
                      <w:sz w:val="21"/>
                      <w:szCs w:val="21"/>
                    </w:rPr>
                  </w:pPr>
                  <w:r>
                    <w:rPr>
                      <w:rFonts w:hint="default" w:ascii="Times New Roman" w:hAnsi="Times New Roman" w:eastAsia="宋体" w:cs="Times New Roman"/>
                      <w:b w:val="0"/>
                      <w:bCs w:val="0"/>
                      <w:i/>
                      <w:color w:val="auto"/>
                      <w:sz w:val="21"/>
                      <w:szCs w:val="21"/>
                    </w:rPr>
                    <w:t>X</w:t>
                  </w:r>
                </w:p>
              </w:tc>
              <w:tc>
                <w:tcPr>
                  <w:tcW w:w="38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i/>
                      <w:color w:val="auto"/>
                      <w:sz w:val="21"/>
                      <w:szCs w:val="21"/>
                    </w:rPr>
                  </w:pPr>
                  <w:r>
                    <w:rPr>
                      <w:rFonts w:hint="default" w:ascii="Times New Roman" w:hAnsi="Times New Roman" w:eastAsia="宋体" w:cs="Times New Roman"/>
                      <w:b w:val="0"/>
                      <w:bCs w:val="0"/>
                      <w:i/>
                      <w:color w:val="auto"/>
                      <w:sz w:val="21"/>
                      <w:szCs w:val="21"/>
                    </w:rPr>
                    <w:t>Y</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i/>
                      <w:color w:val="auto"/>
                      <w:sz w:val="21"/>
                      <w:szCs w:val="21"/>
                    </w:rPr>
                  </w:pPr>
                  <w:r>
                    <w:rPr>
                      <w:rFonts w:hint="default" w:ascii="Times New Roman" w:hAnsi="Times New Roman" w:eastAsia="宋体" w:cs="Times New Roman"/>
                      <w:b w:val="0"/>
                      <w:bCs w:val="0"/>
                      <w:i/>
                      <w:color w:val="auto"/>
                      <w:sz w:val="21"/>
                      <w:szCs w:val="21"/>
                    </w:rPr>
                    <w:t>Z</w:t>
                  </w:r>
                </w:p>
              </w:tc>
              <w:tc>
                <w:tcPr>
                  <w:tcW w:w="390"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353"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311"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307" w:type="pct"/>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left="0" w:right="0" w:firstLine="0" w:firstLineChars="0"/>
                    <w:jc w:val="center"/>
                    <w:textAlignment w:val="auto"/>
                    <w:rPr>
                      <w:rFonts w:hint="default" w:ascii="Times New Roman" w:hAnsi="Times New Roman" w:eastAsia="宋体" w:cs="Times New Roman"/>
                      <w:b w:val="0"/>
                      <w:bCs w:val="0"/>
                      <w:color w:val="auto"/>
                      <w:sz w:val="21"/>
                      <w:szCs w:val="21"/>
                    </w:rPr>
                  </w:pP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声压级</w:t>
                  </w:r>
                </w:p>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/dB(A)</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建筑物外距离</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导热油炉</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Cs w:val="21"/>
                      <w:lang w:val="en-US" w:eastAsia="zh-CN"/>
                    </w:rPr>
                    <w:t>90/1</w:t>
                  </w:r>
                </w:p>
              </w:tc>
              <w:tc>
                <w:tcPr>
                  <w:tcW w:w="83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基础减震、选用低噪声设备、厂房隔声</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-99.28</w:t>
                  </w:r>
                </w:p>
              </w:tc>
              <w:tc>
                <w:tcPr>
                  <w:tcW w:w="38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-53.81</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78.6</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58.6</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2</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配料罐</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color w:val="auto"/>
                      <w:szCs w:val="21"/>
                      <w:lang w:val="en-US" w:eastAsia="zh-CN"/>
                    </w:rPr>
                    <w:t>8</w:t>
                  </w:r>
                  <w:r>
                    <w:rPr>
                      <w:rFonts w:hint="eastAsia" w:ascii="Times New Roman" w:eastAsia="宋体" w:cs="Times New Roman"/>
                      <w:color w:val="auto"/>
                      <w:szCs w:val="21"/>
                      <w:lang w:val="en-US" w:eastAsia="zh-CN"/>
                    </w:rPr>
                    <w:t>5</w:t>
                  </w:r>
                  <w:r>
                    <w:rPr>
                      <w:rFonts w:hint="default" w:ascii="Times New Roman" w:hAnsi="Times New Roman" w:eastAsia="宋体" w:cs="Times New Roman"/>
                      <w:color w:val="auto"/>
                      <w:szCs w:val="21"/>
                      <w:lang w:val="en-US" w:eastAsia="zh-CN"/>
                    </w:rPr>
                    <w:t>/1</w:t>
                  </w:r>
                </w:p>
              </w:tc>
              <w:tc>
                <w:tcPr>
                  <w:tcW w:w="83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基础减震、选用低噪声设备、厂房隔声</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-68.18</w:t>
                  </w:r>
                </w:p>
              </w:tc>
              <w:tc>
                <w:tcPr>
                  <w:tcW w:w="38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-57.22</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1.5</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sz w:val="21"/>
                      <w:szCs w:val="21"/>
                      <w:lang w:val="en-US" w:eastAsia="zh-CN"/>
                    </w:rPr>
                    <w:t>2</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6</w:t>
                  </w:r>
                  <w:r>
                    <w:rPr>
                      <w:rFonts w:hint="eastAsia" w:ascii="Times New Roman" w:hAnsi="Times New Roman" w:cs="Times New Roman"/>
                      <w:b w:val="0"/>
                      <w:bCs w:val="0"/>
                      <w:color w:val="auto"/>
                      <w:sz w:val="21"/>
                      <w:szCs w:val="21"/>
                      <w:lang w:val="en-US" w:eastAsia="zh-CN"/>
                    </w:rPr>
                    <w:t>4</w:t>
                  </w:r>
                  <w:r>
                    <w:rPr>
                      <w:rFonts w:hint="default" w:ascii="Times New Roman" w:hAnsi="Times New Roman" w:eastAsia="宋体" w:cs="Times New Roman"/>
                      <w:b w:val="0"/>
                      <w:bCs w:val="0"/>
                      <w:color w:val="auto"/>
                      <w:sz w:val="21"/>
                      <w:szCs w:val="21"/>
                      <w:lang w:val="en-US" w:eastAsia="zh-CN"/>
                    </w:rPr>
                    <w:t>.5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44.5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烘干机</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95/1</w:t>
                  </w:r>
                </w:p>
              </w:tc>
              <w:tc>
                <w:tcPr>
                  <w:tcW w:w="83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基础减震、选用低噪声设备、厂房隔声</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-80.78</w:t>
                  </w:r>
                </w:p>
              </w:tc>
              <w:tc>
                <w:tcPr>
                  <w:tcW w:w="38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eastAsia="宋体" w:cs="Times New Roman"/>
                      <w:b w:val="0"/>
                      <w:bCs w:val="0"/>
                      <w:color w:val="auto"/>
                      <w:kern w:val="0"/>
                      <w:sz w:val="21"/>
                      <w:szCs w:val="21"/>
                      <w:lang w:val="en-US" w:eastAsia="zh-CN" w:bidi="zh-CN"/>
                    </w:rPr>
                    <w:t>-48.03</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sz w:val="21"/>
                      <w:szCs w:val="21"/>
                      <w:lang w:val="en-US" w:eastAsia="zh-CN"/>
                    </w:rPr>
                    <w:t>1</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sz w:val="21"/>
                      <w:szCs w:val="21"/>
                      <w:lang w:val="en-US" w:eastAsia="zh-CN"/>
                    </w:rPr>
                    <w:t>3</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sz w:val="21"/>
                      <w:szCs w:val="21"/>
                      <w:lang w:val="en-US" w:eastAsia="zh-CN"/>
                    </w:rPr>
                    <w:t>70.5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50.5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4</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Cs w:val="21"/>
                    </w:rPr>
                    <w:t>辊筒式冷却机</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w:t>
                  </w:r>
                  <w:r>
                    <w:rPr>
                      <w:rFonts w:hint="eastAsia" w:ascii="Times New Roman" w:eastAsia="宋体" w:cs="Times New Roman"/>
                      <w:color w:val="auto"/>
                      <w:szCs w:val="21"/>
                      <w:lang w:val="en-US" w:eastAsia="zh-CN"/>
                    </w:rPr>
                    <w:t>0</w:t>
                  </w:r>
                  <w:r>
                    <w:rPr>
                      <w:rFonts w:hint="default" w:ascii="Times New Roman" w:hAnsi="Times New Roman" w:eastAsia="宋体" w:cs="Times New Roman"/>
                      <w:color w:val="auto"/>
                      <w:szCs w:val="21"/>
                      <w:lang w:val="en-US" w:eastAsia="zh-CN"/>
                    </w:rPr>
                    <w:t>/1</w:t>
                  </w:r>
                </w:p>
              </w:tc>
              <w:tc>
                <w:tcPr>
                  <w:tcW w:w="835" w:type="pct"/>
                  <w:tcBorders>
                    <w:tl2br w:val="nil"/>
                    <w:tr2bl w:val="nil"/>
                  </w:tcBorders>
                  <w:noWrap w:val="0"/>
                  <w:vAlign w:val="center"/>
                </w:tcPr>
                <w:p>
                  <w:pPr>
                    <w:autoSpaceDE w:val="0"/>
                    <w:autoSpaceDN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选用低噪声设备、厂房屏蔽、基础减振</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-52.37</w:t>
                  </w:r>
                </w:p>
              </w:tc>
              <w:tc>
                <w:tcPr>
                  <w:tcW w:w="38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-15.57</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62.5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42.5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5</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卷毡机</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8</w:t>
                  </w:r>
                  <w:r>
                    <w:rPr>
                      <w:rFonts w:hint="eastAsia" w:ascii="Times New Roman" w:eastAsia="宋体" w:cs="Times New Roman"/>
                      <w:color w:val="auto"/>
                      <w:szCs w:val="21"/>
                      <w:lang w:val="en-US" w:eastAsia="zh-CN"/>
                    </w:rPr>
                    <w:t>0</w:t>
                  </w:r>
                  <w:r>
                    <w:rPr>
                      <w:rFonts w:hint="default" w:ascii="Times New Roman" w:hAnsi="Times New Roman" w:eastAsia="宋体" w:cs="Times New Roman"/>
                      <w:color w:val="auto"/>
                      <w:szCs w:val="21"/>
                      <w:lang w:val="en-US" w:eastAsia="zh-CN"/>
                    </w:rPr>
                    <w:t>/1</w:t>
                  </w:r>
                </w:p>
              </w:tc>
              <w:tc>
                <w:tcPr>
                  <w:tcW w:w="835" w:type="pct"/>
                  <w:tcBorders>
                    <w:tl2br w:val="nil"/>
                    <w:tr2bl w:val="nil"/>
                  </w:tcBorders>
                  <w:noWrap w:val="0"/>
                  <w:vAlign w:val="center"/>
                </w:tcPr>
                <w:p>
                  <w:pPr>
                    <w:autoSpaceDE w:val="0"/>
                    <w:autoSpaceDN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选用低噪声设备、厂房屏蔽、基础减振</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-51.73</w:t>
                  </w:r>
                </w:p>
              </w:tc>
              <w:tc>
                <w:tcPr>
                  <w:tcW w:w="38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-31.59</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62.5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42.5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710"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6</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风机</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Cs w:val="21"/>
                      <w:lang w:val="en-US" w:eastAsia="zh-CN"/>
                    </w:rPr>
                    <w:t>85/1</w:t>
                  </w:r>
                </w:p>
              </w:tc>
              <w:tc>
                <w:tcPr>
                  <w:tcW w:w="83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基础减震、选用低噪声设备、厂房隔声</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-57.93</w:t>
                  </w:r>
                </w:p>
              </w:tc>
              <w:tc>
                <w:tcPr>
                  <w:tcW w:w="381" w:type="pc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-50.17</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0</w:t>
                  </w:r>
                  <w:r>
                    <w:rPr>
                      <w:rFonts w:hint="default" w:ascii="Times New Roman" w:hAnsi="Times New Roman" w:eastAsia="宋体" w:cs="Times New Roman"/>
                      <w:b w:val="0"/>
                      <w:bCs w:val="0"/>
                      <w:color w:val="auto"/>
                      <w:sz w:val="21"/>
                      <w:szCs w:val="21"/>
                      <w:lang w:val="en-US" w:eastAsia="zh-CN"/>
                    </w:rPr>
                    <w:t>.5</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8</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53</w:t>
                  </w:r>
                  <w:r>
                    <w:rPr>
                      <w:rFonts w:hint="default" w:ascii="Times New Roman" w:hAnsi="Times New Roman" w:eastAsia="宋体" w:cs="Times New Roman"/>
                      <w:b w:val="0"/>
                      <w:bCs w:val="0"/>
                      <w:color w:val="auto"/>
                      <w:sz w:val="21"/>
                      <w:szCs w:val="21"/>
                      <w:lang w:val="en-US" w:eastAsia="zh-CN"/>
                    </w:rPr>
                    <w:t>.5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33</w:t>
                  </w:r>
                  <w:r>
                    <w:rPr>
                      <w:rFonts w:hint="default" w:ascii="Times New Roman" w:hAnsi="Times New Roman" w:eastAsia="宋体" w:cs="Times New Roman"/>
                      <w:b w:val="0"/>
                      <w:bCs w:val="0"/>
                      <w:color w:val="auto"/>
                      <w:sz w:val="21"/>
                      <w:szCs w:val="21"/>
                      <w:lang w:val="en-US" w:eastAsia="zh-CN"/>
                    </w:rPr>
                    <w:t>.5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1m</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617" w:hRule="atLeast"/>
                <w:jc w:val="center"/>
              </w:trPr>
              <w:tc>
                <w:tcPr>
                  <w:tcW w:w="212"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7</w:t>
                  </w:r>
                </w:p>
              </w:tc>
              <w:tc>
                <w:tcPr>
                  <w:tcW w:w="299" w:type="pct"/>
                  <w:tcBorders>
                    <w:tl2br w:val="nil"/>
                    <w:tr2bl w:val="nil"/>
                  </w:tcBorders>
                  <w:noWrap w:val="0"/>
                  <w:vAlign w:val="center"/>
                </w:tcPr>
                <w:p>
                  <w:pPr>
                    <w:widowControl/>
                    <w:autoSpaceDE w:val="0"/>
                    <w:autoSpaceDN w:val="0"/>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泵类</w:t>
                  </w:r>
                </w:p>
              </w:tc>
              <w:tc>
                <w:tcPr>
                  <w:tcW w:w="653" w:type="pct"/>
                  <w:tcBorders>
                    <w:tl2br w:val="nil"/>
                    <w:tr2bl w:val="nil"/>
                  </w:tcBorders>
                  <w:noWrap w:val="0"/>
                  <w:vAlign w:val="center"/>
                </w:tcPr>
                <w:p>
                  <w:pPr>
                    <w:pStyle w:val="19"/>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szCs w:val="21"/>
                      <w:lang w:val="en-US" w:eastAsia="zh-CN"/>
                    </w:rPr>
                    <w:t>85</w:t>
                  </w:r>
                  <w:r>
                    <w:rPr>
                      <w:rFonts w:hint="default" w:ascii="Times New Roman" w:hAnsi="Times New Roman" w:eastAsia="宋体" w:cs="Times New Roman"/>
                      <w:color w:val="auto"/>
                      <w:szCs w:val="21"/>
                      <w:lang w:val="en-US" w:eastAsia="zh-CN"/>
                    </w:rPr>
                    <w:t>/1</w:t>
                  </w:r>
                </w:p>
              </w:tc>
              <w:tc>
                <w:tcPr>
                  <w:tcW w:w="83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基础减震、选用低噪声设备、厂房隔声</w:t>
                  </w:r>
                </w:p>
              </w:tc>
              <w:tc>
                <w:tcPr>
                  <w:tcW w:w="32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-42.54</w:t>
                  </w:r>
                </w:p>
              </w:tc>
              <w:tc>
                <w:tcPr>
                  <w:tcW w:w="38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-14.21</w:t>
                  </w:r>
                </w:p>
              </w:tc>
              <w:tc>
                <w:tcPr>
                  <w:tcW w:w="308"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0.5</w:t>
                  </w:r>
                </w:p>
              </w:tc>
              <w:tc>
                <w:tcPr>
                  <w:tcW w:w="390"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w:t>
                  </w:r>
                </w:p>
              </w:tc>
              <w:tc>
                <w:tcPr>
                  <w:tcW w:w="353"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6</w:t>
                  </w:r>
                  <w:r>
                    <w:rPr>
                      <w:rFonts w:hint="eastAsia" w:ascii="Times New Roman" w:hAnsi="Times New Roman" w:cs="Times New Roman"/>
                      <w:b w:val="0"/>
                      <w:bCs w:val="0"/>
                      <w:color w:val="auto"/>
                      <w:sz w:val="21"/>
                      <w:szCs w:val="21"/>
                      <w:lang w:val="en-US" w:eastAsia="zh-CN"/>
                    </w:rPr>
                    <w:t>3</w:t>
                  </w:r>
                  <w:r>
                    <w:rPr>
                      <w:rFonts w:hint="default" w:ascii="Times New Roman" w:hAnsi="Times New Roman" w:eastAsia="宋体" w:cs="Times New Roman"/>
                      <w:b w:val="0"/>
                      <w:bCs w:val="0"/>
                      <w:color w:val="auto"/>
                      <w:sz w:val="21"/>
                      <w:szCs w:val="21"/>
                      <w:lang w:val="en-US" w:eastAsia="zh-CN"/>
                    </w:rPr>
                    <w:t>.5</w:t>
                  </w:r>
                </w:p>
              </w:tc>
              <w:tc>
                <w:tcPr>
                  <w:tcW w:w="311"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连续</w:t>
                  </w:r>
                </w:p>
              </w:tc>
              <w:tc>
                <w:tcPr>
                  <w:tcW w:w="307"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0"/>
                      <w:sz w:val="21"/>
                      <w:szCs w:val="21"/>
                      <w:lang w:val="en-US" w:eastAsia="zh-CN" w:bidi="zh-CN"/>
                    </w:rPr>
                  </w:pPr>
                  <w:r>
                    <w:rPr>
                      <w:rFonts w:hint="eastAsia" w:ascii="Times New Roman" w:hAnsi="Times New Roman" w:cs="Times New Roman"/>
                      <w:b w:val="0"/>
                      <w:bCs w:val="0"/>
                      <w:color w:val="auto"/>
                      <w:kern w:val="0"/>
                      <w:sz w:val="21"/>
                      <w:szCs w:val="21"/>
                      <w:lang w:val="en-US" w:eastAsia="zh-CN" w:bidi="zh-CN"/>
                    </w:rPr>
                    <w:t>20</w:t>
                  </w:r>
                </w:p>
              </w:tc>
              <w:tc>
                <w:tcPr>
                  <w:tcW w:w="315"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cs="Times New Roman"/>
                      <w:b w:val="0"/>
                      <w:bCs w:val="0"/>
                      <w:color w:val="auto"/>
                      <w:sz w:val="21"/>
                      <w:szCs w:val="21"/>
                      <w:lang w:val="en-US" w:eastAsia="zh-CN"/>
                    </w:rPr>
                    <w:t>43</w:t>
                  </w:r>
                  <w:r>
                    <w:rPr>
                      <w:rFonts w:hint="default" w:ascii="Times New Roman" w:hAnsi="Times New Roman" w:eastAsia="宋体" w:cs="Times New Roman"/>
                      <w:b w:val="0"/>
                      <w:bCs w:val="0"/>
                      <w:color w:val="auto"/>
                      <w:sz w:val="21"/>
                      <w:szCs w:val="21"/>
                      <w:lang w:val="en-US" w:eastAsia="zh-CN"/>
                    </w:rPr>
                    <w:t>.5</w:t>
                  </w:r>
                </w:p>
              </w:tc>
              <w:tc>
                <w:tcPr>
                  <w:tcW w:w="304" w:type="pct"/>
                  <w:tcBorders>
                    <w:tl2br w:val="nil"/>
                    <w:tr2bl w:val="nil"/>
                  </w:tcBorders>
                  <w:noWrap w:val="0"/>
                  <w:vAlign w:val="center"/>
                </w:tcPr>
                <w:p>
                  <w:pPr>
                    <w:pStyle w:val="68"/>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1m</w:t>
                  </w:r>
                </w:p>
              </w:tc>
            </w:tr>
          </w:tbl>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1、污染源强及污染防治措施</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本项目运营期噪声源主要有</w:t>
            </w:r>
            <w:r>
              <w:rPr>
                <w:rFonts w:hint="default" w:ascii="Times New Roman" w:hAnsi="Times New Roman" w:eastAsia="宋体" w:cs="Times New Roman"/>
                <w:b w:val="0"/>
                <w:bCs w:val="0"/>
                <w:color w:val="auto"/>
                <w:sz w:val="24"/>
                <w:szCs w:val="24"/>
                <w:lang w:val="en-US" w:eastAsia="zh-CN"/>
              </w:rPr>
              <w:t>导热油炉、配料罐</w:t>
            </w:r>
            <w:r>
              <w:rPr>
                <w:rFonts w:hint="default" w:ascii="Times New Roman" w:hAnsi="Times New Roman" w:eastAsia="宋体" w:cs="Times New Roman"/>
                <w:b w:val="0"/>
                <w:bCs w:val="0"/>
                <w:color w:val="auto"/>
                <w:sz w:val="24"/>
                <w:szCs w:val="24"/>
              </w:rPr>
              <w:t>、</w:t>
            </w:r>
            <w:r>
              <w:rPr>
                <w:rFonts w:hint="default" w:ascii="Times New Roman" w:hAnsi="Times New Roman" w:eastAsia="宋体" w:cs="Times New Roman"/>
                <w:b w:val="0"/>
                <w:bCs w:val="0"/>
                <w:color w:val="auto"/>
                <w:sz w:val="24"/>
                <w:szCs w:val="24"/>
                <w:lang w:val="en-US" w:eastAsia="zh-CN"/>
              </w:rPr>
              <w:t>烘干机</w:t>
            </w:r>
            <w:r>
              <w:rPr>
                <w:rFonts w:hint="default" w:ascii="Times New Roman" w:hAnsi="Times New Roman" w:eastAsia="宋体" w:cs="Times New Roman"/>
                <w:b w:val="0"/>
                <w:bCs w:val="0"/>
                <w:color w:val="auto"/>
                <w:sz w:val="24"/>
                <w:szCs w:val="24"/>
              </w:rPr>
              <w:t>、风机、泵类等，其噪声声级在80～95dB(A)之间。</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已有措施：本项目采取的噪声防治措施如下：</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①从声源方面进行控制：选用低噪设备，对于机械振动型设备，安装减震基础；</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②加强设备维护使之处于良好运转状态，降低设备噪声；</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③从传播过程中控制：主要产噪设备均布置在车间内，利用房间进行隔声，减少噪声传播；</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④加强绿化，在厂界及生产车间周围种植花草树木，采用高低搭配，形成多层绿化林带，可以有效的阻止噪声传播。</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⑤合理布置平面布局，强噪声设备和物料运输道路的布置远离附近村庄。</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⑤加强人工作业过程中的管理，规范员工操作，避免不必要的噪声产生。</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通过上述防治措施后可有效降低噪声值</w:t>
            </w:r>
            <w:r>
              <w:rPr>
                <w:rFonts w:hint="eastAsia" w:ascii="Times New Roman" w:hAnsi="Times New Roman" w:eastAsia="宋体" w:cs="Times New Roman"/>
                <w:b w:val="0"/>
                <w:bCs w:val="0"/>
                <w:color w:val="auto"/>
                <w:spacing w:val="4"/>
                <w:sz w:val="24"/>
                <w:szCs w:val="24"/>
                <w:lang w:val="en-US" w:eastAsia="zh-CN"/>
              </w:rPr>
              <w:t>20</w:t>
            </w:r>
            <w:r>
              <w:rPr>
                <w:rFonts w:hint="default" w:ascii="Times New Roman" w:hAnsi="Times New Roman" w:eastAsia="宋体" w:cs="Times New Roman"/>
                <w:b w:val="0"/>
                <w:bCs w:val="0"/>
                <w:color w:val="auto"/>
                <w:spacing w:val="4"/>
                <w:sz w:val="24"/>
                <w:szCs w:val="24"/>
              </w:rPr>
              <w:t>dB(A)</w:t>
            </w:r>
            <w:r>
              <w:rPr>
                <w:rFonts w:hint="eastAsia" w:ascii="Times New Roman" w:hAnsi="Times New Roman" w:eastAsia="宋体" w:cs="Times New Roman"/>
                <w:b w:val="0"/>
                <w:bCs w:val="0"/>
                <w:color w:val="auto"/>
                <w:spacing w:val="4"/>
                <w:sz w:val="24"/>
                <w:szCs w:val="24"/>
                <w:lang w:val="en-US" w:eastAsia="zh-CN"/>
              </w:rPr>
              <w:t>左右</w:t>
            </w:r>
            <w:r>
              <w:rPr>
                <w:rFonts w:hint="default" w:ascii="Times New Roman" w:hAnsi="Times New Roman" w:eastAsia="宋体" w:cs="Times New Roman"/>
                <w:b w:val="0"/>
                <w:bCs w:val="0"/>
                <w:color w:val="auto"/>
                <w:spacing w:val="4"/>
                <w:sz w:val="24"/>
                <w:szCs w:val="24"/>
              </w:rPr>
              <w:t>。</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2、噪声影响预测</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z w:val="24"/>
                <w:szCs w:val="24"/>
              </w:rPr>
              <w:t>根据本次建设项目声源的噪声排放特点，</w:t>
            </w:r>
            <w:bookmarkStart w:id="8" w:name="_Toc90519640"/>
            <w:bookmarkStart w:id="9" w:name="_Toc185247577"/>
            <w:bookmarkStart w:id="10" w:name="_Toc212375872"/>
            <w:bookmarkStart w:id="11" w:name="_Toc187285061"/>
            <w:bookmarkStart w:id="12" w:name="_Toc214207052"/>
            <w:bookmarkStart w:id="13" w:name="_Toc168481772"/>
            <w:bookmarkStart w:id="14" w:name="_Toc193508521"/>
            <w:r>
              <w:rPr>
                <w:rFonts w:hint="default" w:ascii="Times New Roman" w:hAnsi="Times New Roman" w:eastAsia="宋体" w:cs="Times New Roman"/>
                <w:b w:val="0"/>
                <w:bCs w:val="0"/>
                <w:color w:val="auto"/>
                <w:spacing w:val="4"/>
                <w:sz w:val="24"/>
                <w:szCs w:val="24"/>
                <w:highlight w:val="none"/>
              </w:rPr>
              <w:t>本</w:t>
            </w:r>
            <w:bookmarkEnd w:id="8"/>
            <w:bookmarkEnd w:id="9"/>
            <w:bookmarkEnd w:id="10"/>
            <w:bookmarkEnd w:id="11"/>
            <w:bookmarkEnd w:id="12"/>
            <w:bookmarkEnd w:id="13"/>
            <w:bookmarkEnd w:id="14"/>
            <w:r>
              <w:rPr>
                <w:rFonts w:hint="default" w:ascii="Times New Roman" w:hAnsi="Times New Roman" w:eastAsia="宋体" w:cs="Times New Roman"/>
                <w:b w:val="0"/>
                <w:bCs w:val="0"/>
                <w:color w:val="auto"/>
                <w:spacing w:val="4"/>
                <w:sz w:val="24"/>
                <w:szCs w:val="24"/>
                <w:highlight w:val="none"/>
              </w:rPr>
              <w:t>次预测采用《环境影响评价技术导则—声环境》（HJ2.4—</w:t>
            </w:r>
            <w:r>
              <w:rPr>
                <w:rFonts w:hint="default" w:ascii="Times New Roman" w:hAnsi="Times New Roman" w:eastAsia="宋体" w:cs="Times New Roman"/>
                <w:b w:val="0"/>
                <w:bCs w:val="0"/>
                <w:color w:val="auto"/>
                <w:spacing w:val="4"/>
                <w:sz w:val="24"/>
                <w:szCs w:val="24"/>
                <w:highlight w:val="none"/>
                <w:lang w:val="en-US" w:eastAsia="zh-CN"/>
              </w:rPr>
              <w:t>2021</w:t>
            </w:r>
            <w:r>
              <w:rPr>
                <w:rFonts w:hint="default" w:ascii="Times New Roman" w:hAnsi="Times New Roman" w:eastAsia="宋体" w:cs="Times New Roman"/>
                <w:b w:val="0"/>
                <w:bCs w:val="0"/>
                <w:color w:val="auto"/>
                <w:spacing w:val="4"/>
                <w:sz w:val="24"/>
                <w:szCs w:val="24"/>
                <w:highlight w:val="none"/>
              </w:rPr>
              <w:t>）中附录A.1推荐的工业噪声预测计算模式：</w:t>
            </w:r>
          </w:p>
          <w:p>
            <w:pPr>
              <w:keepNext w:val="0"/>
              <w:keepLines w:val="0"/>
              <w:pageBreakBefore w:val="0"/>
              <w:widowControl/>
              <w:suppressLineNumbers w:val="0"/>
              <w:kinsoku/>
              <w:wordWrap/>
              <w:overflowPunct/>
              <w:topLinePunct w:val="0"/>
              <w:autoSpaceDE/>
              <w:autoSpaceDN/>
              <w:bidi w:val="0"/>
              <w:spacing w:line="480" w:lineRule="exact"/>
              <w:ind w:firstLine="496" w:firstLineChars="200"/>
              <w:jc w:val="left"/>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spacing w:val="4"/>
                <w:sz w:val="24"/>
                <w:szCs w:val="24"/>
                <w:highlight w:val="none"/>
                <w:lang w:val="en-US" w:eastAsia="zh-CN"/>
              </w:rPr>
              <w:t>⑴</w:t>
            </w:r>
            <w:r>
              <w:rPr>
                <w:rFonts w:hint="default" w:ascii="Times New Roman" w:hAnsi="Times New Roman" w:eastAsia="宋体" w:cs="Times New Roman"/>
                <w:b w:val="0"/>
                <w:bCs w:val="0"/>
                <w:color w:val="auto"/>
                <w:kern w:val="0"/>
                <w:sz w:val="24"/>
                <w:szCs w:val="24"/>
                <w:lang w:val="en-US" w:eastAsia="zh-CN" w:bidi="ar"/>
              </w:rPr>
              <w:t xml:space="preserve">室外点声源噪声计算公式 </w:t>
            </w:r>
          </w:p>
          <w:p>
            <w:pPr>
              <w:keepNext w:val="0"/>
              <w:keepLines w:val="0"/>
              <w:pageBreakBefore w:val="0"/>
              <w:widowControl w:val="0"/>
              <w:tabs>
                <w:tab w:val="left" w:pos="6290"/>
              </w:tabs>
              <w:kinsoku/>
              <w:wordWrap/>
              <w:overflowPunct/>
              <w:topLinePunct w:val="0"/>
              <w:autoSpaceDE/>
              <w:autoSpaceDN/>
              <w:bidi w:val="0"/>
              <w:adjustRightInd w:val="0"/>
              <w:snapToGrid w:val="0"/>
              <w:spacing w:line="480" w:lineRule="exact"/>
              <w:ind w:firstLine="496"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pict>
                <v:shape id="对象 67" o:spid="_x0000_s1163" o:spt="75" type="#_x0000_t75" style="position:absolute;left:0pt;margin-left:74.6pt;margin-top:7.5pt;height:19pt;width:255.3pt;z-index:251683840;mso-width-relative:page;mso-height-relative:page;" o:ole="t" filled="f" o:preferrelative="t" stroked="f" coordsize="21600,21600">
                  <v:path/>
                  <v:fill on="f" focussize="0,0"/>
                  <v:stroke on="f"/>
                  <v:imagedata r:id="rId31" o:title=""/>
                  <o:lock v:ext="edit" aspectratio="t"/>
                </v:shape>
                <o:OLEObject Type="Embed" ProgID="Equation.3" ShapeID="对象 67" DrawAspect="Content" ObjectID="_1468075726" r:id="rId30">
                  <o:LockedField>false</o:LockedField>
                </o:OLEObject>
              </w:pict>
            </w:r>
            <w:r>
              <w:rPr>
                <w:rFonts w:hint="default" w:ascii="Times New Roman" w:hAnsi="Times New Roman" w:eastAsia="宋体" w:cs="Times New Roman"/>
                <w:b w:val="0"/>
                <w:bCs w:val="0"/>
                <w:color w:val="auto"/>
                <w:spacing w:val="4"/>
                <w:sz w:val="24"/>
                <w:szCs w:val="24"/>
                <w:highlight w:val="none"/>
              </w:rPr>
              <w:tab/>
            </w:r>
          </w:p>
          <w:p>
            <w:pPr>
              <w:adjustRightInd w:val="0"/>
              <w:snapToGrid w:val="0"/>
              <w:spacing w:line="480" w:lineRule="exact"/>
              <w:ind w:firstLine="496" w:firstLineChars="2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式中：</w:t>
            </w:r>
            <w:r>
              <w:rPr>
                <w:rFonts w:hint="default" w:ascii="Times New Roman" w:hAnsi="Times New Roman" w:eastAsia="宋体" w:cs="Times New Roman"/>
                <w:b w:val="0"/>
                <w:bCs w:val="0"/>
                <w:i/>
                <w:color w:val="auto"/>
                <w:spacing w:val="4"/>
                <w:sz w:val="24"/>
                <w:szCs w:val="24"/>
                <w:highlight w:val="none"/>
              </w:rPr>
              <w:t>L</w:t>
            </w:r>
            <w:r>
              <w:rPr>
                <w:rFonts w:hint="default" w:ascii="Times New Roman" w:hAnsi="Times New Roman" w:eastAsia="宋体" w:cs="Times New Roman"/>
                <w:b w:val="0"/>
                <w:bCs w:val="0"/>
                <w:i/>
                <w:color w:val="auto"/>
                <w:spacing w:val="4"/>
                <w:sz w:val="24"/>
                <w:szCs w:val="24"/>
                <w:highlight w:val="none"/>
                <w:vertAlign w:val="subscript"/>
                <w:lang w:val="en-US" w:eastAsia="zh-CN"/>
              </w:rPr>
              <w:t>p</w:t>
            </w:r>
            <w:r>
              <w:rPr>
                <w:rFonts w:hint="default" w:ascii="Times New Roman" w:hAnsi="Times New Roman" w:eastAsia="宋体" w:cs="Times New Roman"/>
                <w:b w:val="0"/>
                <w:bCs w:val="0"/>
                <w:color w:val="auto"/>
                <w:spacing w:val="4"/>
                <w:sz w:val="24"/>
                <w:szCs w:val="24"/>
                <w:highlight w:val="none"/>
              </w:rPr>
              <w:t>（r）——</w:t>
            </w:r>
            <w:r>
              <w:rPr>
                <w:rFonts w:hint="default" w:ascii="Times New Roman" w:hAnsi="Times New Roman" w:eastAsia="宋体" w:cs="Times New Roman"/>
                <w:b w:val="0"/>
                <w:bCs w:val="0"/>
                <w:color w:val="auto"/>
                <w:spacing w:val="4"/>
                <w:sz w:val="24"/>
                <w:szCs w:val="24"/>
                <w:highlight w:val="none"/>
                <w:lang w:val="en-US" w:eastAsia="zh-CN"/>
              </w:rPr>
              <w:t>预测点处</w:t>
            </w:r>
            <w:r>
              <w:rPr>
                <w:rFonts w:hint="default" w:ascii="Times New Roman" w:hAnsi="Times New Roman" w:eastAsia="宋体" w:cs="Times New Roman"/>
                <w:b w:val="0"/>
                <w:bCs w:val="0"/>
                <w:color w:val="auto"/>
                <w:spacing w:val="4"/>
                <w:sz w:val="24"/>
                <w:szCs w:val="24"/>
                <w:highlight w:val="none"/>
              </w:rPr>
              <w:t>A声压级，dB；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i/>
                <w:color w:val="auto"/>
                <w:spacing w:val="4"/>
                <w:sz w:val="24"/>
                <w:szCs w:val="24"/>
                <w:highlight w:val="none"/>
              </w:rPr>
              <w:t>L</w:t>
            </w:r>
            <w:r>
              <w:rPr>
                <w:rFonts w:hint="default" w:ascii="Times New Roman" w:hAnsi="Times New Roman" w:eastAsia="宋体" w:cs="Times New Roman"/>
                <w:b w:val="0"/>
                <w:bCs w:val="0"/>
                <w:i/>
                <w:color w:val="auto"/>
                <w:spacing w:val="4"/>
                <w:sz w:val="24"/>
                <w:szCs w:val="24"/>
                <w:highlight w:val="none"/>
                <w:vertAlign w:val="subscript"/>
                <w:lang w:val="en-US" w:eastAsia="zh-CN"/>
              </w:rPr>
              <w:t>p</w:t>
            </w:r>
            <w:r>
              <w:rPr>
                <w:rFonts w:hint="default" w:ascii="Times New Roman" w:hAnsi="Times New Roman" w:eastAsia="宋体" w:cs="Times New Roman"/>
                <w:b w:val="0"/>
                <w:bCs w:val="0"/>
                <w:color w:val="auto"/>
                <w:spacing w:val="4"/>
                <w:sz w:val="24"/>
                <w:szCs w:val="24"/>
                <w:highlight w:val="none"/>
              </w:rPr>
              <w:t>（r</w:t>
            </w:r>
            <w:r>
              <w:rPr>
                <w:rFonts w:hint="default" w:ascii="Times New Roman" w:hAnsi="Times New Roman" w:eastAsia="宋体" w:cs="Times New Roman"/>
                <w:b w:val="0"/>
                <w:bCs w:val="0"/>
                <w:color w:val="auto"/>
                <w:spacing w:val="4"/>
                <w:sz w:val="24"/>
                <w:szCs w:val="24"/>
                <w:highlight w:val="none"/>
                <w:vertAlign w:val="subscript"/>
              </w:rPr>
              <w:t>0</w:t>
            </w:r>
            <w:r>
              <w:rPr>
                <w:rFonts w:hint="default" w:ascii="Times New Roman" w:hAnsi="Times New Roman" w:eastAsia="宋体" w:cs="Times New Roman"/>
                <w:b w:val="0"/>
                <w:bCs w:val="0"/>
                <w:color w:val="auto"/>
                <w:spacing w:val="4"/>
                <w:sz w:val="24"/>
                <w:szCs w:val="24"/>
                <w:highlight w:val="none"/>
              </w:rPr>
              <w:t>）——参考位置r</w:t>
            </w:r>
            <w:r>
              <w:rPr>
                <w:rFonts w:hint="default" w:ascii="Times New Roman" w:hAnsi="Times New Roman" w:eastAsia="宋体" w:cs="Times New Roman"/>
                <w:b w:val="0"/>
                <w:bCs w:val="0"/>
                <w:color w:val="auto"/>
                <w:spacing w:val="4"/>
                <w:sz w:val="24"/>
                <w:szCs w:val="24"/>
                <w:highlight w:val="none"/>
                <w:vertAlign w:val="subscript"/>
              </w:rPr>
              <w:t>0</w:t>
            </w:r>
            <w:r>
              <w:rPr>
                <w:rFonts w:hint="default" w:ascii="Times New Roman" w:hAnsi="Times New Roman" w:eastAsia="宋体" w:cs="Times New Roman"/>
                <w:b w:val="0"/>
                <w:bCs w:val="0"/>
                <w:color w:val="auto"/>
                <w:spacing w:val="4"/>
                <w:sz w:val="24"/>
                <w:szCs w:val="24"/>
                <w:highlight w:val="none"/>
              </w:rPr>
              <w:t>处的A声压级，dB；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lang w:val="en-US" w:eastAsia="zh-CN"/>
              </w:rPr>
            </w:pPr>
            <w:r>
              <w:rPr>
                <w:rFonts w:hint="default" w:ascii="Times New Roman" w:hAnsi="Times New Roman" w:eastAsia="宋体" w:cs="Times New Roman"/>
                <w:b w:val="0"/>
                <w:bCs w:val="0"/>
                <w:color w:val="auto"/>
                <w:spacing w:val="4"/>
                <w:sz w:val="24"/>
                <w:szCs w:val="24"/>
                <w:highlight w:val="none"/>
                <w:lang w:val="en-US" w:eastAsia="zh-CN"/>
              </w:rPr>
              <w:t>Dc—指向性校正，</w:t>
            </w:r>
            <w:r>
              <w:rPr>
                <w:rFonts w:hint="default" w:ascii="Times New Roman" w:hAnsi="Times New Roman" w:eastAsia="宋体" w:cs="Times New Roman"/>
                <w:b w:val="0"/>
                <w:bCs w:val="0"/>
                <w:color w:val="auto"/>
                <w:spacing w:val="4"/>
                <w:sz w:val="24"/>
                <w:szCs w:val="24"/>
                <w:highlight w:val="none"/>
              </w:rPr>
              <w:t>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A</w:t>
            </w:r>
            <w:r>
              <w:rPr>
                <w:rFonts w:hint="default" w:ascii="Times New Roman" w:hAnsi="Times New Roman" w:eastAsia="宋体" w:cs="Times New Roman"/>
                <w:b w:val="0"/>
                <w:bCs w:val="0"/>
                <w:color w:val="auto"/>
                <w:spacing w:val="4"/>
                <w:sz w:val="24"/>
                <w:szCs w:val="24"/>
                <w:highlight w:val="none"/>
                <w:vertAlign w:val="subscript"/>
              </w:rPr>
              <w:t>div</w:t>
            </w:r>
            <w:r>
              <w:rPr>
                <w:rFonts w:hint="default" w:ascii="Times New Roman" w:hAnsi="Times New Roman" w:eastAsia="宋体" w:cs="Times New Roman"/>
                <w:b w:val="0"/>
                <w:bCs w:val="0"/>
                <w:color w:val="auto"/>
                <w:spacing w:val="4"/>
                <w:sz w:val="24"/>
                <w:szCs w:val="24"/>
                <w:highlight w:val="none"/>
                <w:lang w:val="en-US" w:eastAsia="zh-CN"/>
              </w:rPr>
              <w:t>—</w:t>
            </w:r>
            <w:r>
              <w:rPr>
                <w:rFonts w:hint="default" w:ascii="Times New Roman" w:hAnsi="Times New Roman" w:eastAsia="宋体" w:cs="Times New Roman"/>
                <w:b w:val="0"/>
                <w:bCs w:val="0"/>
                <w:color w:val="auto"/>
                <w:spacing w:val="4"/>
                <w:sz w:val="24"/>
                <w:szCs w:val="24"/>
                <w:highlight w:val="none"/>
              </w:rPr>
              <w:t>几何发散引起的衰减，dB；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A</w:t>
            </w:r>
            <w:r>
              <w:rPr>
                <w:rFonts w:hint="default" w:ascii="Times New Roman" w:hAnsi="Times New Roman" w:eastAsia="宋体" w:cs="Times New Roman"/>
                <w:b w:val="0"/>
                <w:bCs w:val="0"/>
                <w:color w:val="auto"/>
                <w:spacing w:val="4"/>
                <w:sz w:val="24"/>
                <w:szCs w:val="24"/>
                <w:highlight w:val="none"/>
                <w:vertAlign w:val="subscript"/>
              </w:rPr>
              <w:t>atm</w:t>
            </w:r>
            <w:r>
              <w:rPr>
                <w:rFonts w:hint="default" w:ascii="Times New Roman" w:hAnsi="Times New Roman" w:eastAsia="宋体" w:cs="Times New Roman"/>
                <w:b w:val="0"/>
                <w:bCs w:val="0"/>
                <w:color w:val="auto"/>
                <w:spacing w:val="4"/>
                <w:sz w:val="24"/>
                <w:szCs w:val="24"/>
                <w:highlight w:val="none"/>
                <w:lang w:val="en-US" w:eastAsia="zh-CN"/>
              </w:rPr>
              <w:t>—</w:t>
            </w:r>
            <w:r>
              <w:rPr>
                <w:rFonts w:hint="default" w:ascii="Times New Roman" w:hAnsi="Times New Roman" w:eastAsia="宋体" w:cs="Times New Roman"/>
                <w:b w:val="0"/>
                <w:bCs w:val="0"/>
                <w:color w:val="auto"/>
                <w:spacing w:val="4"/>
                <w:sz w:val="24"/>
                <w:szCs w:val="24"/>
                <w:highlight w:val="none"/>
              </w:rPr>
              <w:t>大气吸收引起的衰减，dB；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A</w:t>
            </w:r>
            <w:r>
              <w:rPr>
                <w:rFonts w:hint="default" w:ascii="Times New Roman" w:hAnsi="Times New Roman" w:eastAsia="宋体" w:cs="Times New Roman"/>
                <w:b w:val="0"/>
                <w:bCs w:val="0"/>
                <w:color w:val="auto"/>
                <w:spacing w:val="4"/>
                <w:sz w:val="24"/>
                <w:szCs w:val="24"/>
                <w:highlight w:val="none"/>
                <w:vertAlign w:val="subscript"/>
              </w:rPr>
              <w:t>gr</w:t>
            </w:r>
            <w:r>
              <w:rPr>
                <w:rFonts w:hint="default" w:ascii="Times New Roman" w:hAnsi="Times New Roman" w:eastAsia="宋体" w:cs="Times New Roman"/>
                <w:b w:val="0"/>
                <w:bCs w:val="0"/>
                <w:color w:val="auto"/>
                <w:spacing w:val="4"/>
                <w:sz w:val="24"/>
                <w:szCs w:val="24"/>
                <w:highlight w:val="none"/>
                <w:lang w:val="en-US" w:eastAsia="zh-CN"/>
              </w:rPr>
              <w:t>—</w:t>
            </w:r>
            <w:r>
              <w:rPr>
                <w:rFonts w:hint="default" w:ascii="Times New Roman" w:hAnsi="Times New Roman" w:eastAsia="宋体" w:cs="Times New Roman"/>
                <w:b w:val="0"/>
                <w:bCs w:val="0"/>
                <w:color w:val="auto"/>
                <w:spacing w:val="4"/>
                <w:sz w:val="24"/>
                <w:szCs w:val="24"/>
                <w:highlight w:val="none"/>
              </w:rPr>
              <w:t>地面效应引起的衰减，dB；</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A</w:t>
            </w:r>
            <w:r>
              <w:rPr>
                <w:rFonts w:hint="default" w:ascii="Times New Roman" w:hAnsi="Times New Roman" w:eastAsia="宋体" w:cs="Times New Roman"/>
                <w:b w:val="0"/>
                <w:bCs w:val="0"/>
                <w:color w:val="auto"/>
                <w:spacing w:val="4"/>
                <w:sz w:val="24"/>
                <w:szCs w:val="24"/>
                <w:highlight w:val="none"/>
                <w:vertAlign w:val="subscript"/>
              </w:rPr>
              <w:t>bar</w:t>
            </w:r>
            <w:r>
              <w:rPr>
                <w:rFonts w:hint="default" w:ascii="Times New Roman" w:hAnsi="Times New Roman" w:eastAsia="宋体" w:cs="Times New Roman"/>
                <w:b w:val="0"/>
                <w:bCs w:val="0"/>
                <w:color w:val="auto"/>
                <w:spacing w:val="4"/>
                <w:sz w:val="24"/>
                <w:szCs w:val="24"/>
                <w:highlight w:val="none"/>
                <w:lang w:val="en-US" w:eastAsia="zh-CN"/>
              </w:rPr>
              <w:t>—障碍物屏蔽</w:t>
            </w:r>
            <w:r>
              <w:rPr>
                <w:rFonts w:hint="default" w:ascii="Times New Roman" w:hAnsi="Times New Roman" w:eastAsia="宋体" w:cs="Times New Roman"/>
                <w:b w:val="0"/>
                <w:bCs w:val="0"/>
                <w:color w:val="auto"/>
                <w:spacing w:val="4"/>
                <w:sz w:val="24"/>
                <w:szCs w:val="24"/>
                <w:highlight w:val="none"/>
              </w:rPr>
              <w:t>引起的衰减，dB（A）；</w:t>
            </w:r>
          </w:p>
          <w:p>
            <w:pPr>
              <w:adjustRightInd w:val="0"/>
              <w:snapToGrid w:val="0"/>
              <w:spacing w:line="480" w:lineRule="exact"/>
              <w:ind w:firstLine="1240" w:firstLineChars="50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A</w:t>
            </w:r>
            <w:r>
              <w:rPr>
                <w:rFonts w:hint="default" w:ascii="Times New Roman" w:hAnsi="Times New Roman" w:eastAsia="宋体" w:cs="Times New Roman"/>
                <w:b w:val="0"/>
                <w:bCs w:val="0"/>
                <w:color w:val="auto"/>
                <w:spacing w:val="4"/>
                <w:sz w:val="24"/>
                <w:szCs w:val="24"/>
                <w:highlight w:val="none"/>
                <w:vertAlign w:val="subscript"/>
              </w:rPr>
              <w:t>misc</w:t>
            </w:r>
            <w:r>
              <w:rPr>
                <w:rFonts w:hint="default" w:ascii="Times New Roman" w:hAnsi="Times New Roman" w:eastAsia="宋体" w:cs="Times New Roman"/>
                <w:b w:val="0"/>
                <w:bCs w:val="0"/>
                <w:color w:val="auto"/>
                <w:spacing w:val="4"/>
                <w:sz w:val="24"/>
                <w:szCs w:val="24"/>
                <w:highlight w:val="none"/>
                <w:lang w:val="en-US" w:eastAsia="zh-CN"/>
              </w:rPr>
              <w:t>—</w:t>
            </w:r>
            <w:r>
              <w:rPr>
                <w:rFonts w:hint="default" w:ascii="Times New Roman" w:hAnsi="Times New Roman" w:eastAsia="宋体" w:cs="Times New Roman"/>
                <w:b w:val="0"/>
                <w:bCs w:val="0"/>
                <w:color w:val="auto"/>
                <w:spacing w:val="4"/>
                <w:sz w:val="24"/>
                <w:szCs w:val="24"/>
                <w:highlight w:val="none"/>
              </w:rPr>
              <w:t>其他多方面效应引起的衰减，dB（A）；</w:t>
            </w:r>
          </w:p>
          <w:p>
            <w:pPr>
              <w:keepNext w:val="0"/>
              <w:keepLines w:val="0"/>
              <w:pageBreakBefore w:val="0"/>
              <w:widowControl w:val="0"/>
              <w:kinsoku/>
              <w:wordWrap/>
              <w:overflowPunct/>
              <w:topLinePunct w:val="0"/>
              <w:autoSpaceDE/>
              <w:autoSpaceDN/>
              <w:bidi w:val="0"/>
              <w:adjustRightInd w:val="0"/>
              <w:snapToGrid w:val="0"/>
              <w:spacing w:line="480" w:lineRule="exact"/>
              <w:ind w:firstLine="496"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本次噪声预测计算将从偏保守角度出发，仅考虑声波随距离的衰减A</w:t>
            </w:r>
            <w:r>
              <w:rPr>
                <w:rFonts w:hint="default" w:ascii="Times New Roman" w:hAnsi="Times New Roman" w:eastAsia="宋体" w:cs="Times New Roman"/>
                <w:b w:val="0"/>
                <w:bCs w:val="0"/>
                <w:color w:val="auto"/>
                <w:spacing w:val="4"/>
                <w:sz w:val="24"/>
                <w:szCs w:val="24"/>
                <w:highlight w:val="none"/>
                <w:vertAlign w:val="subscript"/>
              </w:rPr>
              <w:t>div</w:t>
            </w:r>
            <w:r>
              <w:rPr>
                <w:rFonts w:hint="default" w:ascii="Times New Roman" w:hAnsi="Times New Roman" w:eastAsia="宋体" w:cs="Times New Roman"/>
                <w:b w:val="0"/>
                <w:bCs w:val="0"/>
                <w:color w:val="auto"/>
                <w:spacing w:val="4"/>
                <w:sz w:val="24"/>
                <w:szCs w:val="24"/>
                <w:highlight w:val="none"/>
              </w:rPr>
              <w:t>，对单个点声源的几何发散衰减用以下公式计算：</w:t>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i/>
                <w:color w:val="auto"/>
                <w:spacing w:val="4"/>
                <w:sz w:val="24"/>
                <w:szCs w:val="24"/>
                <w:highlight w:val="none"/>
              </w:rPr>
              <w:t>L</w:t>
            </w:r>
            <w:r>
              <w:rPr>
                <w:rFonts w:hint="default" w:ascii="Times New Roman" w:hAnsi="Times New Roman" w:eastAsia="宋体" w:cs="Times New Roman"/>
                <w:b w:val="0"/>
                <w:bCs w:val="0"/>
                <w:color w:val="auto"/>
                <w:spacing w:val="4"/>
                <w:sz w:val="24"/>
                <w:szCs w:val="24"/>
                <w:highlight w:val="none"/>
                <w:vertAlign w:val="subscript"/>
              </w:rPr>
              <w:t>A</w:t>
            </w:r>
            <w:r>
              <w:rPr>
                <w:rFonts w:hint="default" w:ascii="Times New Roman" w:hAnsi="Times New Roman" w:eastAsia="宋体" w:cs="Times New Roman"/>
                <w:b w:val="0"/>
                <w:bCs w:val="0"/>
                <w:color w:val="auto"/>
                <w:spacing w:val="4"/>
                <w:sz w:val="24"/>
                <w:szCs w:val="24"/>
                <w:highlight w:val="none"/>
              </w:rPr>
              <w:t>（r）=</w:t>
            </w:r>
            <w:r>
              <w:rPr>
                <w:rFonts w:hint="default" w:ascii="Times New Roman" w:hAnsi="Times New Roman" w:eastAsia="宋体" w:cs="Times New Roman"/>
                <w:b w:val="0"/>
                <w:bCs w:val="0"/>
                <w:i/>
                <w:color w:val="auto"/>
                <w:spacing w:val="4"/>
                <w:sz w:val="24"/>
                <w:szCs w:val="24"/>
                <w:highlight w:val="none"/>
              </w:rPr>
              <w:t>L</w:t>
            </w:r>
            <w:r>
              <w:rPr>
                <w:rFonts w:hint="default" w:ascii="Times New Roman" w:hAnsi="Times New Roman" w:eastAsia="宋体" w:cs="Times New Roman"/>
                <w:b w:val="0"/>
                <w:bCs w:val="0"/>
                <w:color w:val="auto"/>
                <w:spacing w:val="4"/>
                <w:sz w:val="24"/>
                <w:szCs w:val="24"/>
                <w:highlight w:val="none"/>
                <w:vertAlign w:val="subscript"/>
              </w:rPr>
              <w:t>A</w:t>
            </w:r>
            <w:r>
              <w:rPr>
                <w:rFonts w:hint="default" w:ascii="Times New Roman" w:hAnsi="Times New Roman" w:eastAsia="宋体" w:cs="Times New Roman"/>
                <w:b w:val="0"/>
                <w:bCs w:val="0"/>
                <w:color w:val="auto"/>
                <w:spacing w:val="4"/>
                <w:sz w:val="24"/>
                <w:szCs w:val="24"/>
                <w:highlight w:val="none"/>
              </w:rPr>
              <w:t>（r</w:t>
            </w:r>
            <w:r>
              <w:rPr>
                <w:rFonts w:hint="default" w:ascii="Times New Roman" w:hAnsi="Times New Roman" w:eastAsia="宋体" w:cs="Times New Roman"/>
                <w:b w:val="0"/>
                <w:bCs w:val="0"/>
                <w:color w:val="auto"/>
                <w:spacing w:val="4"/>
                <w:sz w:val="24"/>
                <w:szCs w:val="24"/>
                <w:highlight w:val="none"/>
                <w:vertAlign w:val="subscript"/>
              </w:rPr>
              <w:t>0</w:t>
            </w:r>
            <w:r>
              <w:rPr>
                <w:rFonts w:hint="default" w:ascii="Times New Roman" w:hAnsi="Times New Roman" w:eastAsia="宋体" w:cs="Times New Roman"/>
                <w:b w:val="0"/>
                <w:bCs w:val="0"/>
                <w:color w:val="auto"/>
                <w:spacing w:val="4"/>
                <w:sz w:val="24"/>
                <w:szCs w:val="24"/>
                <w:highlight w:val="none"/>
              </w:rPr>
              <w:t>）－20lg（r/r</w:t>
            </w:r>
            <w:r>
              <w:rPr>
                <w:rFonts w:hint="default" w:ascii="Times New Roman" w:hAnsi="Times New Roman" w:eastAsia="宋体" w:cs="Times New Roman"/>
                <w:b w:val="0"/>
                <w:bCs w:val="0"/>
                <w:color w:val="auto"/>
                <w:spacing w:val="4"/>
                <w:sz w:val="24"/>
                <w:szCs w:val="24"/>
                <w:highlight w:val="none"/>
                <w:vertAlign w:val="subscript"/>
              </w:rPr>
              <w:t>0</w:t>
            </w:r>
            <w:r>
              <w:rPr>
                <w:rFonts w:hint="default" w:ascii="Times New Roman" w:hAnsi="Times New Roman" w:eastAsia="宋体" w:cs="Times New Roman"/>
                <w:b w:val="0"/>
                <w:bCs w:val="0"/>
                <w:color w:val="auto"/>
                <w:spacing w:val="4"/>
                <w:sz w:val="24"/>
                <w:szCs w:val="24"/>
                <w:highlight w:val="none"/>
              </w:rPr>
              <w:t>）</w:t>
            </w:r>
          </w:p>
          <w:p>
            <w:pPr>
              <w:keepNext w:val="0"/>
              <w:keepLines w:val="0"/>
              <w:pageBreakBefore w:val="0"/>
              <w:widowControl/>
              <w:numPr>
                <w:ilvl w:val="0"/>
                <w:numId w:val="0"/>
              </w:numPr>
              <w:suppressLineNumbers w:val="0"/>
              <w:kinsoku/>
              <w:wordWrap/>
              <w:overflowPunct/>
              <w:topLinePunct w:val="0"/>
              <w:autoSpaceDE/>
              <w:autoSpaceDN/>
              <w:bidi w:val="0"/>
              <w:spacing w:line="480" w:lineRule="exact"/>
              <w:ind w:firstLine="480" w:firstLineChars="200"/>
              <w:jc w:val="left"/>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kern w:val="0"/>
                <w:sz w:val="24"/>
                <w:szCs w:val="24"/>
                <w:lang w:val="en-US" w:eastAsia="zh-CN" w:bidi="ar"/>
              </w:rPr>
              <w:t xml:space="preserve">⑵室内声源计算公式 </w:t>
            </w:r>
          </w:p>
          <w:p>
            <w:pPr>
              <w:keepNext w:val="0"/>
              <w:keepLines w:val="0"/>
              <w:pageBreakBefore w:val="0"/>
              <w:widowControl/>
              <w:suppressLineNumbers w:val="0"/>
              <w:kinsoku/>
              <w:wordWrap/>
              <w:overflowPunct/>
              <w:topLinePunct w:val="0"/>
              <w:autoSpaceDE/>
              <w:autoSpaceDN/>
              <w:bidi w:val="0"/>
              <w:spacing w:line="480" w:lineRule="exact"/>
              <w:ind w:left="0" w:leftChars="0" w:firstLine="0" w:firstLineChars="0"/>
              <w:jc w:val="center"/>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kern w:val="0"/>
                <w:sz w:val="23"/>
                <w:szCs w:val="23"/>
                <w:lang w:val="en-US" w:eastAsia="zh-CN" w:bidi="ar"/>
              </w:rPr>
              <w:t>L</w:t>
            </w:r>
            <w:r>
              <w:rPr>
                <w:rFonts w:hint="default" w:ascii="Times New Roman" w:hAnsi="Times New Roman" w:eastAsia="宋体" w:cs="Times New Roman"/>
                <w:b w:val="0"/>
                <w:bCs w:val="0"/>
                <w:color w:val="auto"/>
                <w:kern w:val="0"/>
                <w:sz w:val="13"/>
                <w:szCs w:val="13"/>
                <w:lang w:val="en-US" w:eastAsia="zh-CN" w:bidi="ar"/>
              </w:rPr>
              <w:t xml:space="preserve">p2 </w:t>
            </w:r>
            <w:r>
              <w:rPr>
                <w:rFonts w:hint="default" w:ascii="Times New Roman" w:hAnsi="Times New Roman" w:eastAsia="宋体" w:cs="Times New Roman"/>
                <w:b w:val="0"/>
                <w:bCs w:val="0"/>
                <w:color w:val="auto"/>
                <w:spacing w:val="4"/>
                <w:sz w:val="24"/>
                <w:szCs w:val="24"/>
                <w:highlight w:val="none"/>
                <w:lang w:val="en-US" w:eastAsia="zh-CN"/>
              </w:rPr>
              <w:t>=</w:t>
            </w:r>
            <w:r>
              <w:rPr>
                <w:rFonts w:hint="default" w:ascii="Times New Roman" w:hAnsi="Times New Roman" w:eastAsia="宋体" w:cs="Times New Roman"/>
                <w:b w:val="0"/>
                <w:bCs w:val="0"/>
                <w:i/>
                <w:iCs/>
                <w:color w:val="auto"/>
                <w:kern w:val="0"/>
                <w:sz w:val="23"/>
                <w:szCs w:val="23"/>
                <w:lang w:val="en-US" w:eastAsia="zh-CN" w:bidi="ar"/>
              </w:rPr>
              <w:t>L</w:t>
            </w:r>
            <w:r>
              <w:rPr>
                <w:rFonts w:hint="default" w:ascii="Times New Roman" w:hAnsi="Times New Roman" w:eastAsia="宋体" w:cs="Times New Roman"/>
                <w:b w:val="0"/>
                <w:bCs w:val="0"/>
                <w:i/>
                <w:iCs/>
                <w:color w:val="auto"/>
                <w:kern w:val="0"/>
                <w:sz w:val="13"/>
                <w:szCs w:val="13"/>
                <w:lang w:val="en-US" w:eastAsia="zh-CN" w:bidi="ar"/>
              </w:rPr>
              <w:t>P</w:t>
            </w:r>
            <w:r>
              <w:rPr>
                <w:rFonts w:hint="default" w:ascii="Times New Roman" w:hAnsi="Times New Roman" w:eastAsia="宋体" w:cs="Times New Roman"/>
                <w:b w:val="0"/>
                <w:bCs w:val="0"/>
                <w:color w:val="auto"/>
                <w:kern w:val="0"/>
                <w:sz w:val="13"/>
                <w:szCs w:val="13"/>
                <w:lang w:val="en-US" w:eastAsia="zh-CN" w:bidi="ar"/>
              </w:rPr>
              <w:t>1</w:t>
            </w:r>
            <w:r>
              <w:rPr>
                <w:rFonts w:hint="default" w:ascii="Times New Roman" w:hAnsi="Times New Roman" w:eastAsia="宋体" w:cs="Times New Roman"/>
                <w:b w:val="0"/>
                <w:bCs w:val="0"/>
                <w:color w:val="auto"/>
                <w:spacing w:val="4"/>
                <w:sz w:val="24"/>
                <w:szCs w:val="24"/>
                <w:highlight w:val="none"/>
              </w:rPr>
              <w:t>－（</w:t>
            </w:r>
            <w:r>
              <w:rPr>
                <w:rFonts w:hint="default" w:ascii="Times New Roman" w:hAnsi="Times New Roman" w:eastAsia="宋体" w:cs="Times New Roman"/>
                <w:b w:val="0"/>
                <w:bCs w:val="0"/>
                <w:i/>
                <w:iCs/>
                <w:color w:val="auto"/>
                <w:kern w:val="0"/>
                <w:sz w:val="23"/>
                <w:szCs w:val="23"/>
                <w:lang w:val="en-US" w:eastAsia="zh-CN" w:bidi="ar"/>
              </w:rPr>
              <w:t>TL+</w:t>
            </w:r>
            <w:r>
              <w:rPr>
                <w:rFonts w:hint="default" w:ascii="Times New Roman" w:hAnsi="Times New Roman" w:eastAsia="宋体" w:cs="Times New Roman"/>
                <w:b w:val="0"/>
                <w:bCs w:val="0"/>
                <w:color w:val="auto"/>
                <w:kern w:val="0"/>
                <w:sz w:val="23"/>
                <w:szCs w:val="23"/>
                <w:lang w:val="en-US" w:eastAsia="zh-CN" w:bidi="ar"/>
              </w:rPr>
              <w:t>6</w:t>
            </w:r>
            <w:r>
              <w:rPr>
                <w:rFonts w:hint="default" w:ascii="Times New Roman" w:hAnsi="Times New Roman" w:eastAsia="宋体" w:cs="Times New Roman"/>
                <w:b w:val="0"/>
                <w:bCs w:val="0"/>
                <w:color w:val="auto"/>
                <w:spacing w:val="4"/>
                <w:sz w:val="24"/>
                <w:szCs w:val="24"/>
                <w:highlight w:val="none"/>
              </w:rPr>
              <w:t>）</w:t>
            </w:r>
          </w:p>
          <w:p>
            <w:pPr>
              <w:keepNext w:val="0"/>
              <w:keepLines w:val="0"/>
              <w:pageBreakBefore w:val="0"/>
              <w:widowControl/>
              <w:suppressLineNumbers w:val="0"/>
              <w:kinsoku/>
              <w:wordWrap/>
              <w:overflowPunct/>
              <w:topLinePunct w:val="0"/>
              <w:autoSpaceDE/>
              <w:autoSpaceDN/>
              <w:bidi w:val="0"/>
              <w:spacing w:line="480" w:lineRule="exact"/>
              <w:ind w:left="0" w:leftChars="0" w:firstLine="480" w:firstLineChars="200"/>
              <w:jc w:val="left"/>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kern w:val="0"/>
                <w:sz w:val="24"/>
                <w:szCs w:val="24"/>
                <w:lang w:val="en-US" w:eastAsia="zh-CN" w:bidi="ar"/>
              </w:rPr>
              <w:t>式中：L</w:t>
            </w:r>
            <w:r>
              <w:rPr>
                <w:rFonts w:hint="default" w:ascii="Times New Roman" w:hAnsi="Times New Roman" w:eastAsia="宋体" w:cs="Times New Roman"/>
                <w:b w:val="0"/>
                <w:bCs w:val="0"/>
                <w:color w:val="auto"/>
                <w:kern w:val="0"/>
                <w:sz w:val="24"/>
                <w:szCs w:val="24"/>
                <w:vertAlign w:val="subscript"/>
                <w:lang w:val="en-US" w:eastAsia="zh-CN" w:bidi="ar"/>
              </w:rPr>
              <w:t>P1</w:t>
            </w:r>
            <w:r>
              <w:rPr>
                <w:rFonts w:hint="default" w:ascii="Times New Roman" w:hAnsi="Times New Roman" w:eastAsia="宋体" w:cs="Times New Roman"/>
                <w:b w:val="0"/>
                <w:bCs w:val="0"/>
                <w:color w:val="auto"/>
                <w:kern w:val="0"/>
                <w:sz w:val="24"/>
                <w:szCs w:val="24"/>
                <w:lang w:val="en-US" w:eastAsia="zh-CN" w:bidi="ar"/>
              </w:rPr>
              <w:t>、L</w:t>
            </w:r>
            <w:r>
              <w:rPr>
                <w:rFonts w:hint="default" w:ascii="Times New Roman" w:hAnsi="Times New Roman" w:eastAsia="宋体" w:cs="Times New Roman"/>
                <w:b w:val="0"/>
                <w:bCs w:val="0"/>
                <w:color w:val="auto"/>
                <w:kern w:val="0"/>
                <w:sz w:val="24"/>
                <w:szCs w:val="24"/>
                <w:vertAlign w:val="subscript"/>
                <w:lang w:val="en-US" w:eastAsia="zh-CN" w:bidi="ar"/>
              </w:rPr>
              <w:t>P2</w:t>
            </w:r>
            <w:r>
              <w:rPr>
                <w:rFonts w:hint="default" w:ascii="Times New Roman" w:hAnsi="Times New Roman" w:eastAsia="宋体" w:cs="Times New Roman"/>
                <w:b w:val="0"/>
                <w:bCs w:val="0"/>
                <w:color w:val="auto"/>
                <w:kern w:val="0"/>
                <w:sz w:val="24"/>
                <w:szCs w:val="24"/>
                <w:lang w:val="en-US" w:eastAsia="zh-CN" w:bidi="ar"/>
              </w:rPr>
              <w:t>——靠近开口处（或窗户）室内、外某倍频带的声压级，dB；</w:t>
            </w:r>
          </w:p>
          <w:p>
            <w:pPr>
              <w:keepNext w:val="0"/>
              <w:keepLines w:val="0"/>
              <w:pageBreakBefore w:val="0"/>
              <w:widowControl/>
              <w:suppressLineNumbers w:val="0"/>
              <w:kinsoku/>
              <w:wordWrap/>
              <w:overflowPunct/>
              <w:topLinePunct w:val="0"/>
              <w:autoSpaceDE/>
              <w:autoSpaceDN/>
              <w:bidi w:val="0"/>
              <w:spacing w:line="480" w:lineRule="exact"/>
              <w:ind w:left="0" w:leftChars="0" w:firstLine="1200" w:firstLineChars="500"/>
              <w:jc w:val="left"/>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kern w:val="0"/>
                <w:sz w:val="24"/>
                <w:szCs w:val="24"/>
                <w:lang w:val="en-US" w:eastAsia="zh-CN" w:bidi="ar"/>
              </w:rPr>
              <w:t>TL——隔窗（或窗户）倍频带的隔声量，dB。</w:t>
            </w:r>
          </w:p>
          <w:p>
            <w:pPr>
              <w:keepNext w:val="0"/>
              <w:keepLines w:val="0"/>
              <w:pageBreakBefore w:val="0"/>
              <w:widowControl/>
              <w:numPr>
                <w:ilvl w:val="0"/>
                <w:numId w:val="0"/>
              </w:numPr>
              <w:suppressLineNumbers w:val="0"/>
              <w:kinsoku/>
              <w:wordWrap/>
              <w:overflowPunct/>
              <w:topLinePunct w:val="0"/>
              <w:autoSpaceDE/>
              <w:autoSpaceDN/>
              <w:bidi w:val="0"/>
              <w:spacing w:line="480" w:lineRule="exact"/>
              <w:ind w:leftChars="200"/>
              <w:jc w:val="left"/>
              <w:textAlignment w:val="auto"/>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kern w:val="0"/>
                <w:sz w:val="24"/>
                <w:szCs w:val="24"/>
                <w:lang w:val="en-US" w:eastAsia="zh-CN" w:bidi="ar"/>
              </w:rPr>
              <w:t>⑶噪声贡献值计算</w:t>
            </w:r>
          </w:p>
          <w:p>
            <w:pPr>
              <w:keepNext w:val="0"/>
              <w:keepLines w:val="0"/>
              <w:pageBreakBefore w:val="0"/>
              <w:widowControl w:val="0"/>
              <w:kinsoku/>
              <w:wordWrap/>
              <w:overflowPunct/>
              <w:topLinePunct w:val="0"/>
              <w:autoSpaceDE/>
              <w:autoSpaceDN/>
              <w:bidi w:val="0"/>
              <w:adjustRightInd w:val="0"/>
              <w:snapToGrid w:val="0"/>
              <w:spacing w:line="480" w:lineRule="exact"/>
              <w:ind w:firstLine="496"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多源噪声叠加公式采用：</w:t>
            </w:r>
          </w:p>
          <w:p>
            <w:pPr>
              <w:pStyle w:val="4"/>
              <w:spacing w:line="420" w:lineRule="exact"/>
              <w:ind w:firstLine="420"/>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pict>
                <v:shape id="Picture 642" o:spid="_x0000_s1164" o:spt="75" type="#_x0000_t75" style="position:absolute;left:0pt;margin-left:93.2pt;margin-top:2.6pt;height:33.55pt;width:194.55pt;z-index:251684864;mso-width-relative:page;mso-height-relative:page;" o:ole="t" filled="f" o:preferrelative="t" stroked="f" coordsize="21600,21600">
                  <v:path/>
                  <v:fill on="f" focussize="0,0"/>
                  <v:stroke on="f"/>
                  <v:imagedata r:id="rId33" o:title=""/>
                  <o:lock v:ext="edit" aspectratio="t"/>
                </v:shape>
                <o:OLEObject Type="Embed" ProgID="Equation.3" ShapeID="Picture 642" DrawAspect="Content" ObjectID="_1468075727" r:id="rId32">
                  <o:LockedField>false</o:LockedField>
                </o:OLEObject>
              </w:pict>
            </w:r>
          </w:p>
          <w:p>
            <w:pPr>
              <w:rPr>
                <w:rFonts w:hint="default" w:ascii="Times New Roman" w:hAnsi="Times New Roman" w:eastAsia="宋体" w:cs="Times New Roman"/>
                <w:b w:val="0"/>
                <w:bCs w:val="0"/>
                <w:color w:val="auto"/>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kern w:val="0"/>
                <w:sz w:val="24"/>
                <w:szCs w:val="24"/>
                <w:lang w:val="en-US" w:eastAsia="zh-CN" w:bidi="ar"/>
              </w:rPr>
              <w:t xml:space="preserve">式中：Leqg——建设项目声源在预测点产生的噪声贡献值，dB；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200" w:firstLineChars="500"/>
              <w:jc w:val="left"/>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kern w:val="0"/>
                <w:sz w:val="24"/>
                <w:szCs w:val="24"/>
                <w:lang w:val="en-US" w:eastAsia="zh-CN" w:bidi="ar"/>
              </w:rPr>
              <w:t xml:space="preserve">T——用于计算等效声级的时间，s；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200" w:firstLineChars="500"/>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N——室外声源个数；</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200" w:firstLineChars="500"/>
              <w:jc w:val="left"/>
              <w:textAlignment w:val="auto"/>
              <w:rPr>
                <w:rFonts w:hint="default" w:ascii="Times New Roman" w:hAnsi="Times New Roman" w:eastAsia="宋体" w:cs="Times New Roman"/>
                <w:b w:val="0"/>
                <w:bCs w:val="0"/>
                <w:color w:val="auto"/>
                <w:kern w:val="0"/>
                <w:sz w:val="24"/>
                <w:szCs w:val="24"/>
                <w:lang w:val="en-US" w:eastAsia="zh-CN" w:bidi="ar"/>
              </w:rPr>
            </w:pPr>
            <w:r>
              <w:rPr>
                <w:rFonts w:hint="default" w:ascii="Times New Roman" w:hAnsi="Times New Roman" w:eastAsia="宋体" w:cs="Times New Roman"/>
                <w:b w:val="0"/>
                <w:bCs w:val="0"/>
                <w:color w:val="auto"/>
                <w:kern w:val="0"/>
                <w:sz w:val="24"/>
                <w:szCs w:val="24"/>
                <w:lang w:val="en-US" w:eastAsia="zh-CN" w:bidi="ar"/>
              </w:rPr>
              <w:t>ti——在T时间内i声源工作时间，s；</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200" w:firstLineChars="500"/>
              <w:jc w:val="left"/>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kern w:val="0"/>
                <w:sz w:val="24"/>
                <w:szCs w:val="24"/>
                <w:lang w:val="en-US" w:eastAsia="zh-CN" w:bidi="ar"/>
              </w:rPr>
              <w:t>M——等效室外声源个数；</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1200" w:firstLineChars="500"/>
              <w:jc w:val="left"/>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kern w:val="0"/>
                <w:sz w:val="24"/>
                <w:szCs w:val="24"/>
                <w:lang w:val="en-US" w:eastAsia="zh-CN" w:bidi="ar"/>
              </w:rPr>
              <w:t>t</w:t>
            </w:r>
            <w:r>
              <w:rPr>
                <w:rFonts w:hint="default" w:ascii="Times New Roman" w:hAnsi="Times New Roman" w:eastAsia="宋体" w:cs="Times New Roman"/>
                <w:b w:val="0"/>
                <w:bCs w:val="0"/>
                <w:color w:val="auto"/>
                <w:kern w:val="0"/>
                <w:sz w:val="24"/>
                <w:szCs w:val="24"/>
                <w:vertAlign w:val="subscript"/>
                <w:lang w:val="en-US" w:eastAsia="zh-CN" w:bidi="ar"/>
              </w:rPr>
              <w:t>j</w:t>
            </w:r>
            <w:r>
              <w:rPr>
                <w:rFonts w:hint="default" w:ascii="Times New Roman" w:hAnsi="Times New Roman" w:eastAsia="宋体" w:cs="Times New Roman"/>
                <w:b w:val="0"/>
                <w:bCs w:val="0"/>
                <w:color w:val="auto"/>
                <w:kern w:val="0"/>
                <w:sz w:val="24"/>
                <w:szCs w:val="24"/>
                <w:lang w:val="en-US" w:eastAsia="zh-CN" w:bidi="ar"/>
              </w:rPr>
              <w:t xml:space="preserve">——在T时间内j声源工作时间，s。 </w:t>
            </w:r>
          </w:p>
          <w:p>
            <w:pPr>
              <w:keepNext w:val="0"/>
              <w:keepLines w:val="0"/>
              <w:pageBreakBefore w:val="0"/>
              <w:widowControl w:val="0"/>
              <w:kinsoku/>
              <w:wordWrap/>
              <w:overflowPunct/>
              <w:topLinePunct w:val="0"/>
              <w:autoSpaceDE/>
              <w:autoSpaceDN/>
              <w:bidi w:val="0"/>
              <w:adjustRightInd/>
              <w:snapToGrid/>
              <w:spacing w:line="460" w:lineRule="exact"/>
              <w:ind w:firstLine="496"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lang w:val="en-US" w:eastAsia="zh-CN"/>
              </w:rPr>
              <w:t>⑷</w:t>
            </w:r>
            <w:r>
              <w:rPr>
                <w:rFonts w:hint="default" w:ascii="Times New Roman" w:hAnsi="Times New Roman" w:eastAsia="宋体" w:cs="Times New Roman"/>
                <w:b w:val="0"/>
                <w:bCs w:val="0"/>
                <w:color w:val="auto"/>
                <w:spacing w:val="4"/>
                <w:sz w:val="24"/>
                <w:szCs w:val="24"/>
                <w:highlight w:val="none"/>
              </w:rPr>
              <w:t>噪声预测计算</w:t>
            </w:r>
          </w:p>
          <w:p>
            <w:pPr>
              <w:keepNext w:val="0"/>
              <w:keepLines w:val="0"/>
              <w:pageBreakBefore w:val="0"/>
              <w:widowControl w:val="0"/>
              <w:kinsoku/>
              <w:wordWrap/>
              <w:overflowPunct/>
              <w:topLinePunct w:val="0"/>
              <w:autoSpaceDE/>
              <w:autoSpaceDN/>
              <w:bidi w:val="0"/>
              <w:adjustRightInd/>
              <w:snapToGrid/>
              <w:spacing w:line="460" w:lineRule="exact"/>
              <w:ind w:firstLine="496"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spacing w:val="4"/>
                <w:sz w:val="24"/>
                <w:szCs w:val="24"/>
                <w:highlight w:val="none"/>
              </w:rPr>
              <w:t>噪声预测值（Leq）计算公式为：</w:t>
            </w: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default" w:ascii="Times New Roman" w:hAnsi="Times New Roman" w:eastAsia="宋体" w:cs="Times New Roman"/>
                <w:b w:val="0"/>
                <w:bCs w:val="0"/>
                <w:color w:val="auto"/>
                <w:spacing w:val="4"/>
                <w:sz w:val="24"/>
                <w:szCs w:val="24"/>
                <w:highlight w:val="none"/>
              </w:rPr>
            </w:pPr>
            <w:r>
              <w:rPr>
                <w:rFonts w:hint="default" w:ascii="Times New Roman" w:hAnsi="Times New Roman" w:eastAsia="宋体" w:cs="Times New Roman"/>
                <w:b w:val="0"/>
                <w:bCs w:val="0"/>
                <w:color w:val="auto"/>
              </w:rPr>
              <w:drawing>
                <wp:anchor distT="0" distB="0" distL="114300" distR="114300" simplePos="0" relativeHeight="251685888" behindDoc="0" locked="0" layoutInCell="1" allowOverlap="1">
                  <wp:simplePos x="0" y="0"/>
                  <wp:positionH relativeFrom="column">
                    <wp:posOffset>868680</wp:posOffset>
                  </wp:positionH>
                  <wp:positionV relativeFrom="paragraph">
                    <wp:posOffset>62865</wp:posOffset>
                  </wp:positionV>
                  <wp:extent cx="1831340" cy="273685"/>
                  <wp:effectExtent l="0" t="0" r="3810" b="6985"/>
                  <wp:wrapNone/>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34"/>
                          <a:stretch>
                            <a:fillRect/>
                          </a:stretch>
                        </pic:blipFill>
                        <pic:spPr>
                          <a:xfrm>
                            <a:off x="0" y="0"/>
                            <a:ext cx="1831340" cy="27368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96" w:firstLineChars="200"/>
              <w:textAlignment w:val="auto"/>
              <w:rPr>
                <w:rFonts w:hint="default" w:ascii="Times New Roman" w:hAnsi="Times New Roman" w:eastAsia="宋体" w:cs="Times New Roman"/>
                <w:b w:val="0"/>
                <w:bCs w:val="0"/>
                <w:color w:val="auto"/>
                <w:spacing w:val="4"/>
                <w:sz w:val="24"/>
                <w:szCs w:val="24"/>
                <w:lang w:val="en-US" w:eastAsia="zh-CN"/>
              </w:rPr>
            </w:pPr>
            <w:r>
              <w:rPr>
                <w:rFonts w:hint="default" w:ascii="Times New Roman" w:hAnsi="Times New Roman" w:eastAsia="宋体" w:cs="Times New Roman"/>
                <w:b w:val="0"/>
                <w:bCs w:val="0"/>
                <w:color w:val="auto"/>
                <w:spacing w:val="4"/>
                <w:sz w:val="24"/>
                <w:szCs w:val="24"/>
                <w:lang w:val="en-US" w:eastAsia="zh-CN"/>
              </w:rPr>
              <w:t>式中：L</w:t>
            </w:r>
            <w:r>
              <w:rPr>
                <w:rFonts w:hint="default" w:ascii="Times New Roman" w:hAnsi="Times New Roman" w:eastAsia="宋体" w:cs="Times New Roman"/>
                <w:b w:val="0"/>
                <w:bCs w:val="0"/>
                <w:color w:val="auto"/>
                <w:spacing w:val="4"/>
                <w:sz w:val="24"/>
                <w:szCs w:val="24"/>
                <w:vertAlign w:val="subscript"/>
                <w:lang w:val="en-US" w:eastAsia="zh-CN"/>
              </w:rPr>
              <w:t>eqb</w:t>
            </w:r>
            <w:r>
              <w:rPr>
                <w:rFonts w:hint="default" w:ascii="Times New Roman" w:hAnsi="Times New Roman" w:eastAsia="宋体" w:cs="Times New Roman"/>
                <w:b w:val="0"/>
                <w:bCs w:val="0"/>
                <w:color w:val="auto"/>
                <w:spacing w:val="4"/>
                <w:sz w:val="24"/>
                <w:szCs w:val="24"/>
                <w:lang w:val="en-US" w:eastAsia="zh-CN"/>
              </w:rPr>
              <w:t>：预测点的背景值，dB(A)。</w:t>
            </w:r>
          </w:p>
          <w:p>
            <w:pPr>
              <w:adjustRightInd w:val="0"/>
              <w:snapToGrid w:val="0"/>
              <w:spacing w:line="440" w:lineRule="exact"/>
              <w:ind w:firstLine="480"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z w:val="24"/>
                <w:szCs w:val="24"/>
              </w:rPr>
              <w:t>根据本项目噪声源源强分析结果，结合厂区平面布置图，利用噪声预测模式预测项目采取措施后厂界噪声贡献值，具体见表</w:t>
            </w:r>
            <w:r>
              <w:rPr>
                <w:rFonts w:hint="default" w:ascii="Times New Roman" w:hAnsi="Times New Roman" w:eastAsia="宋体" w:cs="Times New Roman"/>
                <w:b w:val="0"/>
                <w:bCs w:val="0"/>
                <w:color w:val="auto"/>
                <w:spacing w:val="4"/>
                <w:sz w:val="24"/>
                <w:szCs w:val="24"/>
              </w:rPr>
              <w:t>4-</w:t>
            </w:r>
            <w:r>
              <w:rPr>
                <w:rFonts w:hint="eastAsia" w:ascii="Times New Roman" w:hAnsi="Times New Roman" w:eastAsia="宋体" w:cs="Times New Roman"/>
                <w:b w:val="0"/>
                <w:bCs w:val="0"/>
                <w:color w:val="auto"/>
                <w:spacing w:val="4"/>
                <w:sz w:val="24"/>
                <w:szCs w:val="24"/>
                <w:lang w:val="en-US" w:eastAsia="zh-CN"/>
              </w:rPr>
              <w:t>5</w:t>
            </w:r>
            <w:r>
              <w:rPr>
                <w:rFonts w:hint="default" w:ascii="Times New Roman" w:hAnsi="Times New Roman" w:eastAsia="宋体" w:cs="Times New Roman"/>
                <w:b w:val="0"/>
                <w:bCs w:val="0"/>
                <w:color w:val="auto"/>
                <w:spacing w:val="4"/>
                <w:sz w:val="24"/>
                <w:szCs w:val="24"/>
              </w:rPr>
              <w:t>。</w:t>
            </w:r>
          </w:p>
          <w:p>
            <w:pPr>
              <w:tabs>
                <w:tab w:val="left" w:pos="1260"/>
              </w:tabs>
              <w:spacing w:line="460" w:lineRule="exact"/>
              <w:jc w:val="center"/>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表4-</w:t>
            </w:r>
            <w:r>
              <w:rPr>
                <w:rFonts w:hint="eastAsia" w:ascii="Times New Roman" w:hAnsi="Times New Roman" w:eastAsia="宋体" w:cs="Times New Roman"/>
                <w:b w:val="0"/>
                <w:bCs w:val="0"/>
                <w:color w:val="auto"/>
                <w:spacing w:val="4"/>
                <w:sz w:val="24"/>
                <w:szCs w:val="24"/>
                <w:lang w:val="en-US" w:eastAsia="zh-CN"/>
              </w:rPr>
              <w:t>5</w:t>
            </w:r>
            <w:r>
              <w:rPr>
                <w:rFonts w:hint="default" w:ascii="Times New Roman" w:hAnsi="Times New Roman" w:eastAsia="宋体" w:cs="Times New Roman"/>
                <w:b w:val="0"/>
                <w:bCs w:val="0"/>
                <w:color w:val="auto"/>
                <w:spacing w:val="4"/>
                <w:sz w:val="24"/>
                <w:szCs w:val="24"/>
              </w:rPr>
              <w:t xml:space="preserve">  本项目采取措施后噪声预测结果</w:t>
            </w:r>
          </w:p>
          <w:tbl>
            <w:tblPr>
              <w:tblStyle w:val="26"/>
              <w:tblW w:w="7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1163"/>
              <w:gridCol w:w="939"/>
              <w:gridCol w:w="939"/>
              <w:gridCol w:w="941"/>
              <w:gridCol w:w="939"/>
              <w:gridCol w:w="939"/>
              <w:gridCol w:w="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258"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预测点</w:t>
                  </w:r>
                </w:p>
              </w:tc>
              <w:tc>
                <w:tcPr>
                  <w:tcW w:w="2819"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昼间</w:t>
                  </w:r>
                </w:p>
              </w:tc>
              <w:tc>
                <w:tcPr>
                  <w:tcW w:w="2821"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258"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背景值</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贡献值</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预测值</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背景值</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贡献值</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预测值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9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厂界</w:t>
                  </w:r>
                </w:p>
              </w:tc>
              <w:tc>
                <w:tcPr>
                  <w:tcW w:w="11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东</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54</w:t>
                  </w:r>
                </w:p>
              </w:tc>
              <w:tc>
                <w:tcPr>
                  <w:tcW w:w="939" w:type="dxa"/>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53.59</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56.81</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43</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p>
              </w:tc>
              <w:tc>
                <w:tcPr>
                  <w:tcW w:w="11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南</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53</w:t>
                  </w:r>
                </w:p>
              </w:tc>
              <w:tc>
                <w:tcPr>
                  <w:tcW w:w="939" w:type="dxa"/>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50.01</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54.77</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42</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p>
              </w:tc>
              <w:tc>
                <w:tcPr>
                  <w:tcW w:w="11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西</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52</w:t>
                  </w:r>
                </w:p>
              </w:tc>
              <w:tc>
                <w:tcPr>
                  <w:tcW w:w="939" w:type="dxa"/>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56.6</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57.89</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41</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0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p>
              </w:tc>
              <w:tc>
                <w:tcPr>
                  <w:tcW w:w="116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北</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52</w:t>
                  </w:r>
                </w:p>
              </w:tc>
              <w:tc>
                <w:tcPr>
                  <w:tcW w:w="939" w:type="dxa"/>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48.37</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53.56</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43</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2258"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color w:val="auto"/>
                      <w:szCs w:val="21"/>
                    </w:rPr>
                  </w:pPr>
                  <w:r>
                    <w:rPr>
                      <w:rFonts w:hint="eastAsia" w:ascii="Times New Roman" w:hAnsi="Times New Roman" w:eastAsia="宋体" w:cs="Times New Roman"/>
                      <w:b w:val="0"/>
                      <w:bCs w:val="0"/>
                      <w:color w:val="auto"/>
                      <w:szCs w:val="21"/>
                      <w:lang w:val="en-US" w:eastAsia="zh-CN"/>
                    </w:rPr>
                    <w:t>曲风村</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49</w:t>
                  </w:r>
                </w:p>
              </w:tc>
              <w:tc>
                <w:tcPr>
                  <w:tcW w:w="939" w:type="dxa"/>
                  <w:vAlign w:val="center"/>
                </w:tcPr>
                <w:p>
                  <w:pPr>
                    <w:jc w:val="center"/>
                    <w:textAlignment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34.5</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49.</w:t>
                  </w:r>
                  <w:r>
                    <w:rPr>
                      <w:rFonts w:hint="eastAsia" w:ascii="Times New Roman" w:hAnsi="Times New Roman" w:eastAsia="宋体" w:cs="Times New Roman"/>
                      <w:b w:val="0"/>
                      <w:bCs w:val="0"/>
                      <w:color w:val="auto"/>
                      <w:szCs w:val="21"/>
                      <w:lang w:val="en-US" w:eastAsia="zh-CN"/>
                    </w:rPr>
                    <w:t>2</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43</w:t>
                  </w:r>
                </w:p>
              </w:tc>
              <w:tc>
                <w:tcPr>
                  <w:tcW w:w="93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w:t>
                  </w:r>
                </w:p>
              </w:tc>
              <w:tc>
                <w:tcPr>
                  <w:tcW w:w="94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w:t>
                  </w:r>
                </w:p>
              </w:tc>
            </w:tr>
          </w:tbl>
          <w:p>
            <w:pPr>
              <w:autoSpaceDE w:val="0"/>
              <w:autoSpaceDN w:val="0"/>
              <w:adjustRightInd w:val="0"/>
              <w:snapToGri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3、噪声监测计划</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本项目的具体噪声监测计划见表4-</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w:t>
            </w:r>
            <w:r>
              <w:rPr>
                <w:rFonts w:hint="eastAsia" w:ascii="Times New Roman" w:hAnsi="Times New Roman" w:eastAsia="宋体" w:cs="Times New Roman"/>
                <w:b w:val="0"/>
                <w:bCs w:val="0"/>
                <w:color w:val="auto"/>
                <w:sz w:val="24"/>
                <w:szCs w:val="24"/>
                <w:lang w:val="en-US" w:eastAsia="zh-CN"/>
              </w:rPr>
              <w:t>6</w:t>
            </w:r>
            <w:r>
              <w:rPr>
                <w:rFonts w:hint="default" w:ascii="Times New Roman" w:hAnsi="Times New Roman" w:eastAsia="宋体" w:cs="Times New Roman"/>
                <w:b w:val="0"/>
                <w:bCs w:val="0"/>
                <w:color w:val="auto"/>
                <w:sz w:val="24"/>
                <w:szCs w:val="24"/>
              </w:rPr>
              <w:t xml:space="preserve">  噪声环境监测计划一览表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6" w:type="dxa"/>
                <w:bottom w:w="0" w:type="dxa"/>
                <w:right w:w="0" w:type="dxa"/>
              </w:tblCellMar>
            </w:tblPr>
            <w:tblGrid>
              <w:gridCol w:w="929"/>
              <w:gridCol w:w="1328"/>
              <w:gridCol w:w="2126"/>
              <w:gridCol w:w="1785"/>
              <w:gridCol w:w="1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2" w:hRule="atLeast"/>
                <w:jc w:val="center"/>
              </w:trPr>
              <w:tc>
                <w:tcPr>
                  <w:tcW w:w="929"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监测项目</w:t>
                  </w:r>
                </w:p>
              </w:tc>
              <w:tc>
                <w:tcPr>
                  <w:tcW w:w="1328"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测点布设</w:t>
                  </w:r>
                </w:p>
              </w:tc>
              <w:tc>
                <w:tcPr>
                  <w:tcW w:w="2126"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监测项目</w:t>
                  </w:r>
                </w:p>
              </w:tc>
              <w:tc>
                <w:tcPr>
                  <w:tcW w:w="178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监测频次</w:t>
                  </w:r>
                </w:p>
              </w:tc>
              <w:tc>
                <w:tcPr>
                  <w:tcW w:w="1681"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监测实施机构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2" w:hRule="atLeast"/>
                <w:jc w:val="center"/>
              </w:trPr>
              <w:tc>
                <w:tcPr>
                  <w:tcW w:w="929"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噪声</w:t>
                  </w:r>
                </w:p>
              </w:tc>
              <w:tc>
                <w:tcPr>
                  <w:tcW w:w="1328" w:type="dxa"/>
                  <w:vAlign w:val="center"/>
                </w:tcPr>
                <w:p>
                  <w:pPr>
                    <w:jc w:val="center"/>
                    <w:rPr>
                      <w:rFonts w:hint="default" w:ascii="Times New Roman" w:hAnsi="Times New Roman" w:eastAsia="宋体" w:cs="Times New Roman"/>
                      <w:b w:val="0"/>
                      <w:bCs w:val="0"/>
                      <w:color w:val="auto"/>
                      <w:kern w:val="0"/>
                      <w:szCs w:val="21"/>
                      <w:lang w:val="en-US" w:eastAsia="zh-CN"/>
                    </w:rPr>
                  </w:pPr>
                  <w:r>
                    <w:rPr>
                      <w:rFonts w:hint="default" w:ascii="Times New Roman" w:hAnsi="Times New Roman" w:eastAsia="宋体" w:cs="Times New Roman"/>
                      <w:b w:val="0"/>
                      <w:bCs w:val="0"/>
                      <w:color w:val="auto"/>
                      <w:kern w:val="0"/>
                      <w:szCs w:val="21"/>
                    </w:rPr>
                    <w:t>厂界四周</w:t>
                  </w:r>
                  <w:r>
                    <w:rPr>
                      <w:rFonts w:hint="default" w:ascii="Times New Roman" w:hAnsi="Times New Roman" w:eastAsia="宋体" w:cs="Times New Roman"/>
                      <w:b w:val="0"/>
                      <w:bCs w:val="0"/>
                      <w:color w:val="auto"/>
                      <w:kern w:val="0"/>
                      <w:szCs w:val="21"/>
                      <w:lang w:eastAsia="zh-CN"/>
                    </w:rPr>
                    <w:t>、</w:t>
                  </w:r>
                  <w:r>
                    <w:rPr>
                      <w:rFonts w:hint="default" w:ascii="Times New Roman" w:hAnsi="Times New Roman" w:eastAsia="宋体" w:cs="Times New Roman"/>
                      <w:b w:val="0"/>
                      <w:bCs w:val="0"/>
                      <w:color w:val="auto"/>
                      <w:kern w:val="0"/>
                      <w:szCs w:val="21"/>
                      <w:lang w:val="en-US" w:eastAsia="zh-CN"/>
                    </w:rPr>
                    <w:t>曲风村</w:t>
                  </w:r>
                </w:p>
              </w:tc>
              <w:tc>
                <w:tcPr>
                  <w:tcW w:w="2126" w:type="dxa"/>
                  <w:vAlign w:val="center"/>
                </w:tcPr>
                <w:p>
                  <w:pPr>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Leq、L</w:t>
                  </w:r>
                  <w:r>
                    <w:rPr>
                      <w:rFonts w:hint="default" w:ascii="Times New Roman" w:hAnsi="Times New Roman" w:eastAsia="宋体" w:cs="Times New Roman"/>
                      <w:b w:val="0"/>
                      <w:bCs w:val="0"/>
                      <w:color w:val="auto"/>
                      <w:kern w:val="0"/>
                      <w:szCs w:val="21"/>
                      <w:vertAlign w:val="subscript"/>
                    </w:rPr>
                    <w:t>10</w:t>
                  </w:r>
                  <w:r>
                    <w:rPr>
                      <w:rFonts w:hint="default" w:ascii="Times New Roman" w:hAnsi="Times New Roman" w:eastAsia="宋体" w:cs="Times New Roman"/>
                      <w:b w:val="0"/>
                      <w:bCs w:val="0"/>
                      <w:color w:val="auto"/>
                      <w:kern w:val="0"/>
                      <w:szCs w:val="21"/>
                    </w:rPr>
                    <w:t>、L</w:t>
                  </w:r>
                  <w:r>
                    <w:rPr>
                      <w:rFonts w:hint="default" w:ascii="Times New Roman" w:hAnsi="Times New Roman" w:eastAsia="宋体" w:cs="Times New Roman"/>
                      <w:b w:val="0"/>
                      <w:bCs w:val="0"/>
                      <w:color w:val="auto"/>
                      <w:kern w:val="0"/>
                      <w:szCs w:val="21"/>
                      <w:vertAlign w:val="subscript"/>
                    </w:rPr>
                    <w:t>50</w:t>
                  </w:r>
                  <w:r>
                    <w:rPr>
                      <w:rFonts w:hint="default" w:ascii="Times New Roman" w:hAnsi="Times New Roman" w:eastAsia="宋体" w:cs="Times New Roman"/>
                      <w:b w:val="0"/>
                      <w:bCs w:val="0"/>
                      <w:color w:val="auto"/>
                      <w:kern w:val="0"/>
                      <w:szCs w:val="21"/>
                    </w:rPr>
                    <w:t>、L</w:t>
                  </w:r>
                  <w:r>
                    <w:rPr>
                      <w:rFonts w:hint="default" w:ascii="Times New Roman" w:hAnsi="Times New Roman" w:eastAsia="宋体" w:cs="Times New Roman"/>
                      <w:b w:val="0"/>
                      <w:bCs w:val="0"/>
                      <w:color w:val="auto"/>
                      <w:kern w:val="0"/>
                      <w:szCs w:val="21"/>
                      <w:vertAlign w:val="subscript"/>
                    </w:rPr>
                    <w:t>90</w:t>
                  </w:r>
                </w:p>
              </w:tc>
              <w:tc>
                <w:tcPr>
                  <w:tcW w:w="1785"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每季1次；每次1天，昼夜各1频次</w:t>
                  </w:r>
                </w:p>
              </w:tc>
              <w:tc>
                <w:tcPr>
                  <w:tcW w:w="1681"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委托有资质的监测单位</w:t>
                  </w:r>
                </w:p>
              </w:tc>
            </w:tr>
          </w:tbl>
          <w:p>
            <w:pPr>
              <w:keepNext w:val="0"/>
              <w:keepLines w:val="0"/>
              <w:pageBreakBefore w:val="0"/>
              <w:widowControl w:val="0"/>
              <w:kinsoku/>
              <w:wordWrap/>
              <w:overflowPunct/>
              <w:topLinePunct w:val="0"/>
              <w:autoSpaceDE w:val="0"/>
              <w:autoSpaceDN w:val="0"/>
              <w:bidi w:val="0"/>
              <w:adjustRightInd w:val="0"/>
              <w:snapToGrid w:val="0"/>
              <w:spacing w:line="500" w:lineRule="exact"/>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4、噪声环境影响分析</w:t>
            </w:r>
          </w:p>
          <w:p>
            <w:pPr>
              <w:keepNext w:val="0"/>
              <w:keepLines w:val="0"/>
              <w:pageBreakBefore w:val="0"/>
              <w:widowControl w:val="0"/>
              <w:kinsoku/>
              <w:wordWrap/>
              <w:overflowPunct/>
              <w:topLinePunct w:val="0"/>
              <w:bidi w:val="0"/>
              <w:spacing w:line="500" w:lineRule="exact"/>
              <w:ind w:firstLine="504"/>
              <w:textAlignment w:val="auto"/>
              <w:rPr>
                <w:rFonts w:hint="default" w:ascii="Times New Roman" w:hAnsi="Times New Roman" w:eastAsia="宋体" w:cs="Times New Roman"/>
                <w:b w:val="0"/>
                <w:bCs w:val="0"/>
                <w:color w:val="auto"/>
                <w:spacing w:val="6"/>
                <w:sz w:val="24"/>
                <w:szCs w:val="24"/>
              </w:rPr>
            </w:pPr>
            <w:r>
              <w:rPr>
                <w:rFonts w:hint="default" w:ascii="Times New Roman" w:hAnsi="Times New Roman" w:eastAsia="宋体" w:cs="Times New Roman"/>
                <w:b w:val="0"/>
                <w:bCs w:val="0"/>
                <w:color w:val="auto"/>
                <w:spacing w:val="6"/>
                <w:sz w:val="24"/>
                <w:szCs w:val="24"/>
              </w:rPr>
              <w:t>建设单位在对噪声源采取相应治理措施后，本项目场界昼、夜间声环境能够满足《工业企业厂界环境噪声排放标准》（GB12348-2008）2类标准要求，能够做到达标排放</w:t>
            </w:r>
            <w:r>
              <w:rPr>
                <w:rFonts w:hint="default" w:ascii="Times New Roman" w:hAnsi="Times New Roman" w:eastAsia="宋体" w:cs="Times New Roman"/>
                <w:b w:val="0"/>
                <w:bCs w:val="0"/>
                <w:color w:val="auto"/>
                <w:spacing w:val="6"/>
                <w:sz w:val="24"/>
                <w:szCs w:val="24"/>
                <w:lang w:eastAsia="zh-CN"/>
              </w:rPr>
              <w:t>；</w:t>
            </w:r>
            <w:r>
              <w:rPr>
                <w:rFonts w:hint="eastAsia" w:ascii="Times New Roman" w:hAnsi="Times New Roman" w:eastAsia="宋体" w:cs="Times New Roman"/>
                <w:b w:val="0"/>
                <w:bCs w:val="0"/>
                <w:color w:val="auto"/>
                <w:sz w:val="24"/>
                <w:szCs w:val="24"/>
                <w:lang w:val="en-US" w:eastAsia="zh-CN"/>
              </w:rPr>
              <w:t>曲风村</w:t>
            </w:r>
            <w:r>
              <w:rPr>
                <w:rFonts w:hint="default" w:ascii="Times New Roman" w:hAnsi="Times New Roman" w:eastAsia="宋体" w:cs="Times New Roman"/>
                <w:b w:val="0"/>
                <w:bCs w:val="0"/>
                <w:color w:val="auto"/>
                <w:sz w:val="24"/>
                <w:szCs w:val="24"/>
                <w:lang w:eastAsia="zh-CN"/>
              </w:rPr>
              <w:t>噪声能满足《声环境质量标准》（GB3096-2008）中1类标准的要求，</w:t>
            </w:r>
            <w:r>
              <w:rPr>
                <w:rFonts w:hint="default" w:ascii="Times New Roman" w:hAnsi="Times New Roman" w:eastAsia="宋体" w:cs="Times New Roman"/>
                <w:b w:val="0"/>
                <w:bCs w:val="0"/>
                <w:color w:val="auto"/>
                <w:spacing w:val="6"/>
                <w:sz w:val="24"/>
                <w:szCs w:val="24"/>
              </w:rPr>
              <w:t>对周边声环境影响较小。</w:t>
            </w:r>
          </w:p>
          <w:p>
            <w:pPr>
              <w:keepNext w:val="0"/>
              <w:keepLines w:val="0"/>
              <w:pageBreakBefore w:val="0"/>
              <w:widowControl w:val="0"/>
              <w:kinsoku/>
              <w:wordWrap/>
              <w:overflowPunct/>
              <w:topLinePunct w:val="0"/>
              <w:autoSpaceDE w:val="0"/>
              <w:autoSpaceDN w:val="0"/>
              <w:bidi w:val="0"/>
              <w:adjustRightInd w:val="0"/>
              <w:spacing w:line="500" w:lineRule="exact"/>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四、固体废物影响分析</w:t>
            </w:r>
          </w:p>
          <w:p>
            <w:pPr>
              <w:keepNext w:val="0"/>
              <w:keepLines w:val="0"/>
              <w:pageBreakBefore w:val="0"/>
              <w:widowControl w:val="0"/>
              <w:kinsoku/>
              <w:wordWrap/>
              <w:overflowPunct/>
              <w:topLinePunct w:val="0"/>
              <w:bidi w:val="0"/>
              <w:spacing w:line="500" w:lineRule="exact"/>
              <w:ind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本项目固体废物污染源源强核算结果及相关参数见表4-</w:t>
            </w:r>
            <w:r>
              <w:rPr>
                <w:rFonts w:hint="eastAsia" w:ascii="Times New Roman" w:hAnsi="Times New Roman" w:eastAsia="宋体" w:cs="Times New Roman"/>
                <w:b w:val="0"/>
                <w:bCs w:val="0"/>
                <w:color w:val="auto"/>
                <w:sz w:val="24"/>
                <w:szCs w:val="24"/>
                <w:lang w:val="en-US" w:eastAsia="zh-CN"/>
              </w:rPr>
              <w:t>7</w:t>
            </w:r>
            <w:r>
              <w:rPr>
                <w:rFonts w:hint="default" w:ascii="Times New Roman" w:hAnsi="Times New Roman" w:eastAsia="宋体" w:cs="Times New Roman"/>
                <w:b w:val="0"/>
                <w:bCs w:val="0"/>
                <w:color w:val="auto"/>
                <w:sz w:val="24"/>
                <w:szCs w:val="24"/>
              </w:rPr>
              <w:t>。危险废物贮存场所基本情况见表4-</w:t>
            </w:r>
            <w:r>
              <w:rPr>
                <w:rFonts w:hint="eastAsia" w:ascii="Times New Roman" w:hAnsi="Times New Roman" w:eastAsia="宋体" w:cs="Times New Roman"/>
                <w:b w:val="0"/>
                <w:bCs w:val="0"/>
                <w:color w:val="auto"/>
                <w:sz w:val="24"/>
                <w:szCs w:val="24"/>
                <w:lang w:val="en-US" w:eastAsia="zh-CN"/>
              </w:rPr>
              <w:t>8</w:t>
            </w:r>
            <w:r>
              <w:rPr>
                <w:rFonts w:hint="default" w:ascii="Times New Roman" w:hAnsi="Times New Roman" w:eastAsia="宋体" w:cs="Times New Roman"/>
                <w:b w:val="0"/>
                <w:bCs w:val="0"/>
                <w:color w:val="auto"/>
                <w:sz w:val="24"/>
                <w:szCs w:val="24"/>
              </w:rPr>
              <w:t>。</w:t>
            </w:r>
          </w:p>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w:t>
            </w:r>
            <w:r>
              <w:rPr>
                <w:rFonts w:hint="eastAsia" w:ascii="Times New Roman" w:hAnsi="Times New Roman" w:eastAsia="宋体" w:cs="Times New Roman"/>
                <w:b w:val="0"/>
                <w:bCs w:val="0"/>
                <w:color w:val="auto"/>
                <w:sz w:val="24"/>
                <w:szCs w:val="24"/>
                <w:lang w:val="en-US" w:eastAsia="zh-CN"/>
              </w:rPr>
              <w:t>7</w:t>
            </w:r>
            <w:r>
              <w:rPr>
                <w:rFonts w:hint="default" w:ascii="Times New Roman" w:hAnsi="Times New Roman" w:eastAsia="宋体" w:cs="Times New Roman"/>
                <w:b w:val="0"/>
                <w:bCs w:val="0"/>
                <w:color w:val="auto"/>
                <w:sz w:val="24"/>
                <w:szCs w:val="24"/>
              </w:rPr>
              <w:t xml:space="preserve">  本项目固体废物污染源源强核算一览表</w:t>
            </w:r>
          </w:p>
          <w:tbl>
            <w:tblPr>
              <w:tblStyle w:val="26"/>
              <w:tblW w:w="7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663"/>
              <w:gridCol w:w="848"/>
              <w:gridCol w:w="711"/>
              <w:gridCol w:w="850"/>
              <w:gridCol w:w="1701"/>
              <w:gridCol w:w="851"/>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652"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产生环节</w:t>
                  </w:r>
                </w:p>
              </w:tc>
              <w:tc>
                <w:tcPr>
                  <w:tcW w:w="663"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固废名称</w:t>
                  </w:r>
                </w:p>
              </w:tc>
              <w:tc>
                <w:tcPr>
                  <w:tcW w:w="848"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固废属性</w:t>
                  </w:r>
                </w:p>
              </w:tc>
              <w:tc>
                <w:tcPr>
                  <w:tcW w:w="711"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物理性状</w:t>
                  </w:r>
                </w:p>
              </w:tc>
              <w:tc>
                <w:tcPr>
                  <w:tcW w:w="850"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产生量（t/a）</w:t>
                  </w:r>
                </w:p>
              </w:tc>
              <w:tc>
                <w:tcPr>
                  <w:tcW w:w="2552"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处置措施</w:t>
                  </w:r>
                </w:p>
              </w:tc>
              <w:tc>
                <w:tcPr>
                  <w:tcW w:w="1674"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最终去向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663"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84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1"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850"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1701" w:type="dxa"/>
                  <w:noWrap w:val="0"/>
                  <w:vAlign w:val="center"/>
                </w:tcPr>
                <w:p>
                  <w:pPr>
                    <w:jc w:val="center"/>
                    <w:rPr>
                      <w:rFonts w:hint="default" w:ascii="Times New Roman" w:hAnsi="Times New Roman" w:eastAsia="宋体" w:cs="Times New Roman"/>
                      <w:b w:val="0"/>
                      <w:bCs w:val="0"/>
                      <w:color w:val="auto"/>
                      <w:spacing w:val="-20"/>
                      <w:szCs w:val="21"/>
                    </w:rPr>
                  </w:pPr>
                  <w:r>
                    <w:rPr>
                      <w:rFonts w:hint="default" w:ascii="Times New Roman" w:hAnsi="Times New Roman" w:eastAsia="宋体" w:cs="Times New Roman"/>
                      <w:b w:val="0"/>
                      <w:bCs w:val="0"/>
                      <w:color w:val="auto"/>
                      <w:spacing w:val="-20"/>
                      <w:szCs w:val="21"/>
                    </w:rPr>
                    <w:t>工艺</w:t>
                  </w:r>
                </w:p>
              </w:tc>
              <w:tc>
                <w:tcPr>
                  <w:tcW w:w="851" w:type="dxa"/>
                  <w:noWrap w:val="0"/>
                  <w:vAlign w:val="center"/>
                </w:tcPr>
                <w:p>
                  <w:pPr>
                    <w:jc w:val="center"/>
                    <w:rPr>
                      <w:rFonts w:hint="default" w:ascii="Times New Roman" w:hAnsi="Times New Roman" w:eastAsia="宋体" w:cs="Times New Roman"/>
                      <w:b w:val="0"/>
                      <w:bCs w:val="0"/>
                      <w:color w:val="auto"/>
                      <w:spacing w:val="-20"/>
                      <w:szCs w:val="21"/>
                    </w:rPr>
                  </w:pPr>
                  <w:r>
                    <w:rPr>
                      <w:rFonts w:hint="default" w:ascii="Times New Roman" w:hAnsi="Times New Roman" w:eastAsia="宋体" w:cs="Times New Roman"/>
                      <w:b w:val="0"/>
                      <w:bCs w:val="0"/>
                      <w:color w:val="auto"/>
                      <w:spacing w:val="-20"/>
                      <w:szCs w:val="21"/>
                    </w:rPr>
                    <w:t>处置量（t/a）</w:t>
                  </w:r>
                </w:p>
              </w:tc>
              <w:tc>
                <w:tcPr>
                  <w:tcW w:w="1674" w:type="dxa"/>
                  <w:vMerge w:val="continue"/>
                  <w:noWrap w:val="0"/>
                  <w:vAlign w:val="center"/>
                </w:tcPr>
                <w:p>
                  <w:pPr>
                    <w:jc w:val="center"/>
                    <w:rPr>
                      <w:rFonts w:hint="default" w:ascii="Times New Roman" w:hAnsi="Times New Roman" w:eastAsia="宋体" w:cs="Times New Roman"/>
                      <w:b w:val="0"/>
                      <w:bCs w:val="0"/>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生活</w:t>
                  </w:r>
                </w:p>
              </w:tc>
              <w:tc>
                <w:tcPr>
                  <w:tcW w:w="663" w:type="dxa"/>
                  <w:noWrap w:val="0"/>
                  <w:vAlign w:val="center"/>
                </w:tcPr>
                <w:p>
                  <w:pPr>
                    <w:pStyle w:val="82"/>
                    <w:ind w:firstLine="0" w:firstLineChars="0"/>
                    <w:jc w:val="center"/>
                    <w:rPr>
                      <w:rFonts w:hint="default" w:ascii="Times New Roman" w:hAnsi="Times New Roman" w:eastAsia="宋体" w:cs="Times New Roman"/>
                      <w:b w:val="0"/>
                      <w:bCs w:val="0"/>
                      <w:color w:val="auto"/>
                      <w:spacing w:val="-20"/>
                    </w:rPr>
                  </w:pPr>
                  <w:r>
                    <w:rPr>
                      <w:rFonts w:hint="default" w:ascii="Times New Roman" w:hAnsi="Times New Roman" w:eastAsia="宋体" w:cs="Times New Roman"/>
                      <w:b w:val="0"/>
                      <w:bCs w:val="0"/>
                      <w:color w:val="auto"/>
                      <w:spacing w:val="-20"/>
                    </w:rPr>
                    <w:t>生活垃圾</w:t>
                  </w:r>
                </w:p>
              </w:tc>
              <w:tc>
                <w:tcPr>
                  <w:tcW w:w="848" w:type="dxa"/>
                  <w:noWrap w:val="0"/>
                  <w:vAlign w:val="center"/>
                </w:tcPr>
                <w:p>
                  <w:pPr>
                    <w:pStyle w:val="82"/>
                    <w:ind w:firstLine="0" w:firstLineChars="0"/>
                    <w:jc w:val="center"/>
                    <w:rPr>
                      <w:rFonts w:hint="default" w:ascii="Times New Roman" w:hAnsi="Times New Roman" w:eastAsia="宋体" w:cs="Times New Roman"/>
                      <w:b w:val="0"/>
                      <w:bCs w:val="0"/>
                      <w:color w:val="auto"/>
                      <w:spacing w:val="-20"/>
                    </w:rPr>
                  </w:pPr>
                  <w:r>
                    <w:rPr>
                      <w:rFonts w:hint="default" w:ascii="Times New Roman" w:hAnsi="Times New Roman" w:eastAsia="宋体" w:cs="Times New Roman"/>
                      <w:b w:val="0"/>
                      <w:bCs w:val="0"/>
                      <w:color w:val="auto"/>
                      <w:spacing w:val="-20"/>
                    </w:rPr>
                    <w:t>生活垃圾</w:t>
                  </w:r>
                </w:p>
              </w:tc>
              <w:tc>
                <w:tcPr>
                  <w:tcW w:w="71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固态</w:t>
                  </w:r>
                </w:p>
              </w:tc>
              <w:tc>
                <w:tcPr>
                  <w:tcW w:w="850"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2.85</w:t>
                  </w:r>
                </w:p>
              </w:tc>
              <w:tc>
                <w:tcPr>
                  <w:tcW w:w="170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厂区暂存，交由环卫部门处理</w:t>
                  </w:r>
                </w:p>
              </w:tc>
              <w:tc>
                <w:tcPr>
                  <w:tcW w:w="851"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2.85</w:t>
                  </w:r>
                </w:p>
              </w:tc>
              <w:tc>
                <w:tcPr>
                  <w:tcW w:w="1674" w:type="dxa"/>
                  <w:noWrap w:val="0"/>
                  <w:vAlign w:val="center"/>
                </w:tcPr>
                <w:p>
                  <w:pPr>
                    <w:jc w:val="center"/>
                    <w:rPr>
                      <w:rFonts w:hint="default" w:ascii="Times New Roman" w:hAnsi="Times New Roman" w:eastAsia="宋体" w:cs="Times New Roman"/>
                      <w:b w:val="0"/>
                      <w:bCs w:val="0"/>
                      <w:color w:val="auto"/>
                      <w:spacing w:val="-20"/>
                      <w:szCs w:val="21"/>
                    </w:rPr>
                  </w:pPr>
                  <w:r>
                    <w:rPr>
                      <w:rFonts w:hint="default" w:ascii="Times New Roman" w:hAnsi="Times New Roman" w:eastAsia="宋体" w:cs="Times New Roman"/>
                      <w:b w:val="0"/>
                      <w:bCs w:val="0"/>
                      <w:color w:val="auto"/>
                      <w:szCs w:val="21"/>
                    </w:rPr>
                    <w:t>运往当地环卫部门指定地点处置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除尘器</w:t>
                  </w:r>
                </w:p>
              </w:tc>
              <w:tc>
                <w:tcPr>
                  <w:tcW w:w="663" w:type="dxa"/>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除尘灰</w:t>
                  </w:r>
                </w:p>
              </w:tc>
              <w:tc>
                <w:tcPr>
                  <w:tcW w:w="848" w:type="dxa"/>
                  <w:noWrap w:val="0"/>
                  <w:vAlign w:val="center"/>
                </w:tcPr>
                <w:p>
                  <w:pPr>
                    <w:pStyle w:val="82"/>
                    <w:ind w:firstLine="0" w:firstLineChars="0"/>
                    <w:jc w:val="center"/>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一般工业固废</w:t>
                  </w:r>
                </w:p>
              </w:tc>
              <w:tc>
                <w:tcPr>
                  <w:tcW w:w="71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固态</w:t>
                  </w:r>
                </w:p>
              </w:tc>
              <w:tc>
                <w:tcPr>
                  <w:tcW w:w="850"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13.487</w:t>
                  </w:r>
                </w:p>
              </w:tc>
              <w:tc>
                <w:tcPr>
                  <w:tcW w:w="1701" w:type="dxa"/>
                  <w:noWrap w:val="0"/>
                  <w:vAlign w:val="center"/>
                </w:tcPr>
                <w:p>
                  <w:pPr>
                    <w:jc w:val="center"/>
                    <w:rPr>
                      <w:rFonts w:hint="eastAsia" w:ascii="Times New Roman" w:hAnsi="Times New Roman" w:eastAsia="宋体" w:cs="Times New Roman"/>
                      <w:b w:val="0"/>
                      <w:bCs w:val="0"/>
                      <w:color w:val="auto"/>
                      <w:szCs w:val="21"/>
                      <w:lang w:eastAsia="zh-CN"/>
                    </w:rPr>
                  </w:pPr>
                  <w:r>
                    <w:rPr>
                      <w:rFonts w:hint="eastAsia" w:ascii="Times New Roman" w:hAnsi="Times New Roman" w:eastAsia="宋体" w:cs="Times New Roman"/>
                      <w:b w:val="0"/>
                      <w:bCs w:val="0"/>
                      <w:color w:val="auto"/>
                      <w:szCs w:val="21"/>
                      <w:lang w:val="en-US" w:eastAsia="zh-CN"/>
                    </w:rPr>
                    <w:t>外售</w:t>
                  </w:r>
                </w:p>
              </w:tc>
              <w:tc>
                <w:tcPr>
                  <w:tcW w:w="85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13.487</w:t>
                  </w:r>
                </w:p>
              </w:tc>
              <w:tc>
                <w:tcPr>
                  <w:tcW w:w="1674" w:type="dxa"/>
                  <w:noWrap w:val="0"/>
                  <w:vAlign w:val="center"/>
                </w:tcPr>
                <w:p>
                  <w:pPr>
                    <w:jc w:val="center"/>
                    <w:rPr>
                      <w:rFonts w:hint="default" w:ascii="Times New Roman" w:hAnsi="Times New Roman" w:eastAsia="宋体" w:cs="Times New Roman"/>
                      <w:b w:val="0"/>
                      <w:bCs w:val="0"/>
                      <w:color w:val="auto"/>
                      <w:szCs w:val="21"/>
                      <w:lang w:eastAsia="zh-CN"/>
                    </w:rPr>
                  </w:pPr>
                  <w:r>
                    <w:rPr>
                      <w:rFonts w:hint="default" w:ascii="Times New Roman" w:hAnsi="Times New Roman" w:eastAsia="宋体" w:cs="Times New Roman"/>
                      <w:b w:val="0"/>
                      <w:bCs w:val="0"/>
                      <w:color w:val="auto"/>
                      <w:szCs w:val="21"/>
                      <w:lang w:val="en-US" w:eastAsia="zh-CN"/>
                    </w:rPr>
                    <w:t>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设备保养</w:t>
                  </w:r>
                </w:p>
              </w:tc>
              <w:tc>
                <w:tcPr>
                  <w:tcW w:w="66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废矿物油</w:t>
                  </w:r>
                </w:p>
              </w:tc>
              <w:tc>
                <w:tcPr>
                  <w:tcW w:w="848"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危险废物</w:t>
                  </w:r>
                </w:p>
              </w:tc>
              <w:tc>
                <w:tcPr>
                  <w:tcW w:w="71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液态</w:t>
                  </w:r>
                </w:p>
              </w:tc>
              <w:tc>
                <w:tcPr>
                  <w:tcW w:w="85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0.05</w:t>
                  </w:r>
                </w:p>
              </w:tc>
              <w:tc>
                <w:tcPr>
                  <w:tcW w:w="170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危废暂存间暂存，交由有资质单位回收处置</w:t>
                  </w:r>
                </w:p>
              </w:tc>
              <w:tc>
                <w:tcPr>
                  <w:tcW w:w="85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0.05</w:t>
                  </w:r>
                </w:p>
              </w:tc>
              <w:tc>
                <w:tcPr>
                  <w:tcW w:w="167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定期运往有资质的危废集中处置机构处理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导热油炉</w:t>
                  </w:r>
                </w:p>
              </w:tc>
              <w:tc>
                <w:tcPr>
                  <w:tcW w:w="66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废导热油</w:t>
                  </w:r>
                </w:p>
              </w:tc>
              <w:tc>
                <w:tcPr>
                  <w:tcW w:w="848"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危险废物</w:t>
                  </w:r>
                </w:p>
              </w:tc>
              <w:tc>
                <w:tcPr>
                  <w:tcW w:w="71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液态</w:t>
                  </w:r>
                </w:p>
              </w:tc>
              <w:tc>
                <w:tcPr>
                  <w:tcW w:w="85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r>
                    <w:rPr>
                      <w:rFonts w:hint="default" w:ascii="Times New Roman" w:hAnsi="Times New Roman" w:eastAsia="宋体" w:cs="Times New Roman"/>
                      <w:b w:val="0"/>
                      <w:bCs w:val="0"/>
                      <w:snapToGrid w:val="0"/>
                      <w:color w:val="auto"/>
                      <w:kern w:val="21"/>
                      <w:szCs w:val="21"/>
                    </w:rPr>
                    <w:t>t/3a</w:t>
                  </w:r>
                </w:p>
              </w:tc>
              <w:tc>
                <w:tcPr>
                  <w:tcW w:w="170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交由有资质单位回收处置</w:t>
                  </w:r>
                </w:p>
              </w:tc>
              <w:tc>
                <w:tcPr>
                  <w:tcW w:w="85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3t</w:t>
                  </w:r>
                  <w:r>
                    <w:rPr>
                      <w:rFonts w:hint="default" w:ascii="Times New Roman" w:hAnsi="Times New Roman" w:eastAsia="宋体" w:cs="Times New Roman"/>
                      <w:b w:val="0"/>
                      <w:bCs w:val="0"/>
                      <w:snapToGrid w:val="0"/>
                      <w:color w:val="auto"/>
                      <w:kern w:val="21"/>
                      <w:szCs w:val="21"/>
                    </w:rPr>
                    <w:t>/3a</w:t>
                  </w:r>
                </w:p>
              </w:tc>
              <w:tc>
                <w:tcPr>
                  <w:tcW w:w="167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运往有资质的危废集中处置机构处理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设备保养</w:t>
                  </w:r>
                </w:p>
              </w:tc>
              <w:tc>
                <w:tcPr>
                  <w:tcW w:w="66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废油桶</w:t>
                  </w:r>
                </w:p>
              </w:tc>
              <w:tc>
                <w:tcPr>
                  <w:tcW w:w="848"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危险废物</w:t>
                  </w:r>
                </w:p>
              </w:tc>
              <w:tc>
                <w:tcPr>
                  <w:tcW w:w="71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固态</w:t>
                  </w:r>
                </w:p>
              </w:tc>
              <w:tc>
                <w:tcPr>
                  <w:tcW w:w="85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0.01</w:t>
                  </w:r>
                </w:p>
              </w:tc>
              <w:tc>
                <w:tcPr>
                  <w:tcW w:w="170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危废暂存间暂存，交由有资质单位回收处置</w:t>
                  </w:r>
                </w:p>
              </w:tc>
              <w:tc>
                <w:tcPr>
                  <w:tcW w:w="851"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0.01</w:t>
                  </w:r>
                </w:p>
              </w:tc>
              <w:tc>
                <w:tcPr>
                  <w:tcW w:w="167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定期运往有资质的危废集中处置机构处理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废气处理</w:t>
                  </w:r>
                </w:p>
              </w:tc>
              <w:tc>
                <w:tcPr>
                  <w:tcW w:w="663"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废活性炭</w:t>
                  </w:r>
                </w:p>
              </w:tc>
              <w:tc>
                <w:tcPr>
                  <w:tcW w:w="84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危险废物</w:t>
                  </w:r>
                </w:p>
              </w:tc>
              <w:tc>
                <w:tcPr>
                  <w:tcW w:w="71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固态</w:t>
                  </w:r>
                </w:p>
              </w:tc>
              <w:tc>
                <w:tcPr>
                  <w:tcW w:w="850"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5</w:t>
                  </w:r>
                </w:p>
              </w:tc>
              <w:tc>
                <w:tcPr>
                  <w:tcW w:w="170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危废暂存间暂存，交由有资质单位回收处置</w:t>
                  </w:r>
                </w:p>
              </w:tc>
              <w:tc>
                <w:tcPr>
                  <w:tcW w:w="85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5</w:t>
                  </w:r>
                </w:p>
              </w:tc>
              <w:tc>
                <w:tcPr>
                  <w:tcW w:w="1674"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定期运往有资质的危废集中处置机构处理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652"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default" w:ascii="Times New Roman" w:hAnsi="Times New Roman" w:eastAsia="宋体" w:cs="Times New Roman"/>
                      <w:b w:val="0"/>
                      <w:bCs w:val="0"/>
                      <w:color w:val="auto"/>
                      <w:szCs w:val="21"/>
                      <w:lang w:val="en-US" w:eastAsia="zh-CN"/>
                    </w:rPr>
                    <w:t>电捕捉、隔油、气浮</w:t>
                  </w:r>
                </w:p>
              </w:tc>
              <w:tc>
                <w:tcPr>
                  <w:tcW w:w="663"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废油渣</w:t>
                  </w:r>
                </w:p>
              </w:tc>
              <w:tc>
                <w:tcPr>
                  <w:tcW w:w="848"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危险废物</w:t>
                  </w:r>
                </w:p>
              </w:tc>
              <w:tc>
                <w:tcPr>
                  <w:tcW w:w="71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液态</w:t>
                  </w:r>
                </w:p>
              </w:tc>
              <w:tc>
                <w:tcPr>
                  <w:tcW w:w="850"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0.02</w:t>
                  </w:r>
                </w:p>
              </w:tc>
              <w:tc>
                <w:tcPr>
                  <w:tcW w:w="1701"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危废暂存间暂存，交由有资质单位回收处置</w:t>
                  </w:r>
                </w:p>
              </w:tc>
              <w:tc>
                <w:tcPr>
                  <w:tcW w:w="851" w:type="dxa"/>
                  <w:noWrap w:val="0"/>
                  <w:vAlign w:val="center"/>
                </w:tcPr>
                <w:p>
                  <w:pPr>
                    <w:jc w:val="center"/>
                    <w:rPr>
                      <w:rFonts w:hint="eastAsia"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0.0</w:t>
                  </w:r>
                  <w:r>
                    <w:rPr>
                      <w:rFonts w:hint="eastAsia" w:ascii="Times New Roman" w:hAnsi="Times New Roman" w:eastAsia="宋体" w:cs="Times New Roman"/>
                      <w:b w:val="0"/>
                      <w:bCs w:val="0"/>
                      <w:color w:val="auto"/>
                      <w:szCs w:val="21"/>
                      <w:lang w:val="en-US" w:eastAsia="zh-CN"/>
                    </w:rPr>
                    <w:t>2</w:t>
                  </w:r>
                </w:p>
              </w:tc>
              <w:tc>
                <w:tcPr>
                  <w:tcW w:w="1674"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定期运往有资质的危废集中处置机构处理</w:t>
                  </w:r>
                </w:p>
              </w:tc>
            </w:tr>
          </w:tbl>
          <w:p>
            <w:pPr>
              <w:spacing w:line="460" w:lineRule="exact"/>
              <w:jc w:val="center"/>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表4-</w:t>
            </w:r>
            <w:r>
              <w:rPr>
                <w:rFonts w:hint="eastAsia" w:ascii="Times New Roman" w:hAnsi="Times New Roman" w:eastAsia="宋体" w:cs="Times New Roman"/>
                <w:b w:val="0"/>
                <w:bCs w:val="0"/>
                <w:color w:val="auto"/>
                <w:sz w:val="24"/>
                <w:szCs w:val="24"/>
                <w:lang w:val="en-US" w:eastAsia="zh-CN"/>
              </w:rPr>
              <w:t>8</w:t>
            </w:r>
            <w:r>
              <w:rPr>
                <w:rFonts w:hint="default" w:ascii="Times New Roman" w:hAnsi="Times New Roman" w:eastAsia="宋体" w:cs="Times New Roman"/>
                <w:b w:val="0"/>
                <w:bCs w:val="0"/>
                <w:color w:val="auto"/>
                <w:sz w:val="24"/>
                <w:szCs w:val="24"/>
              </w:rPr>
              <w:t xml:space="preserve">  本项目危险废物贮存场所（设施）基本情况表</w:t>
            </w:r>
          </w:p>
          <w:tbl>
            <w:tblPr>
              <w:tblStyle w:val="26"/>
              <w:tblW w:w="79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708"/>
              <w:gridCol w:w="851"/>
              <w:gridCol w:w="850"/>
              <w:gridCol w:w="1134"/>
              <w:gridCol w:w="709"/>
              <w:gridCol w:w="709"/>
              <w:gridCol w:w="709"/>
              <w:gridCol w:w="798"/>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贮存场所</w:t>
                  </w:r>
                </w:p>
              </w:tc>
              <w:tc>
                <w:tcPr>
                  <w:tcW w:w="70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危险废物名称</w:t>
                  </w:r>
                </w:p>
              </w:tc>
              <w:tc>
                <w:tcPr>
                  <w:tcW w:w="851"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Cs w:val="21"/>
                    </w:rPr>
                    <w:t>危险废物类别</w:t>
                  </w:r>
                </w:p>
              </w:tc>
              <w:tc>
                <w:tcPr>
                  <w:tcW w:w="850"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危险废物代码</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szCs w:val="21"/>
                    </w:rPr>
                    <w:t>主要有毒有害物质名称</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危险</w:t>
                  </w:r>
                </w:p>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特性</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占地</w:t>
                  </w:r>
                </w:p>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面积</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贮存方式</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贮存</w:t>
                  </w:r>
                </w:p>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能力</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贮存</w:t>
                  </w:r>
                </w:p>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restart"/>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危废暂存间</w:t>
                  </w:r>
                </w:p>
              </w:tc>
              <w:tc>
                <w:tcPr>
                  <w:tcW w:w="70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szCs w:val="21"/>
                    </w:rPr>
                    <w:t>废润滑油</w:t>
                  </w:r>
                </w:p>
              </w:tc>
              <w:tc>
                <w:tcPr>
                  <w:tcW w:w="851" w:type="dxa"/>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Cs w:val="21"/>
                    </w:rPr>
                    <w:t>HW08</w:t>
                  </w:r>
                </w:p>
              </w:tc>
              <w:tc>
                <w:tcPr>
                  <w:tcW w:w="850"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szCs w:val="21"/>
                    </w:rPr>
                    <w:t>900-214-08</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油类</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T、I</w:t>
                  </w:r>
                </w:p>
              </w:tc>
              <w:tc>
                <w:tcPr>
                  <w:tcW w:w="709" w:type="dxa"/>
                  <w:vMerge w:val="restart"/>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eastAsia" w:ascii="Times New Roman" w:hAnsi="Times New Roman" w:eastAsia="宋体" w:cs="Times New Roman"/>
                      <w:b w:val="0"/>
                      <w:bCs w:val="0"/>
                      <w:color w:val="auto"/>
                      <w:kern w:val="0"/>
                      <w:szCs w:val="21"/>
                      <w:lang w:val="en-US" w:eastAsia="zh-CN"/>
                    </w:rPr>
                    <w:t>2</w:t>
                  </w:r>
                  <w:r>
                    <w:rPr>
                      <w:rFonts w:hint="default" w:ascii="Times New Roman" w:hAnsi="Times New Roman" w:eastAsia="宋体" w:cs="Times New Roman"/>
                      <w:b w:val="0"/>
                      <w:bCs w:val="0"/>
                      <w:color w:val="auto"/>
                      <w:kern w:val="0"/>
                      <w:szCs w:val="21"/>
                    </w:rPr>
                    <w:t>0</w:t>
                  </w:r>
                  <w:r>
                    <w:rPr>
                      <w:rFonts w:hint="default" w:ascii="Times New Roman" w:hAnsi="Times New Roman" w:eastAsia="宋体" w:cs="Times New Roman"/>
                      <w:b w:val="0"/>
                      <w:bCs w:val="0"/>
                      <w:color w:val="auto"/>
                      <w:szCs w:val="21"/>
                    </w:rPr>
                    <w:t>m</w:t>
                  </w:r>
                  <w:r>
                    <w:rPr>
                      <w:rFonts w:hint="default" w:ascii="Times New Roman" w:hAnsi="Times New Roman" w:eastAsia="宋体" w:cs="Times New Roman"/>
                      <w:b w:val="0"/>
                      <w:bCs w:val="0"/>
                      <w:color w:val="auto"/>
                      <w:szCs w:val="21"/>
                      <w:vertAlign w:val="superscript"/>
                    </w:rPr>
                    <w:t>2</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eastAsia" w:ascii="Times New Roman" w:hAnsi="Times New Roman" w:eastAsia="宋体" w:cs="Times New Roman"/>
                      <w:b w:val="0"/>
                      <w:bCs w:val="0"/>
                      <w:color w:val="auto"/>
                      <w:kern w:val="0"/>
                      <w:szCs w:val="21"/>
                      <w:lang w:val="en-US" w:eastAsia="zh-CN"/>
                    </w:rPr>
                    <w:t>密封桶装</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最大1t</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不超60天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8" w:type="dxa"/>
                  <w:vAlign w:val="center"/>
                </w:tcPr>
                <w:p>
                  <w:pPr>
                    <w:topLinePunct/>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废导热油</w:t>
                  </w:r>
                </w:p>
              </w:tc>
              <w:tc>
                <w:tcPr>
                  <w:tcW w:w="851" w:type="dxa"/>
                  <w:vAlign w:val="center"/>
                </w:tcPr>
                <w:p>
                  <w:pPr>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HW08</w:t>
                  </w:r>
                </w:p>
              </w:tc>
              <w:tc>
                <w:tcPr>
                  <w:tcW w:w="850" w:type="dxa"/>
                  <w:vAlign w:val="center"/>
                </w:tcPr>
                <w:p>
                  <w:pPr>
                    <w:topLinePunct/>
                    <w:adjustRightInd w:val="0"/>
                    <w:snapToGrid w:val="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rPr>
                    <w:t>900-214-08</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油类</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T、I</w:t>
                  </w:r>
                </w:p>
              </w:tc>
              <w:tc>
                <w:tcPr>
                  <w:tcW w:w="709"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eastAsia" w:ascii="Times New Roman" w:hAnsi="Times New Roman" w:eastAsia="宋体" w:cs="Times New Roman"/>
                      <w:b w:val="0"/>
                      <w:bCs w:val="0"/>
                      <w:color w:val="auto"/>
                      <w:kern w:val="0"/>
                      <w:szCs w:val="21"/>
                      <w:lang w:val="en-US" w:eastAsia="zh-CN"/>
                    </w:rPr>
                    <w:t>密封桶装</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最大</w:t>
                  </w:r>
                  <w:r>
                    <w:rPr>
                      <w:rFonts w:hint="default" w:ascii="Times New Roman" w:hAnsi="Times New Roman" w:eastAsia="宋体" w:cs="Times New Roman"/>
                      <w:b w:val="0"/>
                      <w:bCs w:val="0"/>
                      <w:color w:val="auto"/>
                      <w:kern w:val="0"/>
                      <w:szCs w:val="21"/>
                      <w:lang w:val="en-US" w:eastAsia="zh-CN"/>
                    </w:rPr>
                    <w:t>3</w:t>
                  </w:r>
                  <w:r>
                    <w:rPr>
                      <w:rFonts w:hint="default" w:ascii="Times New Roman" w:hAnsi="Times New Roman" w:eastAsia="宋体" w:cs="Times New Roman"/>
                      <w:b w:val="0"/>
                      <w:bCs w:val="0"/>
                      <w:color w:val="auto"/>
                      <w:kern w:val="0"/>
                      <w:szCs w:val="21"/>
                    </w:rPr>
                    <w:t>t</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不超60天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8" w:type="dxa"/>
                  <w:vAlign w:val="center"/>
                </w:tcPr>
                <w:p>
                  <w:pPr>
                    <w:topLinePunct/>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废油桶</w:t>
                  </w:r>
                </w:p>
              </w:tc>
              <w:tc>
                <w:tcPr>
                  <w:tcW w:w="851" w:type="dxa"/>
                  <w:vAlign w:val="center"/>
                </w:tcPr>
                <w:p>
                  <w:pPr>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HW49</w:t>
                  </w:r>
                </w:p>
              </w:tc>
              <w:tc>
                <w:tcPr>
                  <w:tcW w:w="850" w:type="dxa"/>
                  <w:vAlign w:val="center"/>
                </w:tcPr>
                <w:p>
                  <w:pPr>
                    <w:topLinePunct/>
                    <w:adjustRightInd w:val="0"/>
                    <w:snapToGrid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900-041-49</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油类</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T/In</w:t>
                  </w:r>
                </w:p>
              </w:tc>
              <w:tc>
                <w:tcPr>
                  <w:tcW w:w="709"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lang w:val="en-US"/>
                    </w:rPr>
                  </w:pPr>
                  <w:r>
                    <w:rPr>
                      <w:rFonts w:hint="eastAsia" w:ascii="Times New Roman" w:hAnsi="Times New Roman" w:eastAsia="宋体" w:cs="Times New Roman"/>
                      <w:b w:val="0"/>
                      <w:bCs w:val="0"/>
                      <w:color w:val="auto"/>
                      <w:kern w:val="0"/>
                      <w:szCs w:val="21"/>
                      <w:lang w:val="en-US" w:eastAsia="zh-CN"/>
                    </w:rPr>
                    <w:t>隔离</w:t>
                  </w:r>
                  <w:r>
                    <w:rPr>
                      <w:rFonts w:hint="default" w:ascii="Times New Roman" w:hAnsi="Times New Roman" w:eastAsia="宋体" w:cs="Times New Roman"/>
                      <w:b w:val="0"/>
                      <w:bCs w:val="0"/>
                      <w:color w:val="auto"/>
                      <w:kern w:val="0"/>
                      <w:szCs w:val="21"/>
                    </w:rPr>
                    <w:t>贮存</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最大1t</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不超60天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8" w:type="dxa"/>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废活性炭</w:t>
                  </w:r>
                </w:p>
              </w:tc>
              <w:tc>
                <w:tcPr>
                  <w:tcW w:w="851" w:type="dxa"/>
                  <w:vAlign w:val="center"/>
                </w:tcPr>
                <w:p>
                  <w:pPr>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HW49</w:t>
                  </w:r>
                </w:p>
              </w:tc>
              <w:tc>
                <w:tcPr>
                  <w:tcW w:w="850" w:type="dxa"/>
                  <w:vAlign w:val="center"/>
                </w:tcPr>
                <w:p>
                  <w:pPr>
                    <w:keepNext w:val="0"/>
                    <w:keepLines w:val="0"/>
                    <w:widowControl/>
                    <w:suppressLineNumbers w:val="0"/>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kern w:val="0"/>
                      <w:sz w:val="21"/>
                      <w:szCs w:val="21"/>
                      <w:lang w:val="en-US" w:eastAsia="zh-CN" w:bidi="ar"/>
                    </w:rPr>
                    <w:t>900-039-49</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Cs w:val="21"/>
                      <w:lang w:val="en-US" w:eastAsia="zh-CN"/>
                    </w:rPr>
                  </w:pPr>
                  <w:r>
                    <w:rPr>
                      <w:rFonts w:hint="default" w:ascii="Times New Roman" w:hAnsi="Times New Roman" w:eastAsia="宋体" w:cs="Times New Roman"/>
                      <w:b w:val="0"/>
                      <w:bCs w:val="0"/>
                      <w:color w:val="auto"/>
                      <w:kern w:val="0"/>
                      <w:szCs w:val="21"/>
                      <w:lang w:val="en-US" w:eastAsia="zh-CN"/>
                    </w:rPr>
                    <w:t>有毒物质</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T</w:t>
                  </w:r>
                </w:p>
              </w:tc>
              <w:tc>
                <w:tcPr>
                  <w:tcW w:w="709"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Cs w:val="21"/>
                      <w:lang w:val="en-US" w:eastAsia="zh-CN"/>
                    </w:rPr>
                  </w:pPr>
                  <w:r>
                    <w:rPr>
                      <w:rFonts w:hint="eastAsia" w:ascii="Times New Roman" w:hAnsi="Times New Roman" w:eastAsia="宋体" w:cs="Times New Roman"/>
                      <w:b w:val="0"/>
                      <w:bCs w:val="0"/>
                      <w:color w:val="auto"/>
                      <w:kern w:val="0"/>
                      <w:szCs w:val="21"/>
                      <w:lang w:val="en-US" w:eastAsia="zh-CN"/>
                    </w:rPr>
                    <w:t>密封桶装</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最大</w:t>
                  </w:r>
                  <w:r>
                    <w:rPr>
                      <w:rFonts w:hint="default" w:ascii="Times New Roman" w:hAnsi="Times New Roman" w:eastAsia="宋体" w:cs="Times New Roman"/>
                      <w:b w:val="0"/>
                      <w:bCs w:val="0"/>
                      <w:color w:val="auto"/>
                      <w:kern w:val="0"/>
                      <w:szCs w:val="21"/>
                      <w:lang w:val="en-US" w:eastAsia="zh-CN"/>
                    </w:rPr>
                    <w:t>2</w:t>
                  </w:r>
                  <w:r>
                    <w:rPr>
                      <w:rFonts w:hint="default" w:ascii="Times New Roman" w:hAnsi="Times New Roman" w:eastAsia="宋体" w:cs="Times New Roman"/>
                      <w:b w:val="0"/>
                      <w:bCs w:val="0"/>
                      <w:color w:val="auto"/>
                      <w:kern w:val="0"/>
                      <w:szCs w:val="21"/>
                    </w:rPr>
                    <w:t>t</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不超60天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1"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8" w:type="dxa"/>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废油渣</w:t>
                  </w:r>
                </w:p>
              </w:tc>
              <w:tc>
                <w:tcPr>
                  <w:tcW w:w="851" w:type="dxa"/>
                  <w:vAlign w:val="center"/>
                </w:tcPr>
                <w:p>
                  <w:pPr>
                    <w:jc w:val="center"/>
                    <w:rPr>
                      <w:rFonts w:hint="default" w:ascii="Times New Roman" w:hAnsi="Times New Roman" w:eastAsia="宋体" w:cs="Times New Roman"/>
                      <w:b w:val="0"/>
                      <w:bCs w:val="0"/>
                      <w:color w:val="auto"/>
                      <w:kern w:val="0"/>
                      <w:szCs w:val="21"/>
                    </w:rPr>
                  </w:pPr>
                  <w:r>
                    <w:rPr>
                      <w:rFonts w:hint="default" w:ascii="Times New Roman" w:hAnsi="Times New Roman" w:eastAsia="宋体" w:cs="Times New Roman"/>
                      <w:b w:val="0"/>
                      <w:bCs w:val="0"/>
                      <w:color w:val="auto"/>
                      <w:kern w:val="0"/>
                      <w:szCs w:val="21"/>
                    </w:rPr>
                    <w:t>HW49</w:t>
                  </w:r>
                </w:p>
              </w:tc>
              <w:tc>
                <w:tcPr>
                  <w:tcW w:w="850" w:type="dxa"/>
                  <w:vAlign w:val="center"/>
                </w:tcPr>
                <w:p>
                  <w:pPr>
                    <w:topLinePunct/>
                    <w:adjustRightInd w:val="0"/>
                    <w:snapToGrid w:val="0"/>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900-214-08</w:t>
                  </w:r>
                </w:p>
              </w:tc>
              <w:tc>
                <w:tcPr>
                  <w:tcW w:w="1134"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油类</w:t>
                  </w:r>
                </w:p>
              </w:tc>
              <w:tc>
                <w:tcPr>
                  <w:tcW w:w="709"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T、I</w:t>
                  </w:r>
                </w:p>
              </w:tc>
              <w:tc>
                <w:tcPr>
                  <w:tcW w:w="709" w:type="dxa"/>
                  <w:vMerge w:val="continue"/>
                  <w:vAlign w:val="center"/>
                </w:tcPr>
                <w:p>
                  <w:pPr>
                    <w:topLinePunct/>
                    <w:adjustRightInd w:val="0"/>
                    <w:snapToGrid w:val="0"/>
                    <w:jc w:val="center"/>
                    <w:rPr>
                      <w:rFonts w:hint="default" w:ascii="Times New Roman" w:hAnsi="Times New Roman" w:eastAsia="宋体" w:cs="Times New Roman"/>
                      <w:b w:val="0"/>
                      <w:bCs w:val="0"/>
                      <w:color w:val="auto"/>
                      <w:kern w:val="0"/>
                      <w:szCs w:val="21"/>
                    </w:rPr>
                  </w:pPr>
                </w:p>
              </w:tc>
              <w:tc>
                <w:tcPr>
                  <w:tcW w:w="709" w:type="dxa"/>
                  <w:vAlign w:val="center"/>
                </w:tcPr>
                <w:p>
                  <w:pPr>
                    <w:topLinePunct/>
                    <w:adjustRightInd w:val="0"/>
                    <w:snapToGrid w:val="0"/>
                    <w:jc w:val="center"/>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kern w:val="0"/>
                      <w:szCs w:val="21"/>
                      <w:lang w:val="en-US" w:eastAsia="zh-CN"/>
                    </w:rPr>
                    <w:t>密封桶装</w:t>
                  </w:r>
                </w:p>
              </w:tc>
              <w:tc>
                <w:tcPr>
                  <w:tcW w:w="798"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最大1t</w:t>
                  </w:r>
                </w:p>
              </w:tc>
              <w:tc>
                <w:tcPr>
                  <w:tcW w:w="713" w:type="dxa"/>
                  <w:vAlign w:val="center"/>
                </w:tcPr>
                <w:p>
                  <w:pPr>
                    <w:topLinePunct/>
                    <w:adjustRightInd w:val="0"/>
                    <w:snapToGrid w:val="0"/>
                    <w:jc w:val="center"/>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Cs w:val="21"/>
                    </w:rPr>
                    <w:t>不超60天</w:t>
                  </w:r>
                </w:p>
              </w:tc>
            </w:tr>
          </w:tbl>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1、污染源强及污染防治措施</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本项目运营期产生的固体废物主要为职工产生的生活垃圾、</w:t>
            </w:r>
            <w:r>
              <w:rPr>
                <w:rFonts w:hint="default" w:ascii="Times New Roman" w:hAnsi="Times New Roman" w:eastAsia="宋体" w:cs="Times New Roman"/>
                <w:b w:val="0"/>
                <w:bCs w:val="0"/>
                <w:color w:val="auto"/>
                <w:spacing w:val="4"/>
                <w:sz w:val="24"/>
              </w:rPr>
              <w:t>布袋除尘器收集的粉尘、设备保养产生的废润滑油和废油桶、导热油炉产生的废导热油。其中废矿物油、废导热油和废油桶属于危险废物。</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⑴生活垃圾</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本项目劳动定员共19人，年工作</w:t>
            </w:r>
            <w:r>
              <w:rPr>
                <w:rFonts w:hint="default" w:ascii="Times New Roman" w:hAnsi="Times New Roman" w:eastAsia="宋体" w:cs="Times New Roman"/>
                <w:b w:val="0"/>
                <w:bCs w:val="0"/>
                <w:color w:val="auto"/>
                <w:spacing w:val="4"/>
                <w:sz w:val="24"/>
                <w:szCs w:val="24"/>
                <w:lang w:val="en-US" w:eastAsia="zh-CN"/>
              </w:rPr>
              <w:t>30</w:t>
            </w:r>
            <w:r>
              <w:rPr>
                <w:rFonts w:hint="default" w:ascii="Times New Roman" w:hAnsi="Times New Roman" w:eastAsia="宋体" w:cs="Times New Roman"/>
                <w:b w:val="0"/>
                <w:bCs w:val="0"/>
                <w:color w:val="auto"/>
                <w:spacing w:val="4"/>
                <w:sz w:val="24"/>
                <w:szCs w:val="24"/>
              </w:rPr>
              <w:t>0d，生活垃圾按每人每天0.5kg/d计，则生活垃圾产生量为2.</w:t>
            </w:r>
            <w:r>
              <w:rPr>
                <w:rFonts w:hint="default" w:ascii="Times New Roman" w:hAnsi="Times New Roman" w:eastAsia="宋体" w:cs="Times New Roman"/>
                <w:b w:val="0"/>
                <w:bCs w:val="0"/>
                <w:color w:val="auto"/>
                <w:spacing w:val="4"/>
                <w:sz w:val="24"/>
                <w:szCs w:val="24"/>
                <w:lang w:val="en-US" w:eastAsia="zh-CN"/>
              </w:rPr>
              <w:t>85</w:t>
            </w:r>
            <w:r>
              <w:rPr>
                <w:rFonts w:hint="default" w:ascii="Times New Roman" w:hAnsi="Times New Roman" w:eastAsia="宋体" w:cs="Times New Roman"/>
                <w:b w:val="0"/>
                <w:bCs w:val="0"/>
                <w:color w:val="auto"/>
                <w:spacing w:val="4"/>
                <w:sz w:val="24"/>
                <w:szCs w:val="24"/>
              </w:rPr>
              <w:t>t/a。生活垃圾在厂区暂存，交由环卫部门处理。</w:t>
            </w:r>
          </w:p>
          <w:p>
            <w:pPr>
              <w:spacing w:line="440" w:lineRule="exact"/>
              <w:ind w:firstLine="496" w:firstLineChars="200"/>
              <w:rPr>
                <w:rFonts w:hint="default" w:ascii="Times New Roman" w:hAnsi="Times New Roman" w:eastAsia="宋体" w:cs="Times New Roman"/>
                <w:b w:val="0"/>
                <w:bCs w:val="0"/>
                <w:color w:val="auto"/>
                <w:spacing w:val="4"/>
                <w:sz w:val="24"/>
              </w:rPr>
            </w:pPr>
            <w:r>
              <w:rPr>
                <w:rFonts w:hint="default" w:ascii="Times New Roman" w:hAnsi="Times New Roman" w:eastAsia="宋体" w:cs="Times New Roman"/>
                <w:b w:val="0"/>
                <w:bCs w:val="0"/>
                <w:color w:val="auto"/>
                <w:spacing w:val="4"/>
                <w:sz w:val="24"/>
                <w:szCs w:val="24"/>
              </w:rPr>
              <w:t>⑵除尘器</w:t>
            </w:r>
            <w:r>
              <w:rPr>
                <w:rFonts w:hint="default" w:ascii="Times New Roman" w:hAnsi="Times New Roman" w:eastAsia="宋体" w:cs="Times New Roman"/>
                <w:b w:val="0"/>
                <w:bCs w:val="0"/>
                <w:color w:val="auto"/>
                <w:spacing w:val="4"/>
                <w:sz w:val="24"/>
              </w:rPr>
              <w:t>除尘灰</w:t>
            </w:r>
          </w:p>
          <w:p>
            <w:pPr>
              <w:spacing w:line="440" w:lineRule="exact"/>
              <w:ind w:firstLine="480"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z w:val="24"/>
              </w:rPr>
              <w:t>本项目布袋除尘器收集的除尘灰属于一般固废，产生量约为</w:t>
            </w:r>
            <w:r>
              <w:rPr>
                <w:rFonts w:hint="default" w:ascii="Times New Roman" w:hAnsi="Times New Roman" w:eastAsia="宋体" w:cs="Times New Roman"/>
                <w:b w:val="0"/>
                <w:bCs w:val="0"/>
                <w:color w:val="auto"/>
                <w:sz w:val="24"/>
                <w:lang w:val="en-US" w:eastAsia="zh-CN"/>
              </w:rPr>
              <w:t>13.487</w:t>
            </w:r>
            <w:r>
              <w:rPr>
                <w:rFonts w:hint="default" w:ascii="Times New Roman" w:hAnsi="Times New Roman" w:eastAsia="宋体" w:cs="Times New Roman"/>
                <w:b w:val="0"/>
                <w:bCs w:val="0"/>
                <w:color w:val="auto"/>
                <w:sz w:val="24"/>
              </w:rPr>
              <w:t>t/a，本项目各环节除尘器收集的除尘灰</w:t>
            </w:r>
            <w:r>
              <w:rPr>
                <w:rFonts w:hint="eastAsia" w:ascii="Times New Roman" w:hAnsi="Times New Roman" w:eastAsia="宋体" w:cs="Times New Roman"/>
                <w:b w:val="0"/>
                <w:bCs w:val="0"/>
                <w:color w:val="auto"/>
                <w:sz w:val="24"/>
                <w:lang w:val="en-US" w:eastAsia="zh-CN"/>
              </w:rPr>
              <w:t>全部外售</w:t>
            </w:r>
            <w:r>
              <w:rPr>
                <w:rFonts w:hint="default" w:ascii="Times New Roman" w:hAnsi="Times New Roman" w:eastAsia="宋体" w:cs="Times New Roman"/>
                <w:b w:val="0"/>
                <w:bCs w:val="0"/>
                <w:color w:val="auto"/>
                <w:sz w:val="24"/>
              </w:rPr>
              <w:t>。</w:t>
            </w:r>
          </w:p>
          <w:p>
            <w:pPr>
              <w:spacing w:line="440" w:lineRule="exact"/>
              <w:ind w:firstLine="496"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pacing w:val="4"/>
                <w:sz w:val="24"/>
                <w:szCs w:val="24"/>
              </w:rPr>
              <w:t>⑶</w:t>
            </w:r>
            <w:r>
              <w:rPr>
                <w:rFonts w:hint="default" w:ascii="Times New Roman" w:hAnsi="Times New Roman" w:eastAsia="宋体" w:cs="Times New Roman"/>
                <w:b w:val="0"/>
                <w:bCs w:val="0"/>
                <w:color w:val="auto"/>
                <w:sz w:val="24"/>
                <w:szCs w:val="24"/>
              </w:rPr>
              <w:t>危险废物</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①</w:t>
            </w:r>
            <w:r>
              <w:rPr>
                <w:rFonts w:hint="default" w:ascii="Times New Roman" w:hAnsi="Times New Roman" w:eastAsia="宋体" w:cs="Times New Roman"/>
                <w:b w:val="0"/>
                <w:bCs w:val="0"/>
                <w:color w:val="auto"/>
                <w:sz w:val="24"/>
                <w:szCs w:val="24"/>
              </w:rPr>
              <w:t>废润滑油</w:t>
            </w:r>
          </w:p>
          <w:p>
            <w:pPr>
              <w:spacing w:line="440" w:lineRule="exact"/>
              <w:ind w:firstLine="496" w:firstLineChars="200"/>
              <w:rPr>
                <w:rFonts w:hint="default" w:ascii="Times New Roman" w:hAnsi="Times New Roman" w:eastAsia="宋体" w:cs="Times New Roman"/>
                <w:b w:val="0"/>
                <w:bCs w:val="0"/>
                <w:color w:val="auto"/>
                <w:spacing w:val="4"/>
                <w:sz w:val="24"/>
                <w:szCs w:val="24"/>
              </w:rPr>
            </w:pPr>
            <w:r>
              <w:rPr>
                <w:rFonts w:hint="default" w:ascii="Times New Roman" w:hAnsi="Times New Roman" w:eastAsia="宋体" w:cs="Times New Roman"/>
                <w:b w:val="0"/>
                <w:bCs w:val="0"/>
                <w:color w:val="auto"/>
                <w:spacing w:val="4"/>
                <w:sz w:val="24"/>
                <w:szCs w:val="24"/>
              </w:rPr>
              <w:t>根据2021年颁布的《国家危险废物名录》中有关规定，本项目</w:t>
            </w:r>
            <w:r>
              <w:rPr>
                <w:rFonts w:hint="default" w:ascii="Times New Roman" w:hAnsi="Times New Roman" w:eastAsia="宋体" w:cs="Times New Roman"/>
                <w:b w:val="0"/>
                <w:bCs w:val="0"/>
                <w:color w:val="auto"/>
                <w:sz w:val="24"/>
                <w:szCs w:val="24"/>
              </w:rPr>
              <w:t>产生的废润滑油</w:t>
            </w:r>
            <w:r>
              <w:rPr>
                <w:rFonts w:hint="default" w:ascii="Times New Roman" w:hAnsi="Times New Roman" w:eastAsia="宋体" w:cs="Times New Roman"/>
                <w:b w:val="0"/>
                <w:bCs w:val="0"/>
                <w:color w:val="auto"/>
                <w:spacing w:val="4"/>
                <w:sz w:val="24"/>
                <w:szCs w:val="24"/>
              </w:rPr>
              <w:t>属于危险废物HW08，900-214-08。</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本项目需定期对设备进行定期维护，维护需用机械润滑油，由此产生少量废润滑油，一般为年用量的5-10%，本项目按10%计，本项目润滑油用量约为0.5t/a，则废润滑油产生量约为0.05t/a</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定期委托</w:t>
            </w:r>
            <w:r>
              <w:rPr>
                <w:rFonts w:hint="eastAsia" w:ascii="Times New Roman" w:hAnsi="Times New Roman" w:eastAsia="宋体" w:cs="Times New Roman"/>
                <w:b w:val="0"/>
                <w:bCs w:val="0"/>
                <w:color w:val="auto"/>
                <w:sz w:val="24"/>
                <w:lang w:val="en-US" w:eastAsia="zh-CN"/>
              </w:rPr>
              <w:t>有资质单位回收</w:t>
            </w:r>
            <w:r>
              <w:rPr>
                <w:rFonts w:hint="default" w:ascii="Times New Roman" w:hAnsi="Times New Roman" w:eastAsia="宋体" w:cs="Times New Roman"/>
                <w:b w:val="0"/>
                <w:bCs w:val="0"/>
                <w:color w:val="auto"/>
                <w:sz w:val="24"/>
              </w:rPr>
              <w:t>处置</w:t>
            </w:r>
            <w:r>
              <w:rPr>
                <w:rFonts w:hint="default" w:ascii="Times New Roman" w:hAnsi="Times New Roman" w:eastAsia="宋体" w:cs="Times New Roman"/>
                <w:b w:val="0"/>
                <w:bCs w:val="0"/>
                <w:color w:val="auto"/>
                <w:sz w:val="24"/>
                <w:szCs w:val="24"/>
              </w:rPr>
              <w:t>。</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②废导热油</w:t>
            </w:r>
          </w:p>
          <w:p>
            <w:pPr>
              <w:spacing w:line="440" w:lineRule="exact"/>
              <w:ind w:firstLine="496"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pacing w:val="4"/>
                <w:sz w:val="24"/>
                <w:szCs w:val="32"/>
              </w:rPr>
              <w:t>根据2021年颁布的《国家危险废物名录》中有关规定，本项目</w:t>
            </w:r>
            <w:r>
              <w:rPr>
                <w:rFonts w:hint="default" w:ascii="Times New Roman" w:hAnsi="Times New Roman" w:eastAsia="宋体" w:cs="Times New Roman"/>
                <w:b w:val="0"/>
                <w:bCs w:val="0"/>
                <w:color w:val="auto"/>
                <w:sz w:val="24"/>
              </w:rPr>
              <w:t>导热油更换时产生的废导热油属于</w:t>
            </w:r>
            <w:r>
              <w:rPr>
                <w:rFonts w:hint="default" w:ascii="Times New Roman" w:hAnsi="Times New Roman" w:eastAsia="宋体" w:cs="Times New Roman"/>
                <w:b w:val="0"/>
                <w:bCs w:val="0"/>
                <w:color w:val="auto"/>
                <w:spacing w:val="4"/>
                <w:sz w:val="24"/>
                <w:szCs w:val="32"/>
              </w:rPr>
              <w:t>危险废物HW08，900-214-08。</w:t>
            </w:r>
            <w:r>
              <w:rPr>
                <w:rFonts w:hint="default" w:ascii="Times New Roman" w:hAnsi="Times New Roman" w:eastAsia="宋体" w:cs="Times New Roman"/>
                <w:b w:val="0"/>
                <w:bCs w:val="0"/>
                <w:color w:val="auto"/>
                <w:sz w:val="24"/>
              </w:rPr>
              <w:t>导热炉及管网内导热油最大储存量约3t。导热油更换周期为三年，更换下来的导热油委托</w:t>
            </w:r>
            <w:r>
              <w:rPr>
                <w:rFonts w:hint="eastAsia" w:ascii="Times New Roman" w:hAnsi="Times New Roman" w:eastAsia="宋体" w:cs="Times New Roman"/>
                <w:b w:val="0"/>
                <w:bCs w:val="0"/>
                <w:color w:val="auto"/>
                <w:sz w:val="24"/>
                <w:lang w:val="en-US" w:eastAsia="zh-CN"/>
              </w:rPr>
              <w:t>有资质单位回收</w:t>
            </w:r>
            <w:r>
              <w:rPr>
                <w:rFonts w:hint="default" w:ascii="Times New Roman" w:hAnsi="Times New Roman" w:eastAsia="宋体" w:cs="Times New Roman"/>
                <w:b w:val="0"/>
                <w:bCs w:val="0"/>
                <w:color w:val="auto"/>
                <w:sz w:val="24"/>
              </w:rPr>
              <w:t>处置。</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③废油桶</w:t>
            </w:r>
          </w:p>
          <w:p>
            <w:pPr>
              <w:spacing w:line="440" w:lineRule="exact"/>
              <w:ind w:firstLine="496" w:firstLineChars="200"/>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pacing w:val="4"/>
                <w:sz w:val="24"/>
                <w:szCs w:val="32"/>
              </w:rPr>
              <w:t>根据2021年颁布的《国家危险废物名录》中有关规定，本项目产生的废油桶属于危险废物HW49，900-041-49。</w:t>
            </w:r>
            <w:r>
              <w:rPr>
                <w:rFonts w:hint="default" w:ascii="Times New Roman" w:hAnsi="Times New Roman" w:eastAsia="宋体" w:cs="Times New Roman"/>
                <w:b w:val="0"/>
                <w:bCs w:val="0"/>
                <w:color w:val="auto"/>
                <w:sz w:val="24"/>
              </w:rPr>
              <w:t>废油桶产生量约为0.01t/a</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定期委托</w:t>
            </w:r>
            <w:r>
              <w:rPr>
                <w:rFonts w:hint="eastAsia" w:ascii="Times New Roman" w:hAnsi="Times New Roman" w:eastAsia="宋体" w:cs="Times New Roman"/>
                <w:b w:val="0"/>
                <w:bCs w:val="0"/>
                <w:color w:val="auto"/>
                <w:sz w:val="24"/>
                <w:lang w:val="en-US" w:eastAsia="zh-CN"/>
              </w:rPr>
              <w:t>有资质单位回收</w:t>
            </w:r>
            <w:r>
              <w:rPr>
                <w:rFonts w:hint="default" w:ascii="Times New Roman" w:hAnsi="Times New Roman" w:eastAsia="宋体" w:cs="Times New Roman"/>
                <w:b w:val="0"/>
                <w:bCs w:val="0"/>
                <w:color w:val="auto"/>
                <w:sz w:val="24"/>
              </w:rPr>
              <w:t>处置</w:t>
            </w:r>
            <w:r>
              <w:rPr>
                <w:rFonts w:hint="default" w:ascii="Times New Roman" w:hAnsi="Times New Roman" w:eastAsia="宋体" w:cs="Times New Roman"/>
                <w:b w:val="0"/>
                <w:bCs w:val="0"/>
                <w:color w:val="auto"/>
                <w:sz w:val="24"/>
                <w:lang w:eastAsia="zh-CN"/>
              </w:rPr>
              <w:t>。</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④废活性炭</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本项目</w:t>
            </w:r>
            <w:r>
              <w:rPr>
                <w:rFonts w:hint="default" w:ascii="Times New Roman" w:hAnsi="Times New Roman" w:eastAsia="宋体" w:cs="Times New Roman"/>
                <w:b w:val="0"/>
                <w:bCs w:val="0"/>
                <w:color w:val="auto"/>
                <w:sz w:val="24"/>
                <w:lang w:val="en-US" w:eastAsia="zh-CN"/>
              </w:rPr>
              <w:t>设置有</w:t>
            </w:r>
            <w:r>
              <w:rPr>
                <w:rFonts w:hint="default" w:ascii="Times New Roman" w:hAnsi="Times New Roman" w:eastAsia="宋体" w:cs="Times New Roman"/>
                <w:b w:val="0"/>
                <w:bCs w:val="0"/>
                <w:color w:val="auto"/>
                <w:sz w:val="24"/>
              </w:rPr>
              <w:t>一套活性炭吸附装置处理，类比同类企业，则本项目活性炭最大使用量约</w:t>
            </w:r>
            <w:r>
              <w:rPr>
                <w:rFonts w:hint="default" w:ascii="Times New Roman" w:hAnsi="Times New Roman" w:eastAsia="宋体" w:cs="Times New Roman"/>
                <w:b w:val="0"/>
                <w:bCs w:val="0"/>
                <w:color w:val="auto"/>
                <w:sz w:val="24"/>
                <w:lang w:val="en-US" w:eastAsia="zh-CN"/>
              </w:rPr>
              <w:t>5</w:t>
            </w:r>
            <w:r>
              <w:rPr>
                <w:rFonts w:hint="default" w:ascii="Times New Roman" w:hAnsi="Times New Roman" w:eastAsia="宋体" w:cs="Times New Roman"/>
                <w:b w:val="0"/>
                <w:bCs w:val="0"/>
                <w:color w:val="auto"/>
                <w:sz w:val="24"/>
              </w:rPr>
              <w:t>t/a，活性炭每年更换一次</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定期委托</w:t>
            </w:r>
            <w:r>
              <w:rPr>
                <w:rFonts w:hint="eastAsia" w:ascii="Times New Roman" w:hAnsi="Times New Roman" w:eastAsia="宋体" w:cs="Times New Roman"/>
                <w:b w:val="0"/>
                <w:bCs w:val="0"/>
                <w:color w:val="auto"/>
                <w:sz w:val="24"/>
                <w:lang w:val="en-US" w:eastAsia="zh-CN"/>
              </w:rPr>
              <w:t>有资质单位回收</w:t>
            </w:r>
            <w:r>
              <w:rPr>
                <w:rFonts w:hint="default" w:ascii="Times New Roman" w:hAnsi="Times New Roman" w:eastAsia="宋体" w:cs="Times New Roman"/>
                <w:b w:val="0"/>
                <w:bCs w:val="0"/>
                <w:color w:val="auto"/>
                <w:sz w:val="24"/>
              </w:rPr>
              <w:t>处置。</w:t>
            </w:r>
          </w:p>
          <w:p>
            <w:pPr>
              <w:spacing w:line="440" w:lineRule="exact"/>
              <w:ind w:firstLine="480" w:firstLineChars="200"/>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⑤</w:t>
            </w:r>
            <w:r>
              <w:rPr>
                <w:rFonts w:hint="default" w:ascii="Times New Roman" w:hAnsi="Times New Roman" w:eastAsia="宋体" w:cs="Times New Roman"/>
                <w:b w:val="0"/>
                <w:bCs w:val="0"/>
                <w:color w:val="auto"/>
                <w:sz w:val="24"/>
              </w:rPr>
              <w:t>废</w:t>
            </w:r>
            <w:r>
              <w:rPr>
                <w:rFonts w:hint="eastAsia" w:ascii="Times New Roman" w:hAnsi="Times New Roman" w:eastAsia="宋体" w:cs="Times New Roman"/>
                <w:b w:val="0"/>
                <w:bCs w:val="0"/>
                <w:color w:val="auto"/>
                <w:sz w:val="24"/>
                <w:lang w:val="en-US" w:eastAsia="zh-CN"/>
              </w:rPr>
              <w:t>油渣</w:t>
            </w:r>
          </w:p>
          <w:p>
            <w:pPr>
              <w:spacing w:line="440" w:lineRule="exact"/>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rPr>
              <w:t>本项目</w:t>
            </w:r>
            <w:r>
              <w:rPr>
                <w:rFonts w:hint="eastAsia" w:ascii="Times New Roman" w:hAnsi="Times New Roman" w:eastAsia="宋体" w:cs="Times New Roman"/>
                <w:b w:val="0"/>
                <w:bCs w:val="0"/>
                <w:color w:val="auto"/>
                <w:sz w:val="24"/>
                <w:lang w:val="en-US" w:eastAsia="zh-CN"/>
              </w:rPr>
              <w:t>电捕捉、隔油、气浮等装置在运行过程中会产生废油渣</w:t>
            </w:r>
            <w:r>
              <w:rPr>
                <w:rFonts w:hint="default" w:ascii="Times New Roman" w:hAnsi="Times New Roman" w:eastAsia="宋体" w:cs="Times New Roman"/>
                <w:b w:val="0"/>
                <w:bCs w:val="0"/>
                <w:color w:val="auto"/>
                <w:sz w:val="24"/>
              </w:rPr>
              <w:t>，类比同类企业，废</w:t>
            </w:r>
            <w:r>
              <w:rPr>
                <w:rFonts w:hint="eastAsia" w:ascii="Times New Roman" w:hAnsi="Times New Roman" w:eastAsia="宋体" w:cs="Times New Roman"/>
                <w:b w:val="0"/>
                <w:bCs w:val="0"/>
                <w:color w:val="auto"/>
                <w:sz w:val="24"/>
                <w:lang w:val="en-US" w:eastAsia="zh-CN"/>
              </w:rPr>
              <w:t>油渣</w:t>
            </w:r>
            <w:r>
              <w:rPr>
                <w:rFonts w:hint="default" w:ascii="Times New Roman" w:hAnsi="Times New Roman" w:eastAsia="宋体" w:cs="Times New Roman"/>
                <w:b w:val="0"/>
                <w:bCs w:val="0"/>
                <w:color w:val="auto"/>
                <w:sz w:val="24"/>
              </w:rPr>
              <w:t>产生量约为0.</w:t>
            </w:r>
            <w:r>
              <w:rPr>
                <w:rFonts w:hint="eastAsia" w:ascii="Times New Roman" w:hAnsi="Times New Roman" w:eastAsia="宋体" w:cs="Times New Roman"/>
                <w:b w:val="0"/>
                <w:bCs w:val="0"/>
                <w:color w:val="auto"/>
                <w:sz w:val="24"/>
                <w:lang w:val="en-US" w:eastAsia="zh-CN"/>
              </w:rPr>
              <w:t>02</w:t>
            </w:r>
            <w:r>
              <w:rPr>
                <w:rFonts w:hint="default" w:ascii="Times New Roman" w:hAnsi="Times New Roman" w:eastAsia="宋体" w:cs="Times New Roman"/>
                <w:b w:val="0"/>
                <w:bCs w:val="0"/>
                <w:color w:val="auto"/>
                <w:sz w:val="24"/>
              </w:rPr>
              <w:t>t/a，定期委托</w:t>
            </w:r>
            <w:r>
              <w:rPr>
                <w:rFonts w:hint="eastAsia" w:ascii="Times New Roman" w:hAnsi="Times New Roman" w:eastAsia="宋体" w:cs="Times New Roman"/>
                <w:b w:val="0"/>
                <w:bCs w:val="0"/>
                <w:color w:val="auto"/>
                <w:sz w:val="24"/>
                <w:lang w:val="en-US" w:eastAsia="zh-CN"/>
              </w:rPr>
              <w:t>有资质单位回收</w:t>
            </w:r>
            <w:r>
              <w:rPr>
                <w:rFonts w:hint="default" w:ascii="Times New Roman" w:hAnsi="Times New Roman" w:eastAsia="宋体" w:cs="Times New Roman"/>
                <w:b w:val="0"/>
                <w:bCs w:val="0"/>
                <w:color w:val="auto"/>
                <w:sz w:val="24"/>
              </w:rPr>
              <w:t>处置。</w:t>
            </w:r>
          </w:p>
          <w:p>
            <w:pPr>
              <w:spacing w:line="440" w:lineRule="exact"/>
              <w:ind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⑷</w:t>
            </w:r>
            <w:r>
              <w:rPr>
                <w:rFonts w:hint="default" w:ascii="Times New Roman" w:hAnsi="Times New Roman" w:eastAsia="宋体" w:cs="Times New Roman"/>
                <w:b w:val="0"/>
                <w:bCs w:val="0"/>
                <w:color w:val="auto"/>
                <w:sz w:val="24"/>
              </w:rPr>
              <w:t>危险废物环境影响分析</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本项目拟在生产车间</w:t>
            </w:r>
            <w:r>
              <w:rPr>
                <w:rFonts w:hint="default" w:ascii="Times New Roman" w:hAnsi="Times New Roman" w:eastAsia="宋体" w:cs="Times New Roman"/>
                <w:b w:val="0"/>
                <w:bCs w:val="0"/>
                <w:color w:val="auto"/>
                <w:sz w:val="24"/>
                <w:lang w:val="en-US" w:eastAsia="zh-CN"/>
              </w:rPr>
              <w:t>东</w:t>
            </w:r>
            <w:r>
              <w:rPr>
                <w:rFonts w:hint="default" w:ascii="Times New Roman" w:hAnsi="Times New Roman" w:eastAsia="宋体" w:cs="Times New Roman"/>
                <w:b w:val="0"/>
                <w:bCs w:val="0"/>
                <w:color w:val="auto"/>
                <w:sz w:val="24"/>
              </w:rPr>
              <w:t>南侧建设一座</w:t>
            </w:r>
            <w:r>
              <w:rPr>
                <w:rFonts w:hint="eastAsia" w:ascii="Times New Roman" w:hAnsi="Times New Roman" w:eastAsia="宋体" w:cs="Times New Roman"/>
                <w:b w:val="0"/>
                <w:bCs w:val="0"/>
                <w:color w:val="auto"/>
                <w:sz w:val="24"/>
                <w:lang w:val="en-US" w:eastAsia="zh-CN"/>
              </w:rPr>
              <w:t>2</w:t>
            </w:r>
            <w:r>
              <w:rPr>
                <w:rFonts w:hint="default" w:ascii="Times New Roman" w:hAnsi="Times New Roman" w:eastAsia="宋体" w:cs="Times New Roman"/>
                <w:b w:val="0"/>
                <w:bCs w:val="0"/>
                <w:color w:val="auto"/>
                <w:sz w:val="24"/>
              </w:rPr>
              <w:t>0m</w:t>
            </w:r>
            <w:r>
              <w:rPr>
                <w:rFonts w:hint="default" w:ascii="Times New Roman" w:hAnsi="Times New Roman" w:eastAsia="宋体" w:cs="Times New Roman"/>
                <w:b w:val="0"/>
                <w:bCs w:val="0"/>
                <w:color w:val="auto"/>
                <w:sz w:val="24"/>
                <w:vertAlign w:val="superscript"/>
              </w:rPr>
              <w:t>2</w:t>
            </w:r>
            <w:r>
              <w:rPr>
                <w:rFonts w:hint="default" w:ascii="Times New Roman" w:hAnsi="Times New Roman" w:eastAsia="宋体" w:cs="Times New Roman"/>
                <w:b w:val="0"/>
                <w:bCs w:val="0"/>
                <w:color w:val="auto"/>
                <w:sz w:val="24"/>
              </w:rPr>
              <w:t>的危险废物暂存间，危险废物单独存放，定期交有资质的单位处理，并严格限制其在厂区内的堆放时间，严禁将产生的危险废物随意堆存或出售等。</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危险废物的暂存应</w:t>
            </w:r>
            <w:r>
              <w:rPr>
                <w:rFonts w:hint="default" w:ascii="Times New Roman" w:hAnsi="Times New Roman" w:eastAsia="宋体" w:cs="Times New Roman"/>
                <w:color w:val="auto"/>
                <w:sz w:val="24"/>
                <w:szCs w:val="24"/>
                <w:lang w:val="en-US" w:eastAsia="zh-CN"/>
              </w:rPr>
              <w:t>符合</w:t>
            </w:r>
            <w:r>
              <w:rPr>
                <w:rFonts w:hint="default" w:ascii="Times New Roman" w:hAnsi="Times New Roman" w:eastAsia="宋体" w:cs="Times New Roman"/>
                <w:color w:val="auto"/>
                <w:sz w:val="24"/>
                <w:szCs w:val="24"/>
              </w:rPr>
              <w:t>《危险废物贮存污染控制标准》（GB 18597-2023），《中华人民共和国固体废物污染环境防治法》、《建设项目危险废物环境影响评价指南》等的要求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危险废物的转移必须按照《危险废物转移联单管理办法》（国家环保总局第5号令）执行转移联单制度</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危险废物的</w:t>
            </w:r>
            <w:r>
              <w:rPr>
                <w:rFonts w:hint="default" w:ascii="Times New Roman" w:hAnsi="Times New Roman" w:eastAsia="宋体" w:cs="Times New Roman"/>
                <w:color w:val="auto"/>
                <w:sz w:val="24"/>
                <w:szCs w:val="24"/>
                <w:lang w:val="en-US" w:eastAsia="zh-CN"/>
              </w:rPr>
              <w:t>管理和台账</w:t>
            </w:r>
            <w:r>
              <w:rPr>
                <w:rFonts w:hint="default" w:ascii="Times New Roman" w:hAnsi="Times New Roman" w:eastAsia="宋体" w:cs="Times New Roman"/>
                <w:color w:val="auto"/>
                <w:sz w:val="24"/>
                <w:szCs w:val="24"/>
              </w:rPr>
              <w:t>必须</w:t>
            </w:r>
            <w:r>
              <w:rPr>
                <w:rFonts w:hint="default" w:ascii="Times New Roman" w:hAnsi="Times New Roman" w:eastAsia="宋体" w:cs="Times New Roman"/>
                <w:color w:val="auto"/>
                <w:sz w:val="24"/>
                <w:szCs w:val="24"/>
                <w:lang w:val="en-US" w:eastAsia="zh-CN"/>
              </w:rPr>
              <w:t>符合</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危险废物管理计划和管理台账制定技术导则</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HJ1259-2022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要求。</w:t>
            </w:r>
            <w:r>
              <w:rPr>
                <w:rFonts w:hint="default" w:ascii="Times New Roman" w:hAnsi="Times New Roman" w:eastAsia="宋体" w:cs="Times New Roman"/>
                <w:color w:val="auto"/>
                <w:sz w:val="24"/>
                <w:szCs w:val="24"/>
              </w:rPr>
              <w:t>本次评价依据废物全过程控制的原则，对危险废物的收集、贮存、管理、转运等环节进行全方位控制。</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总体</w:t>
            </w:r>
            <w:r>
              <w:rPr>
                <w:rFonts w:hint="default" w:ascii="Times New Roman" w:hAnsi="Times New Roman" w:eastAsia="宋体" w:cs="Times New Roman"/>
                <w:color w:val="auto"/>
                <w:sz w:val="24"/>
                <w:szCs w:val="24"/>
              </w:rPr>
              <w:t>要求：</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rPr>
              <w:t>①产生、收集、贮存、利用、处置危险废物的单位应建造危险废物贮存设施或设置贮存场所，并根据需要选择贮存设施类型</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贮存危险废物应根据危险废物的类别、数量、形态、物理化学性质和环境风险等因素，确定贮存设施或场所类型和规模</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③贮存危险废物应根据危险废物的类别、形态、物理化学性质和污染防治要求进行分类贮存，且应避免危险废物与不相容的物质或材料接触</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④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⑤危险废物贮存过程产生的液态废物和固态废物应分类收集，按其环境管理要求妥善处理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⑥贮存设施或场所、容器和包装物应按HJ 1276 要求设置危险废物贮存设施或场所标志、危险废物贮存分区标志和危险废物标签等危险废物识别标志</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⑦HJ 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⑧贮存设施退役时，所有者或运营者应依法履行环境保护责任，退役前应妥善处理处置贮存设施内剩余的危险废物，并对贮存设施进行清理，消除污染；还应依据土壤污染防治相关法律法规履行场地环境风险防控责任</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⑨</w:t>
            </w:r>
            <w:r>
              <w:rPr>
                <w:rFonts w:hint="default" w:ascii="Times New Roman" w:hAnsi="Times New Roman" w:eastAsia="宋体" w:cs="Times New Roman"/>
                <w:color w:val="auto"/>
                <w:sz w:val="24"/>
                <w:szCs w:val="24"/>
              </w:rPr>
              <w:t>在常温常压下易爆、易燃及排出有毒气体的危险废物应进行预处理，使之稳定后贮存，否则应按易爆、易燃危险品贮存</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⑩</w:t>
            </w:r>
            <w:r>
              <w:rPr>
                <w:rFonts w:hint="default" w:ascii="Times New Roman" w:hAnsi="Times New Roman" w:eastAsia="宋体" w:cs="Times New Roman"/>
                <w:color w:val="auto"/>
                <w:sz w:val="24"/>
                <w:szCs w:val="24"/>
              </w:rPr>
              <w:t>危险废物贮存除应满足环境保护相关要求外，还应执行国家安全生产、职业健康、交通运输、消防等法律法规和标准的相关要求。</w:t>
            </w:r>
          </w:p>
          <w:p>
            <w:pPr>
              <w:pStyle w:val="25"/>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righ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w:t>
            </w:r>
            <w:r>
              <w:rPr>
                <w:rFonts w:hint="eastAsia" w:cs="Times New Roman"/>
                <w:color w:val="auto"/>
                <w:sz w:val="24"/>
                <w:szCs w:val="24"/>
                <w:lang w:val="en-US" w:eastAsia="zh-CN"/>
              </w:rPr>
              <w:t>贮存</w:t>
            </w:r>
            <w:r>
              <w:rPr>
                <w:rFonts w:hint="default" w:ascii="Times New Roman" w:hAnsi="Times New Roman" w:eastAsia="宋体" w:cs="Times New Roman"/>
                <w:color w:val="auto"/>
                <w:sz w:val="24"/>
                <w:szCs w:val="24"/>
              </w:rPr>
              <w:t>：</w:t>
            </w:r>
          </w:p>
          <w:p>
            <w:pPr>
              <w:pStyle w:val="25"/>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right="0" w:firstLine="480" w:firstLineChars="20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⑴一般规定</w:t>
            </w:r>
          </w:p>
          <w:p>
            <w:pPr>
              <w:pStyle w:val="25"/>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bCs/>
                <w:color w:val="auto"/>
                <w:spacing w:val="4"/>
                <w:sz w:val="24"/>
                <w:szCs w:val="24"/>
                <w:lang w:val="en-US" w:eastAsia="zh-CN"/>
              </w:rPr>
              <w:t>贮存设施应根据危险废物的形态、物理化学性质、包装形式和污染物迁移途径，采取必要的防风、防晒、防雨、防漏、防渗、防腐以及其他环境污染防治措施，不应露天堆放危险废物</w:t>
            </w:r>
            <w:r>
              <w:rPr>
                <w:rFonts w:hint="default" w:ascii="Times New Roman" w:hAnsi="Times New Roman" w:eastAsia="宋体" w:cs="Times New Roman"/>
                <w:bCs/>
                <w:color w:val="auto"/>
                <w:spacing w:val="4"/>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bCs/>
                <w:color w:val="auto"/>
                <w:spacing w:val="4"/>
                <w:sz w:val="24"/>
                <w:szCs w:val="24"/>
                <w:lang w:val="en-US" w:eastAsia="zh-CN"/>
              </w:rPr>
              <w:t>贮存设施应根据危险废物的类别、数量、形态、物理化学性质和污染防治等要求设置必要的贮存分区，避免不相容的危险废物接触、混合</w:t>
            </w:r>
            <w:r>
              <w:rPr>
                <w:rFonts w:hint="eastAsia" w:cs="Times New Roman"/>
                <w:bCs/>
                <w:color w:val="auto"/>
                <w:spacing w:val="4"/>
                <w:sz w:val="24"/>
                <w:szCs w:val="24"/>
                <w:lang w:val="en-US"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bCs/>
                <w:color w:val="auto"/>
                <w:spacing w:val="4"/>
                <w:sz w:val="24"/>
                <w:szCs w:val="24"/>
                <w:lang w:val="en-US" w:eastAsia="zh-CN"/>
              </w:rPr>
              <w:t>贮存设施或贮存分区内地面、墙面裙脚、堵截泄漏的围堰、接触危险废物的隔板和墙体等应采用坚固的材料建造，表面无裂缝；</w:t>
            </w:r>
            <w:r>
              <w:rPr>
                <w:rFonts w:hint="default" w:ascii="Times New Roman" w:hAnsi="Times New Roman" w:eastAsia="宋体" w:cs="Times New Roman"/>
                <w:color w:val="auto"/>
                <w:kern w:val="0"/>
                <w:sz w:val="24"/>
                <w:szCs w:val="24"/>
                <w:highlight w:val="none"/>
              </w:rPr>
              <w:t>④</w:t>
            </w:r>
            <w:r>
              <w:rPr>
                <w:rFonts w:hint="default" w:ascii="Times New Roman" w:hAnsi="Times New Roman" w:eastAsia="宋体" w:cs="Times New Roman"/>
                <w:bCs/>
                <w:color w:val="auto"/>
                <w:spacing w:val="4"/>
                <w:sz w:val="24"/>
                <w:szCs w:val="24"/>
                <w:lang w:val="en-US" w:eastAsia="zh-CN"/>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bCs/>
                <w:color w:val="auto"/>
                <w:spacing w:val="4"/>
                <w:sz w:val="24"/>
                <w:szCs w:val="24"/>
                <w:vertAlign w:val="superscript"/>
                <w:lang w:val="en-US" w:eastAsia="zh-CN"/>
              </w:rPr>
              <w:t>-7</w:t>
            </w:r>
            <w:r>
              <w:rPr>
                <w:rFonts w:hint="default" w:ascii="Times New Roman" w:hAnsi="Times New Roman" w:eastAsia="宋体" w:cs="Times New Roman"/>
                <w:bCs/>
                <w:color w:val="auto"/>
                <w:spacing w:val="4"/>
                <w:sz w:val="24"/>
                <w:szCs w:val="24"/>
                <w:lang w:val="en-US" w:eastAsia="zh-CN"/>
              </w:rPr>
              <w:t>cm/s），或至少2mm厚高密度聚乙烯膜等人工防渗材料（渗透系数不大于10</w:t>
            </w:r>
            <w:r>
              <w:rPr>
                <w:rFonts w:hint="default" w:ascii="Times New Roman" w:hAnsi="Times New Roman" w:eastAsia="宋体" w:cs="Times New Roman"/>
                <w:bCs/>
                <w:color w:val="auto"/>
                <w:spacing w:val="4"/>
                <w:sz w:val="24"/>
                <w:szCs w:val="24"/>
                <w:vertAlign w:val="superscript"/>
                <w:lang w:val="en-US" w:eastAsia="zh-CN"/>
              </w:rPr>
              <w:t>-10</w:t>
            </w:r>
            <w:r>
              <w:rPr>
                <w:rFonts w:hint="default" w:ascii="Times New Roman" w:hAnsi="Times New Roman" w:eastAsia="宋体" w:cs="Times New Roman"/>
                <w:bCs/>
                <w:color w:val="auto"/>
                <w:spacing w:val="4"/>
                <w:sz w:val="24"/>
                <w:szCs w:val="24"/>
                <w:lang w:val="en-US" w:eastAsia="zh-CN"/>
              </w:rPr>
              <w:t>cm/s），或其他防渗性能等效的材料；</w:t>
            </w:r>
            <w:r>
              <w:rPr>
                <w:rFonts w:hint="default" w:ascii="Times New Roman" w:hAnsi="Times New Roman" w:eastAsia="宋体" w:cs="Times New Roman"/>
                <w:color w:val="auto"/>
                <w:kern w:val="0"/>
                <w:sz w:val="24"/>
                <w:szCs w:val="24"/>
                <w:highlight w:val="none"/>
              </w:rPr>
              <w:t>⑤</w:t>
            </w:r>
            <w:r>
              <w:rPr>
                <w:rFonts w:hint="default" w:ascii="Times New Roman" w:hAnsi="Times New Roman" w:eastAsia="宋体" w:cs="Times New Roman"/>
                <w:bCs/>
                <w:color w:val="auto"/>
                <w:spacing w:val="4"/>
                <w:sz w:val="24"/>
                <w:szCs w:val="24"/>
                <w:lang w:val="en-US" w:eastAsia="zh-CN"/>
              </w:rPr>
              <w:t>同一贮存设施宜采用相同的防渗、防腐工艺（包括防渗、防腐结构或材料），防渗、防腐材料应覆盖所有可能与废物及其渗滤液、渗漏液等接触的构筑物表面；采用不同防渗、防腐工艺应分别建设贮存分区</w:t>
            </w:r>
            <w:r>
              <w:rPr>
                <w:rFonts w:hint="default" w:ascii="Times New Roman" w:hAnsi="Times New Roman" w:eastAsia="宋体" w:cs="Times New Roman"/>
                <w:color w:val="auto"/>
                <w:kern w:val="0"/>
                <w:sz w:val="24"/>
                <w:szCs w:val="24"/>
                <w:highlight w:val="none"/>
              </w:rPr>
              <w:t>；⑥</w:t>
            </w:r>
            <w:r>
              <w:rPr>
                <w:rFonts w:hint="default" w:ascii="Times New Roman" w:hAnsi="Times New Roman" w:eastAsia="宋体" w:cs="Times New Roman"/>
                <w:bCs/>
                <w:color w:val="auto"/>
                <w:spacing w:val="4"/>
                <w:sz w:val="24"/>
                <w:szCs w:val="24"/>
                <w:lang w:val="en-US" w:eastAsia="zh-CN"/>
              </w:rPr>
              <w:t>贮存设施应采取技术和管理措施防止无关人员进入</w:t>
            </w:r>
            <w:r>
              <w:rPr>
                <w:rFonts w:hint="default" w:ascii="Times New Roman" w:hAnsi="Times New Roman" w:eastAsia="宋体" w:cs="Times New Roman"/>
                <w:color w:val="auto"/>
                <w:kern w:val="0"/>
                <w:sz w:val="24"/>
                <w:szCs w:val="24"/>
                <w:highlight w:val="none"/>
                <w:lang w:val="en-US" w:eastAsia="zh-CN"/>
              </w:rPr>
              <w:t>。</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⑵贮存库</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贮存库内不同贮存分区之间应采取隔离措施。隔离措施可根据危险废物特性采用过道、隔板或隔墙等方式</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贮存易产生粉尘、VOCs、酸雾、有毒有害大气污染物和刺激性气味气体的危险废物贮存库，应设置气体收集装置和气体净化设施；气体净化设施的排气筒高度应符合GB16297要求。</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⑶贮存场</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贮存场应设置径流疏导系统，保证能防止当地重现期不小于25年的暴雨流入贮存区域，并采取措施防止雨水冲淋危险废物，避免增加渗滤液量</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贮存场可整体或分区设计液体导流和收集设施，收集设施容积应保证在最不利条件下可以容纳对应贮存区域产生的渗滤液、废水等液态物质</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贮存场应采取防止危险废物扬散、流失的措施。</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⑷</w:t>
            </w:r>
            <w:r>
              <w:rPr>
                <w:rFonts w:hint="default" w:ascii="Times New Roman" w:hAnsi="Times New Roman" w:eastAsia="宋体" w:cs="Times New Roman"/>
                <w:color w:val="auto"/>
                <w:sz w:val="24"/>
                <w:szCs w:val="24"/>
              </w:rPr>
              <w:t>贮存池</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贮存池防渗层应覆盖整个池体，并应按照</w:t>
            </w:r>
            <w:r>
              <w:rPr>
                <w:rFonts w:hint="eastAsia" w:ascii="Times New Roman" w:hAnsi="Times New Roman" w:eastAsia="宋体" w:cs="Times New Roman"/>
                <w:color w:val="auto"/>
                <w:sz w:val="24"/>
                <w:szCs w:val="24"/>
                <w:lang w:eastAsia="zh-CN"/>
              </w:rPr>
              <w:t>“一般规定 4”</w:t>
            </w:r>
            <w:r>
              <w:rPr>
                <w:rFonts w:hint="default" w:ascii="Times New Roman" w:hAnsi="Times New Roman" w:eastAsia="宋体" w:cs="Times New Roman"/>
                <w:color w:val="auto"/>
                <w:sz w:val="24"/>
                <w:szCs w:val="24"/>
              </w:rPr>
              <w:t>的要求进行基础防渗</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贮存池应采取措施防止雨水、地面径流等进入，保证能防止当地重现期不小于25 年的暴雨流入贮存池内</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贮存池应采取措施减少大气污染物的无组织排放。</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⑸贮存罐区</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贮存罐区罐体应设置在围堰内，围堰的防渗、防腐性能应满</w:t>
            </w:r>
            <w:r>
              <w:rPr>
                <w:rFonts w:hint="eastAsia" w:ascii="Times New Roman" w:hAnsi="Times New Roman" w:eastAsia="宋体" w:cs="Times New Roman"/>
                <w:color w:val="auto"/>
                <w:sz w:val="24"/>
                <w:szCs w:val="24"/>
                <w:lang w:eastAsia="zh-CN"/>
              </w:rPr>
              <w:t>“一般规定 4</w:t>
            </w:r>
            <w:r>
              <w:rPr>
                <w:rFonts w:hint="eastAsia" w:ascii="Times New Roman" w:hAnsi="Times New Roman" w:eastAsia="宋体" w:cs="Times New Roman"/>
                <w:color w:val="auto"/>
                <w:sz w:val="24"/>
                <w:szCs w:val="24"/>
                <w:lang w:val="en-US" w:eastAsia="zh-CN"/>
              </w:rPr>
              <w:t>和5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的要求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贮存罐区围堰容积应至少满足其内部最大贮存罐发生意外泄漏时所需要的危险废物收集容积要求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贮存罐区围堰内收集的废液、废水和初期雨水应及时处理，不应直接排放。</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◆容器和包装物污染控制要求：</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容器和包装物材质、内衬应与盛装的危险废物相容</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针对不同类别、形态、物理化学性质的危险废物，其容器和包装物应满足相应的防渗、防漏、防腐和强度等要求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硬质容器和包装物及其支护结构堆叠码放时不应有明显变形，无破损泄漏</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w:t>
            </w:r>
            <w:r>
              <w:rPr>
                <w:rFonts w:hint="default" w:ascii="Times New Roman" w:hAnsi="Times New Roman" w:eastAsia="宋体" w:cs="Times New Roman"/>
                <w:color w:val="auto"/>
                <w:sz w:val="24"/>
                <w:szCs w:val="24"/>
              </w:rPr>
              <w:t>柔性容器和包装物堆叠码放时应封口严密，无破损泄漏</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w:t>
            </w:r>
            <w:r>
              <w:rPr>
                <w:rFonts w:hint="default" w:ascii="Times New Roman" w:hAnsi="Times New Roman" w:eastAsia="宋体" w:cs="Times New Roman"/>
                <w:color w:val="auto"/>
                <w:sz w:val="24"/>
                <w:szCs w:val="24"/>
              </w:rPr>
              <w:t>使用容器盛装液态、半固态危险废物时，容器内部应留有适当的空间，以适应因温度变化等可能引发的收缩和膨胀，防止其导致容器渗漏或永久变形</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⑥</w:t>
            </w:r>
            <w:r>
              <w:rPr>
                <w:rFonts w:hint="default" w:ascii="Times New Roman" w:hAnsi="Times New Roman" w:eastAsia="宋体" w:cs="Times New Roman"/>
                <w:color w:val="auto"/>
                <w:sz w:val="24"/>
                <w:szCs w:val="24"/>
              </w:rPr>
              <w:t>容器和包装物外表面应保持清洁。</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◆贮存过程污染控制要求：</w:t>
            </w:r>
          </w:p>
          <w:p>
            <w:pPr>
              <w:pStyle w:val="25"/>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right="0" w:firstLine="480" w:firstLineChars="20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⑴一般规定</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①在常温常压下不易水解、不易挥发的固态危险废物可分类堆放贮存，其他固态危险废物应装入容器或包装物内贮存</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②液态危险废物应装入容器内贮存，或直接采用贮存池、贮存罐区贮存</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③半固态危险废物应装入容器或包装袋内贮存，或直接采用贮存池贮存</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④具有热塑性的危险废物应装入容器或包装袋内进行贮存</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⑤易产生粉尘、VOCs、酸雾、有毒有害大气污染物和刺激性气味气体的危险废物应装入闭口容器或包装物内贮存</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⑥危险废物贮存过程中易产生粉尘等无组织排放的，应采取抑尘等有效措施。</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⑵</w:t>
            </w:r>
            <w:r>
              <w:rPr>
                <w:rFonts w:hint="default" w:ascii="Times New Roman" w:hAnsi="Times New Roman" w:eastAsia="宋体" w:cs="Times New Roman"/>
                <w:color w:val="auto"/>
                <w:kern w:val="0"/>
                <w:sz w:val="24"/>
                <w:szCs w:val="24"/>
                <w:highlight w:val="none"/>
              </w:rPr>
              <w:t>贮存设施运行环境管理要求</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①危险废物存入贮存设施前应对危险废物类别和特性与危险废物标签等危险废物识别标志的一致性进行核验，不一致的或类别、特性不明的不应存入</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②应定期检查危险废物的贮存状况，及时清理贮存设施地面，更换破损泄漏的危险废物贮存容器和包装物，保证堆存危险废物的防雨、防风、防扬尘等设施功能完好</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③作业设备及车辆等结束作业离开贮存设施时，应对其残留的危险废物进行清理，清理的废物或清洗废水应收集处理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④贮存设施运行期间，应按国家有关标准和规定建立危险废物管理台账并保存</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⑤贮存设施所有者或运营者应建立贮存设施环境管理制度、管理人员岗位职责制度、设施运行操作制度、人员岗位培训制度等</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⑥贮存设施所有者或运营者应依据国家土壤和地下水污染防治的有关规定，结合贮存设施特点建立土壤和地下水污染隐患排查制度，并定期开展隐患排查；发现隐患应及时采取措施消除隐患，并建立档案</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⑦</w:t>
            </w:r>
            <w:r>
              <w:rPr>
                <w:rFonts w:hint="default" w:ascii="Times New Roman" w:hAnsi="Times New Roman" w:eastAsia="宋体" w:cs="Times New Roman"/>
                <w:color w:val="auto"/>
                <w:kern w:val="0"/>
                <w:sz w:val="24"/>
                <w:szCs w:val="24"/>
                <w:highlight w:val="none"/>
              </w:rPr>
              <w:t>贮存设施所有者或运营者应建立贮存设施全部档案，包括设计、施工、验收、运行、监测和环境应急等，应按国家有关档案管理的法律法规进行整理和归档。</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⑶</w:t>
            </w:r>
            <w:r>
              <w:rPr>
                <w:rFonts w:hint="default" w:ascii="Times New Roman" w:hAnsi="Times New Roman" w:eastAsia="宋体" w:cs="Times New Roman"/>
                <w:color w:val="auto"/>
                <w:kern w:val="0"/>
                <w:sz w:val="24"/>
                <w:szCs w:val="24"/>
                <w:highlight w:val="none"/>
              </w:rPr>
              <w:t>贮存点环境管理要求</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①贮存点应具有固定的区域边界，并应采取与其他区域进行隔离的措施</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②贮存点应采取防风、防雨、防晒和防止危险废物流失、扬散等措施</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③贮存点贮存的危险废物应置于容器或包装物中，不应直接散堆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④贮存点应根据危险废物的形态、物理化学性质、包装形式等，采取防渗、防漏等污染防治措施或采用具有相应功能的装置</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⑤贮存点应及时清运贮存的危险废物，实时贮存量不应超过3吨。</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highlight w:val="none"/>
              </w:rPr>
              <w:t>污染物排放控制要求</w:t>
            </w:r>
            <w:r>
              <w:rPr>
                <w:rFonts w:hint="eastAsia" w:ascii="Times New Roman" w:hAnsi="Times New Roman" w:eastAsia="宋体" w:cs="Times New Roman"/>
                <w:color w:val="auto"/>
                <w:kern w:val="0"/>
                <w:sz w:val="24"/>
                <w:szCs w:val="24"/>
                <w:highlight w:val="none"/>
                <w:lang w:eastAsia="zh-CN"/>
              </w:rPr>
              <w:t>：</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①贮存设施产生的废水（包括贮存设施、作业设备、车辆等清洗废水，贮存罐区积存雨水，贮存事故废水等）应进行收集处理，废水排放应符合GB 8978 规定的要求</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②贮存设施产生的废气（含无组织废气）的排放应符合GB 16297 和GB 37822 规定的要求</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③贮存设施产生的恶臭气体的排放应符合GB 14554 规定的要求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④贮存设施内产生以及清理的固体废物应按固体废物分类管理要求妥善处理</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⑤贮存设施排放的环境噪声应符合GB 12348 规定的要求。</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highlight w:val="none"/>
              </w:rPr>
              <w:t>环境监测要求</w:t>
            </w:r>
            <w:r>
              <w:rPr>
                <w:rFonts w:hint="eastAsia" w:ascii="Times New Roman" w:hAnsi="Times New Roman" w:eastAsia="宋体" w:cs="Times New Roman"/>
                <w:color w:val="auto"/>
                <w:kern w:val="0"/>
                <w:sz w:val="24"/>
                <w:szCs w:val="24"/>
                <w:highlight w:val="none"/>
                <w:lang w:eastAsia="zh-CN"/>
              </w:rPr>
              <w:t>：</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①贮存设施的环境监测应纳入主体设施的环境监测计划</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②贮存设施所有者或运营者应依据《大气污染防治法》《水污染防治法》《土壤污染防治法》等有关法律、《排污许可管理条例》等行政法规和HJ 819、HJ 1250 等规定制订监测方案，对贮存设施污染物排放状况开展自行监测，保存原始监测记录，并公布监测结果</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③贮存设施废水污染物排放的监测方法和监测指标应符合国家相关标准要求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④HJ 1259规定的危险废物环境重点监管单位贮存设施地下水环境监测点布设应符合HJ 164要求，监测因子应根据贮存废物的特性选择具有代表性且能表征危险废物特性的指标，地下水监测因子分析方法按照GB/T 14848执行</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⑤配有收集净化系统的贮存设施大气污染物排放的监测采样应按GB/T 16157、HJ/T 397、HJ 732的规定执行</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highlight w:val="none"/>
              </w:rPr>
              <w:t>⑥贮存设施无组织气体排放监测因子应根据贮存废物的特性选择具有代表性且能表征危险废物特性的指标；采样点布设、采样及监测方法可按HJ/T 55的规定执行，VOCs的无组织排放监测还应符合GB 37822的规定</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⑦</w:t>
            </w:r>
            <w:r>
              <w:rPr>
                <w:rFonts w:hint="default" w:ascii="Times New Roman" w:hAnsi="Times New Roman" w:eastAsia="宋体" w:cs="Times New Roman"/>
                <w:color w:val="auto"/>
                <w:kern w:val="0"/>
                <w:sz w:val="24"/>
                <w:szCs w:val="24"/>
                <w:highlight w:val="none"/>
              </w:rPr>
              <w:t>贮存设施恶臭气体的排放监测应符合GB 14554、HJ 905 的规定。</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◆环境应急要求</w:t>
            </w:r>
            <w:r>
              <w:rPr>
                <w:rFonts w:hint="eastAsia" w:ascii="Times New Roman" w:hAnsi="Times New Roman" w:eastAsia="宋体" w:cs="Times New Roman"/>
                <w:color w:val="auto"/>
                <w:sz w:val="24"/>
                <w:szCs w:val="24"/>
                <w:lang w:eastAsia="zh-CN"/>
              </w:rPr>
              <w:t>：</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highlight w:val="none"/>
              </w:rPr>
              <w:t>①</w:t>
            </w:r>
            <w:r>
              <w:rPr>
                <w:rFonts w:hint="default" w:ascii="Times New Roman" w:hAnsi="Times New Roman" w:eastAsia="宋体" w:cs="Times New Roman"/>
                <w:color w:val="auto"/>
                <w:sz w:val="24"/>
                <w:szCs w:val="24"/>
              </w:rPr>
              <w:t>贮存设施所有者或运营者应按照国家有关规定编制突发环境事件应急预案，定期开展必要的培训和环境应急演练，并做好培训、演练记录</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②</w:t>
            </w:r>
            <w:r>
              <w:rPr>
                <w:rFonts w:hint="default" w:ascii="Times New Roman" w:hAnsi="Times New Roman" w:eastAsia="宋体" w:cs="Times New Roman"/>
                <w:color w:val="auto"/>
                <w:sz w:val="24"/>
                <w:szCs w:val="24"/>
              </w:rPr>
              <w:t>贮存设施所有者或运营者应配备满足其突发环境事件应急要求的应急人员、装备和物资，并应设置应急照明系统</w:t>
            </w:r>
            <w:r>
              <w:rPr>
                <w:rFonts w:hint="eastAsia"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③</w:t>
            </w:r>
            <w:r>
              <w:rPr>
                <w:rFonts w:hint="default" w:ascii="Times New Roman" w:hAnsi="Times New Roman" w:eastAsia="宋体" w:cs="Times New Roman"/>
                <w:color w:val="auto"/>
                <w:sz w:val="24"/>
                <w:szCs w:val="24"/>
              </w:rPr>
              <w:t>相关部门发布自然灾害或恶劣天气预警后，贮存设施所有者或运营者应启动相应防控措施，若有必要可将危险废物转移至其他具有防护条件的地点贮存。</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标志牌</w:t>
            </w:r>
            <w:r>
              <w:rPr>
                <w:rFonts w:hint="eastAsia" w:ascii="Times New Roman" w:hAnsi="Times New Roman" w:eastAsia="宋体" w:cs="Times New Roman"/>
                <w:color w:val="auto"/>
                <w:sz w:val="24"/>
                <w:szCs w:val="24"/>
                <w:lang w:eastAsia="zh-CN"/>
              </w:rPr>
              <w:t>：</w:t>
            </w:r>
          </w:p>
          <w:p>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危险废物标志牌按</w:t>
            </w:r>
            <w:r>
              <w:rPr>
                <w:rFonts w:hint="eastAsia" w:ascii="Times New Roman" w:hAnsi="Times New Roman" w:eastAsia="宋体" w:cs="Times New Roman"/>
                <w:color w:val="auto"/>
                <w:sz w:val="24"/>
                <w:szCs w:val="24"/>
                <w:lang w:eastAsia="zh-CN"/>
              </w:rPr>
              <w:t>《危险废物识别标志设置技术规范》</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HJ 1276-2022</w:t>
            </w:r>
            <w:r>
              <w:rPr>
                <w:rFonts w:hint="default" w:ascii="Times New Roman" w:hAnsi="Times New Roman" w:eastAsia="宋体" w:cs="Times New Roman"/>
                <w:color w:val="auto"/>
                <w:sz w:val="24"/>
                <w:szCs w:val="24"/>
              </w:rPr>
              <w:t>）设置。标志牌参考样式见下图：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3"/>
              <w:gridCol w:w="3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rPr>
                  </w:pPr>
                  <w:r>
                    <w:rPr>
                      <w:color w:val="auto"/>
                    </w:rPr>
                    <w:drawing>
                      <wp:inline distT="0" distB="0" distL="114300" distR="114300">
                        <wp:extent cx="2382520" cy="2104390"/>
                        <wp:effectExtent l="0" t="0" r="3175" b="635"/>
                        <wp:docPr id="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8"/>
                                <pic:cNvPicPr>
                                  <a:picLocks noChangeAspect="1"/>
                                </pic:cNvPicPr>
                              </pic:nvPicPr>
                              <pic:blipFill>
                                <a:blip r:embed="rId35"/>
                                <a:stretch>
                                  <a:fillRect/>
                                </a:stretch>
                              </pic:blipFill>
                              <pic:spPr>
                                <a:xfrm>
                                  <a:off x="0" y="0"/>
                                  <a:ext cx="2382520" cy="2104390"/>
                                </a:xfrm>
                                <a:prstGeom prst="rect">
                                  <a:avLst/>
                                </a:prstGeom>
                                <a:noFill/>
                                <a:ln>
                                  <a:noFill/>
                                </a:ln>
                              </pic:spPr>
                            </pic:pic>
                          </a:graphicData>
                        </a:graphic>
                      </wp:inline>
                    </w:drawing>
                  </w:r>
                </w:p>
              </w:tc>
              <w:tc>
                <w:tcPr>
                  <w:tcW w:w="3973" w:type="dxa"/>
                  <w:vAlign w:val="center"/>
                </w:tcPr>
                <w:p>
                  <w:pPr>
                    <w:keepNext w:val="0"/>
                    <w:keepLines w:val="0"/>
                    <w:widowControl/>
                    <w:suppressLineNumbers w:val="0"/>
                    <w:jc w:val="left"/>
                    <w:rPr>
                      <w:rFonts w:hint="default" w:ascii="Times New Roman" w:hAnsi="Times New Roman" w:eastAsia="宋体" w:cs="Times New Roman"/>
                      <w:color w:val="auto"/>
                      <w:sz w:val="21"/>
                      <w:szCs w:val="21"/>
                      <w:vertAlign w:val="baseline"/>
                    </w:rPr>
                  </w:pPr>
                  <w:r>
                    <w:rPr>
                      <w:rFonts w:hint="eastAsia" w:ascii="宋体" w:hAnsi="宋体" w:eastAsia="宋体" w:cs="宋体"/>
                      <w:color w:val="auto"/>
                      <w:kern w:val="0"/>
                      <w:sz w:val="20"/>
                      <w:szCs w:val="20"/>
                      <w:lang w:val="en-US" w:eastAsia="zh-CN" w:bidi="ar"/>
                    </w:rPr>
                    <w:t>危险废物标签印刷的油墨应均匀，图案和文字应清晰、完整。危险废物标签的文字边缘宜加黑色边框，边框宽度不小于1mm，边框外宜留不小于3mm的空白。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rPr>
                  </w:pPr>
                  <w:r>
                    <w:rPr>
                      <w:color w:val="auto"/>
                    </w:rPr>
                    <w:drawing>
                      <wp:inline distT="0" distB="0" distL="114300" distR="114300">
                        <wp:extent cx="2385060" cy="2244725"/>
                        <wp:effectExtent l="0" t="0" r="635" b="635"/>
                        <wp:docPr id="7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9"/>
                                <pic:cNvPicPr>
                                  <a:picLocks noChangeAspect="1"/>
                                </pic:cNvPicPr>
                              </pic:nvPicPr>
                              <pic:blipFill>
                                <a:blip r:embed="rId36"/>
                                <a:stretch>
                                  <a:fillRect/>
                                </a:stretch>
                              </pic:blipFill>
                              <pic:spPr>
                                <a:xfrm>
                                  <a:off x="0" y="0"/>
                                  <a:ext cx="2385060" cy="2244725"/>
                                </a:xfrm>
                                <a:prstGeom prst="rect">
                                  <a:avLst/>
                                </a:prstGeom>
                                <a:noFill/>
                                <a:ln>
                                  <a:noFill/>
                                </a:ln>
                              </pic:spPr>
                            </pic:pic>
                          </a:graphicData>
                        </a:graphic>
                      </wp:inline>
                    </w:drawing>
                  </w:r>
                </w:p>
              </w:tc>
              <w:tc>
                <w:tcPr>
                  <w:tcW w:w="3973" w:type="dxa"/>
                  <w:vAlign w:val="center"/>
                </w:tcPr>
                <w:p>
                  <w:pPr>
                    <w:keepNext w:val="0"/>
                    <w:keepLines w:val="0"/>
                    <w:widowControl/>
                    <w:suppressLineNumbers w:val="0"/>
                    <w:jc w:val="left"/>
                    <w:rPr>
                      <w:rFonts w:hint="default" w:ascii="Times New Roman" w:hAnsi="Times New Roman" w:eastAsia="宋体" w:cs="Times New Roman"/>
                      <w:color w:val="auto"/>
                      <w:sz w:val="21"/>
                      <w:szCs w:val="21"/>
                      <w:vertAlign w:val="baseline"/>
                    </w:rPr>
                  </w:pPr>
                  <w:r>
                    <w:rPr>
                      <w:rFonts w:hint="eastAsia" w:ascii="宋体" w:hAnsi="宋体" w:eastAsia="宋体" w:cs="宋体"/>
                      <w:color w:val="auto"/>
                      <w:kern w:val="0"/>
                      <w:sz w:val="20"/>
                      <w:szCs w:val="20"/>
                      <w:lang w:val="en-US" w:eastAsia="zh-CN" w:bidi="ar"/>
                    </w:rPr>
                    <w:t>危险废物分区标志背景色应采用黄色，RGB颜色值为（255,255,0）。废物种类信息应采用醒目的橘黄色，RGB颜色值为（255,150,0）。字体颜色为黑色，RGB颜色值为（0,0,0）。危险废物分区标志的字体宜采用黑体字，其中“危险废物贮存分区标志”字样应加粗放大并居中显示。“危险废物贮存分区标志”字样与其他信息宜加黑色分界线区分，分界线的宽度不小于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3"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rPr>
                  </w:pPr>
                  <w:r>
                    <w:rPr>
                      <w:color w:val="auto"/>
                    </w:rPr>
                    <w:drawing>
                      <wp:inline distT="0" distB="0" distL="114300" distR="114300">
                        <wp:extent cx="2385695" cy="1604645"/>
                        <wp:effectExtent l="0" t="0" r="0" b="3810"/>
                        <wp:docPr id="7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0"/>
                                <pic:cNvPicPr>
                                  <a:picLocks noChangeAspect="1"/>
                                </pic:cNvPicPr>
                              </pic:nvPicPr>
                              <pic:blipFill>
                                <a:blip r:embed="rId37"/>
                                <a:stretch>
                                  <a:fillRect/>
                                </a:stretch>
                              </pic:blipFill>
                              <pic:spPr>
                                <a:xfrm>
                                  <a:off x="0" y="0"/>
                                  <a:ext cx="2385695" cy="1604645"/>
                                </a:xfrm>
                                <a:prstGeom prst="rect">
                                  <a:avLst/>
                                </a:prstGeom>
                                <a:noFill/>
                                <a:ln>
                                  <a:noFill/>
                                </a:ln>
                              </pic:spPr>
                            </pic:pic>
                          </a:graphicData>
                        </a:graphic>
                      </wp:inline>
                    </w:drawing>
                  </w:r>
                </w:p>
              </w:tc>
              <w:tc>
                <w:tcPr>
                  <w:tcW w:w="3973" w:type="dxa"/>
                  <w:vAlign w:val="center"/>
                </w:tcPr>
                <w:p>
                  <w:pPr>
                    <w:keepNext w:val="0"/>
                    <w:keepLines w:val="0"/>
                    <w:widowControl/>
                    <w:suppressLineNumbers w:val="0"/>
                    <w:jc w:val="left"/>
                    <w:rPr>
                      <w:rFonts w:hint="eastAsia" w:ascii="Times New Roman" w:hAnsi="Times New Roman" w:eastAsia="宋体" w:cs="Times New Roman"/>
                      <w:color w:val="auto"/>
                      <w:sz w:val="21"/>
                      <w:szCs w:val="21"/>
                      <w:vertAlign w:val="baseline"/>
                      <w:lang w:eastAsia="zh-CN"/>
                    </w:rPr>
                  </w:pPr>
                  <w:r>
                    <w:rPr>
                      <w:rFonts w:hint="eastAsia" w:ascii="宋体" w:hAnsi="宋体" w:eastAsia="宋体" w:cs="宋体"/>
                      <w:color w:val="auto"/>
                      <w:kern w:val="0"/>
                      <w:sz w:val="20"/>
                      <w:szCs w:val="20"/>
                      <w:lang w:val="en-US" w:eastAsia="zh-CN" w:bidi="ar"/>
                    </w:rPr>
                    <w:t>危险废物设施标志背景颜色为黄色，RGB 颜色值为（255,255,0；字体和边框颜色为黑色，RGB颜色值为（0,0,0）；危险废物设施标志字体应采用黑体字，其中危险废物设施类型的字样应加粗放大并居中显示。危险废物贮存设施标志宜采用坚固耐用的材料（如1.5mm～2mm冷轧钢板），并做搪瓷处理或贴膜处理。柱式标志牌的立柱可采用38×4无缝钢管或其他坚固耐用的材料，并经过防腐处理。三角形警告性图形与其他信息间宜加黑色分界线区分，分界线的宽度宜不小于3mm。危险废物贮存设施标志可采用横版或竖版的形式</w:t>
                  </w:r>
                  <w:r>
                    <w:rPr>
                      <w:rFonts w:hint="eastAsia" w:eastAsia="宋体"/>
                      <w:color w:val="auto"/>
                      <w:lang w:eastAsia="zh-CN"/>
                    </w:rPr>
                    <w:t>。</w:t>
                  </w:r>
                </w:p>
              </w:tc>
            </w:tr>
          </w:tbl>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2、固废环境影响分析</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由上述分析可知，本项目产生的固体废物在按照环评要求的治理措施进行相应的治理后，可以得到合理的处置或综合利用，对周围环境的影响较小。</w:t>
            </w:r>
          </w:p>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五、地下水环境和土壤环境影响分析</w:t>
            </w:r>
          </w:p>
          <w:p>
            <w:pPr>
              <w:spacing w:line="440" w:lineRule="exact"/>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rPr>
              <w:t>根据工程分析，项目运营期产生的大气污染物为颗粒物、SO</w:t>
            </w:r>
            <w:r>
              <w:rPr>
                <w:rFonts w:hint="default" w:ascii="Times New Roman" w:hAnsi="Times New Roman" w:eastAsia="宋体" w:cs="Times New Roman"/>
                <w:b w:val="0"/>
                <w:bCs w:val="0"/>
                <w:color w:val="auto"/>
                <w:sz w:val="24"/>
                <w:vertAlign w:val="subscript"/>
              </w:rPr>
              <w:t>2</w:t>
            </w:r>
            <w:r>
              <w:rPr>
                <w:rFonts w:hint="default" w:ascii="Times New Roman" w:hAnsi="Times New Roman" w:eastAsia="宋体" w:cs="Times New Roman"/>
                <w:b w:val="0"/>
                <w:bCs w:val="0"/>
                <w:color w:val="auto"/>
                <w:sz w:val="24"/>
              </w:rPr>
              <w:t>、NO</w:t>
            </w:r>
            <w:r>
              <w:rPr>
                <w:rFonts w:hint="default" w:ascii="Times New Roman" w:hAnsi="Times New Roman" w:eastAsia="宋体" w:cs="Times New Roman"/>
                <w:b w:val="0"/>
                <w:bCs w:val="0"/>
                <w:color w:val="auto"/>
                <w:sz w:val="24"/>
                <w:vertAlign w:val="subscript"/>
              </w:rPr>
              <w:t>x</w:t>
            </w:r>
            <w:r>
              <w:rPr>
                <w:rFonts w:hint="default" w:ascii="Times New Roman" w:hAnsi="Times New Roman" w:eastAsia="宋体" w:cs="Times New Roman"/>
                <w:b w:val="0"/>
                <w:bCs w:val="0"/>
                <w:color w:val="auto"/>
                <w:sz w:val="24"/>
              </w:rPr>
              <w:t>、沥青烟、苯并[a]芘，废水污染物为COD、BOD</w:t>
            </w:r>
            <w:r>
              <w:rPr>
                <w:rFonts w:hint="default" w:ascii="Times New Roman" w:hAnsi="Times New Roman" w:eastAsia="宋体" w:cs="Times New Roman"/>
                <w:b w:val="0"/>
                <w:bCs w:val="0"/>
                <w:color w:val="auto"/>
                <w:sz w:val="24"/>
                <w:vertAlign w:val="subscript"/>
              </w:rPr>
              <w:t>5</w:t>
            </w:r>
            <w:r>
              <w:rPr>
                <w:rFonts w:hint="default" w:ascii="Times New Roman" w:hAnsi="Times New Roman" w:eastAsia="宋体" w:cs="Times New Roman"/>
                <w:b w:val="0"/>
                <w:bCs w:val="0"/>
                <w:color w:val="auto"/>
                <w:sz w:val="24"/>
              </w:rPr>
              <w:t>、SS、氨氮等，固废主要为生活垃圾、除尘灰、废润滑油、废导热油、废油桶等，因此</w:t>
            </w:r>
            <w:r>
              <w:rPr>
                <w:rFonts w:hint="eastAsia" w:ascii="Times New Roman" w:hAnsi="Times New Roman" w:eastAsia="宋体" w:cs="Times New Roman"/>
                <w:b w:val="0"/>
                <w:bCs w:val="0"/>
                <w:color w:val="auto"/>
                <w:sz w:val="24"/>
                <w:lang w:val="en-US" w:eastAsia="zh-CN"/>
              </w:rPr>
              <w:t>对</w:t>
            </w:r>
            <w:r>
              <w:rPr>
                <w:rFonts w:hint="default" w:ascii="Times New Roman" w:hAnsi="Times New Roman" w:eastAsia="宋体" w:cs="Times New Roman"/>
                <w:b w:val="0"/>
                <w:bCs w:val="0"/>
                <w:color w:val="auto"/>
                <w:sz w:val="24"/>
              </w:rPr>
              <w:t>土壤环境和地下水环境的主要影响途径是颗粒物、SO</w:t>
            </w:r>
            <w:r>
              <w:rPr>
                <w:rFonts w:hint="default" w:ascii="Times New Roman" w:hAnsi="Times New Roman" w:eastAsia="宋体" w:cs="Times New Roman"/>
                <w:b w:val="0"/>
                <w:bCs w:val="0"/>
                <w:color w:val="auto"/>
                <w:sz w:val="24"/>
                <w:vertAlign w:val="subscript"/>
              </w:rPr>
              <w:t>2</w:t>
            </w:r>
            <w:r>
              <w:rPr>
                <w:rFonts w:hint="default" w:ascii="Times New Roman" w:hAnsi="Times New Roman" w:eastAsia="宋体" w:cs="Times New Roman"/>
                <w:b w:val="0"/>
                <w:bCs w:val="0"/>
                <w:color w:val="auto"/>
                <w:sz w:val="24"/>
              </w:rPr>
              <w:t>、NO</w:t>
            </w:r>
            <w:r>
              <w:rPr>
                <w:rFonts w:hint="default" w:ascii="Times New Roman" w:hAnsi="Times New Roman" w:eastAsia="宋体" w:cs="Times New Roman"/>
                <w:b w:val="0"/>
                <w:bCs w:val="0"/>
                <w:color w:val="auto"/>
                <w:sz w:val="24"/>
                <w:vertAlign w:val="subscript"/>
              </w:rPr>
              <w:t>x</w:t>
            </w:r>
            <w:r>
              <w:rPr>
                <w:rFonts w:hint="default" w:ascii="Times New Roman" w:hAnsi="Times New Roman" w:eastAsia="宋体" w:cs="Times New Roman"/>
                <w:b w:val="0"/>
                <w:bCs w:val="0"/>
                <w:color w:val="auto"/>
                <w:sz w:val="24"/>
              </w:rPr>
              <w:t>、沥青烟、苯并[a]芘</w:t>
            </w:r>
            <w:r>
              <w:rPr>
                <w:rFonts w:hint="eastAsia" w:ascii="Times New Roman" w:hAnsi="Times New Roman" w:eastAsia="宋体" w:cs="Times New Roman"/>
                <w:b w:val="0"/>
                <w:bCs w:val="0"/>
                <w:color w:val="auto"/>
                <w:sz w:val="24"/>
                <w:lang w:val="en-US" w:eastAsia="zh-CN"/>
              </w:rPr>
              <w:t>大气</w:t>
            </w:r>
            <w:r>
              <w:rPr>
                <w:rFonts w:hint="default" w:ascii="Times New Roman" w:hAnsi="Times New Roman" w:eastAsia="宋体" w:cs="Times New Roman"/>
                <w:b w:val="0"/>
                <w:bCs w:val="0"/>
                <w:color w:val="auto"/>
                <w:sz w:val="24"/>
              </w:rPr>
              <w:t>沉降及</w:t>
            </w:r>
            <w:r>
              <w:rPr>
                <w:rFonts w:hint="eastAsia" w:ascii="Times New Roman" w:hAnsi="Times New Roman" w:eastAsia="宋体" w:cs="Times New Roman"/>
                <w:b w:val="0"/>
                <w:bCs w:val="0"/>
                <w:color w:val="auto"/>
                <w:sz w:val="24"/>
                <w:lang w:val="en-US" w:eastAsia="zh-CN"/>
              </w:rPr>
              <w:t>沥青、</w:t>
            </w:r>
            <w:r>
              <w:rPr>
                <w:rFonts w:hint="default" w:ascii="Times New Roman" w:hAnsi="Times New Roman" w:eastAsia="宋体" w:cs="Times New Roman"/>
                <w:b w:val="0"/>
                <w:bCs w:val="0"/>
                <w:color w:val="auto"/>
                <w:sz w:val="24"/>
              </w:rPr>
              <w:t>油</w:t>
            </w:r>
            <w:r>
              <w:rPr>
                <w:rFonts w:hint="eastAsia" w:ascii="Times New Roman" w:hAnsi="Times New Roman" w:eastAsia="宋体" w:cs="Times New Roman"/>
                <w:b w:val="0"/>
                <w:bCs w:val="0"/>
                <w:color w:val="auto"/>
                <w:sz w:val="24"/>
                <w:lang w:val="en-US" w:eastAsia="zh-CN"/>
              </w:rPr>
              <w:t>类物质</w:t>
            </w:r>
            <w:r>
              <w:rPr>
                <w:rFonts w:hint="default" w:ascii="Times New Roman" w:hAnsi="Times New Roman" w:eastAsia="宋体" w:cs="Times New Roman"/>
                <w:b w:val="0"/>
                <w:bCs w:val="0"/>
                <w:color w:val="auto"/>
                <w:sz w:val="24"/>
              </w:rPr>
              <w:t>和废水</w:t>
            </w:r>
            <w:r>
              <w:rPr>
                <w:rFonts w:hint="eastAsia" w:ascii="Times New Roman" w:hAnsi="Times New Roman" w:eastAsia="宋体" w:cs="Times New Roman"/>
                <w:b w:val="0"/>
                <w:bCs w:val="0"/>
                <w:color w:val="auto"/>
                <w:sz w:val="24"/>
                <w:lang w:val="en-US" w:eastAsia="zh-CN"/>
              </w:rPr>
              <w:t>泄露时</w:t>
            </w:r>
            <w:r>
              <w:rPr>
                <w:rFonts w:hint="default" w:ascii="Times New Roman" w:hAnsi="Times New Roman" w:eastAsia="宋体" w:cs="Times New Roman"/>
                <w:b w:val="0"/>
                <w:bCs w:val="0"/>
                <w:color w:val="auto"/>
                <w:sz w:val="24"/>
              </w:rPr>
              <w:t>垂直入渗。</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由工程分析和环境空气影响分析可知，本项目对各污染物产生点均配套设置了废气收集治理措施，采取环评要求的污染防治措施后，污染物可以达标排 放，大气污染对周围环境空气的贡献很小，沉降到土壤中比例较少，故对土壤的结构和理化性质环境不会产生明显的影响。</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本项目采用分区防渗措施控制污染物对地下水和土壤的影响。</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lang w:val="en-US" w:eastAsia="zh-CN"/>
              </w:rPr>
              <w:t>⑴</w:t>
            </w:r>
            <w:r>
              <w:rPr>
                <w:rFonts w:hint="default" w:ascii="Times New Roman" w:hAnsi="Times New Roman" w:eastAsia="宋体" w:cs="Times New Roman"/>
                <w:b w:val="0"/>
                <w:bCs w:val="0"/>
                <w:color w:val="auto"/>
                <w:sz w:val="24"/>
              </w:rPr>
              <w:t>重点防渗区</w:t>
            </w:r>
          </w:p>
          <w:p>
            <w:pPr>
              <w:spacing w:line="440" w:lineRule="exact"/>
              <w:ind w:firstLine="480" w:firstLineChars="200"/>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rPr>
              <w:t>①储罐区</w:t>
            </w:r>
            <w:r>
              <w:rPr>
                <w:rFonts w:hint="default" w:ascii="Times New Roman" w:hAnsi="Times New Roman" w:eastAsia="宋体" w:cs="Times New Roman"/>
                <w:b w:val="0"/>
                <w:bCs w:val="0"/>
                <w:color w:val="auto"/>
                <w:sz w:val="24"/>
                <w:lang w:val="en-US" w:eastAsia="zh-CN"/>
              </w:rPr>
              <w:t>和危废暂存间</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本项目沥青储罐区、</w:t>
            </w:r>
            <w:r>
              <w:rPr>
                <w:rFonts w:hint="default" w:ascii="Times New Roman" w:hAnsi="Times New Roman" w:eastAsia="宋体" w:cs="Times New Roman"/>
                <w:b w:val="0"/>
                <w:bCs w:val="0"/>
                <w:color w:val="auto"/>
                <w:sz w:val="24"/>
                <w:lang w:val="en-US" w:eastAsia="zh-CN"/>
              </w:rPr>
              <w:t>橡胶</w:t>
            </w:r>
            <w:r>
              <w:rPr>
                <w:rFonts w:hint="default" w:ascii="Times New Roman" w:hAnsi="Times New Roman" w:eastAsia="宋体" w:cs="Times New Roman"/>
                <w:b w:val="0"/>
                <w:bCs w:val="0"/>
                <w:color w:val="auto"/>
                <w:sz w:val="24"/>
              </w:rPr>
              <w:t>油储罐区、危废暂存间设为重点防渗区。底部及墙体和围堰采取垂直防渗+水平防渗措施，底部采用HDPE-GCL复合防渗系统，上部外加耐腐蚀混凝土等防渗，侧壁设防渗墙，底部和墙体均涂2mm厚的环氧树脂漆，防渗要求等效粘土防渗层Mb≥6.0m，K≤1×10</w:t>
            </w:r>
            <w:r>
              <w:rPr>
                <w:rFonts w:hint="default" w:ascii="Times New Roman" w:hAnsi="Times New Roman" w:eastAsia="宋体" w:cs="Times New Roman"/>
                <w:b w:val="0"/>
                <w:bCs w:val="0"/>
                <w:color w:val="auto"/>
                <w:sz w:val="24"/>
                <w:vertAlign w:val="superscript"/>
              </w:rPr>
              <w:t>-10</w:t>
            </w:r>
            <w:r>
              <w:rPr>
                <w:rFonts w:hint="default" w:ascii="Times New Roman" w:hAnsi="Times New Roman" w:eastAsia="宋体" w:cs="Times New Roman"/>
                <w:b w:val="0"/>
                <w:bCs w:val="0"/>
                <w:color w:val="auto"/>
                <w:sz w:val="24"/>
              </w:rPr>
              <w:t>cm/s。</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②</w:t>
            </w:r>
            <w:r>
              <w:rPr>
                <w:rFonts w:hint="default" w:ascii="Times New Roman" w:hAnsi="Times New Roman" w:eastAsia="宋体" w:cs="Times New Roman"/>
                <w:b w:val="0"/>
                <w:bCs w:val="0"/>
                <w:color w:val="auto"/>
                <w:sz w:val="24"/>
                <w:lang w:val="en-US" w:eastAsia="zh-CN"/>
              </w:rPr>
              <w:t>各水池</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46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混凝土强度等级不宜小于C30，结构厚度不应小于250mm。混凝土的抗渗等级不应低于P8，且水池的内表面应涂刷水泥基渗透结晶型或喷涂聚脲等防水涂料，或在混凝土内掺加水泥基渗透结晶型防水剂。水泥基渗透结晶型防水涂料厚度不应小于1.0mm，喷涂聚脲防水涂料厚度不应小于1.5mm。当混凝土内掺加水泥基渗透结晶型防水剂时，掺量宜为胶凝材料总量的1%-2%。</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color w:val="auto"/>
                <w:sz w:val="24"/>
                <w:szCs w:val="24"/>
              </w:rPr>
              <w:t>水池的所有缝均应设止水带，止水带宜采用橡胶止水带或塑料止水带，施工缝可采用镀锌钢板止水带。橡胶止水带宜选用氯丁橡胶和三元乙丙橡胶止水带；塑料止水带宜选用软质聚氯乙烯塑料止水带。</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lang w:val="en-US" w:eastAsia="zh-CN"/>
              </w:rPr>
              <w:t>⑵</w:t>
            </w:r>
            <w:r>
              <w:rPr>
                <w:rFonts w:hint="default" w:ascii="Times New Roman" w:hAnsi="Times New Roman" w:eastAsia="宋体" w:cs="Times New Roman"/>
                <w:b w:val="0"/>
                <w:bCs w:val="0"/>
                <w:color w:val="auto"/>
                <w:sz w:val="24"/>
              </w:rPr>
              <w:t>一般防渗区</w:t>
            </w:r>
          </w:p>
          <w:p>
            <w:pPr>
              <w:keepNext w:val="0"/>
              <w:keepLines w:val="0"/>
              <w:pageBreakBefore w:val="0"/>
              <w:widowControl w:val="0"/>
              <w:kinsoku/>
              <w:wordWrap/>
              <w:overflowPunct/>
              <w:topLinePunct w:val="0"/>
              <w:autoSpaceDE w:val="0"/>
              <w:autoSpaceDN w:val="0"/>
              <w:bidi w:val="0"/>
              <w:adjustRightInd w:val="0"/>
              <w:snapToGrid/>
              <w:spacing w:line="480" w:lineRule="exact"/>
              <w:ind w:leftChars="0" w:firstLine="480" w:firstLineChars="200"/>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生产车间</w:t>
            </w:r>
            <w:r>
              <w:rPr>
                <w:rFonts w:hint="default" w:ascii="Times New Roman" w:hAnsi="Times New Roman" w:eastAsia="宋体" w:cs="Times New Roman"/>
                <w:color w:val="auto"/>
                <w:sz w:val="24"/>
                <w:szCs w:val="24"/>
              </w:rPr>
              <w:t>地面防渗层可采用抗渗钢纤维混凝土、抗渗合成纤维混凝土、抗渗钢筋混凝土和抗渗素</w:t>
            </w:r>
            <w:r>
              <w:rPr>
                <w:rFonts w:hint="default" w:ascii="Times New Roman" w:hAnsi="Times New Roman" w:eastAsia="宋体" w:cs="Times New Roman"/>
                <w:color w:val="auto"/>
                <w:sz w:val="24"/>
                <w:szCs w:val="24"/>
                <w:lang w:eastAsia="zh-CN"/>
              </w:rPr>
              <w:t>混凝土</w:t>
            </w:r>
            <w:r>
              <w:rPr>
                <w:rFonts w:hint="default" w:ascii="Times New Roman" w:hAnsi="Times New Roman" w:eastAsia="宋体" w:cs="Times New Roman"/>
                <w:color w:val="auto"/>
                <w:sz w:val="24"/>
                <w:szCs w:val="24"/>
              </w:rPr>
              <w:t>。</w:t>
            </w:r>
          </w:p>
          <w:p>
            <w:pPr>
              <w:spacing w:line="440" w:lineRule="exact"/>
              <w:ind w:firstLine="480" w:firstLineChars="200"/>
              <w:rPr>
                <w:rFonts w:hint="default" w:ascii="Times New Roman" w:hAnsi="Times New Roman" w:eastAsia="宋体" w:cs="Times New Roman"/>
                <w:b w:val="0"/>
                <w:bCs w:val="0"/>
                <w:color w:val="auto"/>
                <w:sz w:val="24"/>
                <w:lang w:eastAsia="zh-CN"/>
              </w:rPr>
            </w:pPr>
            <w:r>
              <w:rPr>
                <w:rFonts w:hint="default" w:ascii="Times New Roman" w:hAnsi="Times New Roman" w:eastAsia="宋体" w:cs="Times New Roman"/>
                <w:color w:val="auto"/>
                <w:sz w:val="24"/>
                <w:szCs w:val="24"/>
              </w:rPr>
              <w:t>混凝土的强度等级不应低于C25，抗渗等级不应低于P6。厚度不应小于l00mm。钢纤维体积率宜为0.25%-1.00%。合成纤维体积率宜为0.10%～0. 20%。混凝土防渗层应设置缩缝和胀缝，纵向和横向缩缝、胀缝宜垂直相交。</w:t>
            </w:r>
            <w:r>
              <w:rPr>
                <w:rFonts w:hint="default" w:ascii="Times New Roman" w:hAnsi="Times New Roman" w:eastAsia="宋体" w:cs="Times New Roman"/>
                <w:color w:val="auto"/>
                <w:sz w:val="24"/>
                <w:szCs w:val="24"/>
                <w:lang w:eastAsia="zh-CN"/>
              </w:rPr>
              <w:t>混凝土</w:t>
            </w:r>
            <w:r>
              <w:rPr>
                <w:rFonts w:hint="default" w:ascii="Times New Roman" w:hAnsi="Times New Roman" w:eastAsia="宋体" w:cs="Times New Roman"/>
                <w:color w:val="auto"/>
                <w:sz w:val="24"/>
                <w:szCs w:val="24"/>
              </w:rPr>
              <w:t>防渗层在墙、柱、基础交接处应设衔接缝。</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③简单防渗区</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除上述地方及绿化区外，厂区地面全部进行水泥硬化防渗。</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rPr>
              <w:t>采取上述措施后，不会对土壤和地下水产生明显影响。不布设跟踪监测点。</w:t>
            </w:r>
          </w:p>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六、环境风险影响分析</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⑴物质危险性识别</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根据《建设项目环境风险评价技术导则》（HJ/T169-2018）附录B、《危险化学品重大危险源辨识》（GB18218-2009）相关资料，本项目涉及到的原辅材料、产品、中间产品中危险物质主要为废导热油、废润滑油、</w:t>
            </w:r>
            <w:r>
              <w:rPr>
                <w:rFonts w:hint="default" w:ascii="Times New Roman" w:hAnsi="Times New Roman" w:eastAsia="宋体" w:cs="Times New Roman"/>
                <w:b w:val="0"/>
                <w:bCs w:val="0"/>
                <w:color w:val="auto"/>
                <w:sz w:val="24"/>
                <w:lang w:val="en-US" w:eastAsia="zh-CN"/>
              </w:rPr>
              <w:t>橡胶</w:t>
            </w:r>
            <w:r>
              <w:rPr>
                <w:rFonts w:hint="default" w:ascii="Times New Roman" w:hAnsi="Times New Roman" w:eastAsia="宋体" w:cs="Times New Roman"/>
                <w:b w:val="0"/>
                <w:bCs w:val="0"/>
                <w:color w:val="auto"/>
                <w:sz w:val="24"/>
              </w:rPr>
              <w:t>油和沥青，属于“附录 B”所列的环境风险物质“油类物质”，为易燃易爆物质，最大储存量为</w:t>
            </w:r>
            <w:r>
              <w:rPr>
                <w:rFonts w:hint="default" w:ascii="Times New Roman" w:hAnsi="Times New Roman" w:eastAsia="宋体" w:cs="Times New Roman"/>
                <w:b w:val="0"/>
                <w:bCs w:val="0"/>
                <w:color w:val="auto"/>
                <w:sz w:val="24"/>
                <w:lang w:val="en-US" w:eastAsia="zh-CN"/>
              </w:rPr>
              <w:t>293.05</w:t>
            </w:r>
            <w:r>
              <w:rPr>
                <w:rFonts w:hint="default" w:ascii="Times New Roman" w:hAnsi="Times New Roman" w:eastAsia="宋体" w:cs="Times New Roman"/>
                <w:b w:val="0"/>
                <w:bCs w:val="0"/>
                <w:color w:val="auto"/>
                <w:sz w:val="24"/>
              </w:rPr>
              <w:t>t/a。</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根据《建设项目环境风险评价技术导则》(HJ/T169-2018)中附录C危险物质及工艺系统危险性(P)的分级，确定项目风险评价等级。参照导则中附录B.1，Q 值=</w:t>
            </w:r>
            <w:r>
              <w:rPr>
                <w:rFonts w:hint="default" w:ascii="Times New Roman" w:hAnsi="Times New Roman" w:eastAsia="宋体" w:cs="Times New Roman"/>
                <w:b w:val="0"/>
                <w:bCs w:val="0"/>
                <w:color w:val="auto"/>
                <w:sz w:val="24"/>
                <w:lang w:val="en-US" w:eastAsia="zh-CN"/>
              </w:rPr>
              <w:t>2</w:t>
            </w:r>
            <w:r>
              <w:rPr>
                <w:rFonts w:hint="eastAsia" w:ascii="Times New Roman" w:hAnsi="Times New Roman" w:eastAsia="宋体" w:cs="Times New Roman"/>
                <w:b w:val="0"/>
                <w:bCs w:val="0"/>
                <w:color w:val="auto"/>
                <w:sz w:val="24"/>
                <w:lang w:val="en-US" w:eastAsia="zh-CN"/>
              </w:rPr>
              <w:t>53.05</w:t>
            </w:r>
            <w:r>
              <w:rPr>
                <w:rFonts w:hint="default" w:ascii="Times New Roman" w:hAnsi="Times New Roman" w:eastAsia="宋体" w:cs="Times New Roman"/>
                <w:b w:val="0"/>
                <w:bCs w:val="0"/>
                <w:color w:val="auto"/>
                <w:sz w:val="24"/>
              </w:rPr>
              <w:t>/2500=0.</w:t>
            </w:r>
            <w:r>
              <w:rPr>
                <w:rFonts w:hint="default" w:ascii="Times New Roman" w:hAnsi="Times New Roman" w:eastAsia="宋体" w:cs="Times New Roman"/>
                <w:b w:val="0"/>
                <w:bCs w:val="0"/>
                <w:color w:val="auto"/>
                <w:sz w:val="24"/>
                <w:lang w:val="en-US" w:eastAsia="zh-CN"/>
              </w:rPr>
              <w:t>1</w:t>
            </w:r>
            <w:r>
              <w:rPr>
                <w:rFonts w:hint="eastAsia" w:ascii="Times New Roman" w:hAnsi="Times New Roman" w:eastAsia="宋体" w:cs="Times New Roman"/>
                <w:b w:val="0"/>
                <w:bCs w:val="0"/>
                <w:color w:val="auto"/>
                <w:sz w:val="24"/>
                <w:lang w:val="en-US" w:eastAsia="zh-CN"/>
              </w:rPr>
              <w:t>01</w:t>
            </w:r>
            <w:r>
              <w:rPr>
                <w:rFonts w:hint="default" w:ascii="Times New Roman" w:hAnsi="Times New Roman" w:eastAsia="宋体" w:cs="Times New Roman"/>
                <w:b w:val="0"/>
                <w:bCs w:val="0"/>
                <w:color w:val="auto"/>
                <w:sz w:val="24"/>
              </w:rPr>
              <w:t>＜1，本项目环境风险潜势为I，环境风险评价等级为简单分析</w:t>
            </w:r>
            <w:r>
              <w:rPr>
                <w:rFonts w:hint="default"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lang w:val="en-US" w:eastAsia="zh-CN"/>
              </w:rPr>
              <w:t>为超过临界量，且不需要</w:t>
            </w:r>
            <w:r>
              <w:rPr>
                <w:rFonts w:hint="default" w:ascii="Times New Roman" w:hAnsi="Times New Roman" w:eastAsia="宋体" w:cs="Times New Roman"/>
                <w:b w:val="0"/>
                <w:bCs w:val="0"/>
                <w:color w:val="auto"/>
                <w:sz w:val="24"/>
              </w:rPr>
              <w:t>设置环境风险评价专题。</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本项目废导热油、废润滑油、</w:t>
            </w:r>
            <w:r>
              <w:rPr>
                <w:rFonts w:hint="default" w:ascii="Times New Roman" w:hAnsi="Times New Roman" w:eastAsia="宋体" w:cs="Times New Roman"/>
                <w:b w:val="0"/>
                <w:bCs w:val="0"/>
                <w:color w:val="auto"/>
                <w:sz w:val="24"/>
                <w:lang w:val="en-US" w:eastAsia="zh-CN"/>
              </w:rPr>
              <w:t>橡胶</w:t>
            </w:r>
            <w:r>
              <w:rPr>
                <w:rFonts w:hint="default" w:ascii="Times New Roman" w:hAnsi="Times New Roman" w:eastAsia="宋体" w:cs="Times New Roman"/>
                <w:b w:val="0"/>
                <w:bCs w:val="0"/>
                <w:color w:val="auto"/>
                <w:sz w:val="24"/>
              </w:rPr>
              <w:t>油和沥青</w:t>
            </w:r>
            <w:r>
              <w:rPr>
                <w:rFonts w:hint="default" w:ascii="Times New Roman" w:hAnsi="Times New Roman" w:eastAsia="宋体" w:cs="Times New Roman"/>
                <w:b w:val="0"/>
                <w:bCs w:val="0"/>
                <w:color w:val="auto"/>
                <w:sz w:val="24"/>
                <w:lang w:val="en-US" w:eastAsia="zh-CN"/>
              </w:rPr>
              <w:t>的</w:t>
            </w:r>
            <w:r>
              <w:rPr>
                <w:rFonts w:hint="default" w:ascii="Times New Roman" w:hAnsi="Times New Roman" w:eastAsia="宋体" w:cs="Times New Roman"/>
                <w:b w:val="0"/>
                <w:bCs w:val="0"/>
                <w:color w:val="auto"/>
                <w:sz w:val="24"/>
              </w:rPr>
              <w:t>危险特性及理化性质见表下表。</w:t>
            </w:r>
          </w:p>
          <w:p>
            <w:pPr>
              <w:spacing w:line="44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表4-</w:t>
            </w:r>
            <w:r>
              <w:rPr>
                <w:rFonts w:hint="eastAsia" w:ascii="Times New Roman" w:hAnsi="Times New Roman" w:eastAsia="宋体" w:cs="Times New Roman"/>
                <w:b w:val="0"/>
                <w:bCs w:val="0"/>
                <w:color w:val="auto"/>
                <w:sz w:val="24"/>
                <w:lang w:val="en-US" w:eastAsia="zh-CN"/>
              </w:rPr>
              <w:t>9</w:t>
            </w:r>
            <w:r>
              <w:rPr>
                <w:rFonts w:hint="default" w:ascii="Times New Roman" w:hAnsi="Times New Roman" w:eastAsia="宋体" w:cs="Times New Roman"/>
                <w:b w:val="0"/>
                <w:bCs w:val="0"/>
                <w:color w:val="auto"/>
                <w:sz w:val="24"/>
              </w:rPr>
              <w:t xml:space="preserve">  废导热油、废润滑油和</w:t>
            </w:r>
            <w:r>
              <w:rPr>
                <w:rFonts w:hint="eastAsia" w:ascii="Times New Roman" w:hAnsi="Times New Roman" w:eastAsia="宋体" w:cs="Times New Roman"/>
                <w:b w:val="0"/>
                <w:bCs w:val="0"/>
                <w:color w:val="auto"/>
                <w:sz w:val="24"/>
                <w:lang w:val="en-US" w:eastAsia="zh-CN"/>
              </w:rPr>
              <w:t>橡胶</w:t>
            </w:r>
            <w:r>
              <w:rPr>
                <w:rFonts w:hint="default" w:ascii="Times New Roman" w:hAnsi="Times New Roman" w:eastAsia="宋体" w:cs="Times New Roman"/>
                <w:b w:val="0"/>
                <w:bCs w:val="0"/>
                <w:color w:val="auto"/>
                <w:sz w:val="24"/>
              </w:rPr>
              <w:t>油理化性质及危险特性表</w:t>
            </w:r>
          </w:p>
          <w:tbl>
            <w:tblPr>
              <w:tblStyle w:val="26"/>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1463"/>
              <w:gridCol w:w="5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标识</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中文名：废导热油、废润滑油、橡胶油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理化性质</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性状：液体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溶解性：不溶于水，溶于丙酮、醇、醚、酸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88"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燃烧爆炸危险性</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危险特性；遇明火、高温可燃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燃烧分解产物：</w:t>
                  </w:r>
                  <w:r>
                    <w:rPr>
                      <w:rFonts w:hint="default" w:ascii="Times New Roman" w:hAnsi="Times New Roman" w:eastAsia="宋体" w:cs="Times New Roman"/>
                      <w:b w:val="0"/>
                      <w:bCs w:val="0"/>
                      <w:color w:val="auto"/>
                    </w:rPr>
                    <w:t>一氧化碳</w:t>
                  </w:r>
                  <w:r>
                    <w:rPr>
                      <w:rFonts w:hint="default" w:ascii="Times New Roman" w:hAnsi="Times New Roman" w:eastAsia="宋体" w:cs="Times New Roman"/>
                      <w:b w:val="0"/>
                      <w:bCs w:val="0"/>
                      <w:color w:val="auto"/>
                      <w:szCs w:val="21"/>
                    </w:rPr>
                    <w:t>、二氧化碳</w:t>
                  </w:r>
                </w:p>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146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灭火方法</w:t>
                  </w:r>
                </w:p>
              </w:tc>
              <w:tc>
                <w:tcPr>
                  <w:tcW w:w="5695"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消防人员须佩戴防毒面具、穿全身消防服，在上风向灭火。尽可能将容器从火场移至空旷处。喷水保持火场容器冷却，直至灭火结束。处在火场中的容器若已变色或安全泄压装置中产生声音，必须马上撤离。灭火剂：雾状水、泡沫、干粉、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1463"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灭火剂</w:t>
                  </w:r>
                </w:p>
              </w:tc>
              <w:tc>
                <w:tcPr>
                  <w:tcW w:w="5695"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雾状水、泡沫、干粉、二氧化碳、砂土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健康危害</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急性毒性：</w:t>
                  </w:r>
                  <w:r>
                    <w:rPr>
                      <w:rFonts w:hint="default" w:ascii="Times New Roman" w:hAnsi="Times New Roman" w:eastAsia="宋体" w:cs="Times New Roman"/>
                      <w:b w:val="0"/>
                      <w:bCs w:val="0"/>
                      <w:color w:val="auto"/>
                    </w:rPr>
                    <w:t>LD</w:t>
                  </w:r>
                  <w:r>
                    <w:rPr>
                      <w:rFonts w:hint="default" w:ascii="Times New Roman" w:hAnsi="Times New Roman" w:eastAsia="宋体" w:cs="Times New Roman"/>
                      <w:b w:val="0"/>
                      <w:bCs w:val="0"/>
                      <w:color w:val="auto"/>
                      <w:vertAlign w:val="subscript"/>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侵入途径：吸入、食入、经皮吸收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健康危害：吸入、口服或经皮肤吸收后对身体有害。对眼睛皮肤、粘膜和上 呼吸道有强烈刺激作用。吸入后，可引起喉、支气管的炎症，水脚、痉挛、 化学性肺炎、肺水肿。接触后可引起烧灼感、咳嗽、喘息、气短、头痛、恶 心与呕吐等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急救措施</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皮肤接触：立即脱去污染的衣着，用肥皂水和清水彻底冲洗皮肤。就医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眼睛接触：立即提起眼睑，用大量流动清水或生理盐水彻底冲洗至少 15 分钟 急救。就医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吸入：迅速脱离现场至空气新鲜处。保持呼吸道通畅。如呼吸困难，给输氧，如呼吸停止，立即进行人工呼吸，就医。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食入：饮足量温水，催吐，洗胃，导泄，就医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截留措施</w:t>
                  </w:r>
                </w:p>
              </w:tc>
              <w:tc>
                <w:tcPr>
                  <w:tcW w:w="7158"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迅速撤离泄漏污染区人员至安全区，并进行隔离，严格限制出入；切断火源。建议应急处理人员戴自给正压式呼吸器，穿防毒服。尽可能切断泄漏源。防止流入下水道、排洪沟等限制性空间。小量泄漏：用砂土或其它不燃材料吸附或吸收。大量泄漏：构筑围堤或挖坑收容。用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noWrap w:val="0"/>
                  <w:vAlign w:val="center"/>
                </w:tcPr>
                <w:p>
                  <w:pPr>
                    <w:pStyle w:val="83"/>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储运</w:t>
                  </w:r>
                </w:p>
              </w:tc>
              <w:tc>
                <w:tcPr>
                  <w:tcW w:w="7158" w:type="dxa"/>
                  <w:gridSpan w:val="2"/>
                  <w:noWrap w:val="0"/>
                  <w:vAlign w:val="center"/>
                </w:tcPr>
                <w:p>
                  <w:pPr>
                    <w:pStyle w:val="83"/>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w:t>
                  </w:r>
                </w:p>
              </w:tc>
            </w:tr>
          </w:tbl>
          <w:p>
            <w:pPr>
              <w:spacing w:line="44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表4-</w:t>
            </w:r>
            <w:r>
              <w:rPr>
                <w:rFonts w:hint="eastAsia" w:ascii="Times New Roman" w:hAnsi="Times New Roman" w:eastAsia="宋体" w:cs="Times New Roman"/>
                <w:b w:val="0"/>
                <w:bCs w:val="0"/>
                <w:color w:val="auto"/>
                <w:sz w:val="24"/>
                <w:lang w:val="en-US" w:eastAsia="zh-CN"/>
              </w:rPr>
              <w:t>10</w:t>
            </w:r>
            <w:r>
              <w:rPr>
                <w:rFonts w:hint="default" w:ascii="Times New Roman" w:hAnsi="Times New Roman" w:eastAsia="宋体" w:cs="Times New Roman"/>
                <w:b w:val="0"/>
                <w:bCs w:val="0"/>
                <w:color w:val="auto"/>
                <w:sz w:val="24"/>
              </w:rPr>
              <w:t xml:space="preserve">  沥青理化性质及危险特性表</w:t>
            </w:r>
          </w:p>
          <w:tbl>
            <w:tblPr>
              <w:tblStyle w:val="26"/>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444"/>
              <w:gridCol w:w="2153"/>
              <w:gridCol w:w="3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标识</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中文名：沥青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CAS：8052-42-4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理化性质</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性状：黑色液体，半固体或固体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溶解性：与水混溶，可混溶与醚、氯 仿等多数有机溶剂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3597"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相对密度(=1)：1.15-1.25</w:t>
                  </w:r>
                </w:p>
              </w:tc>
              <w:tc>
                <w:tcPr>
                  <w:tcW w:w="354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闪点(℃)：204.4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3597"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沸点(C)：&lt;470</w:t>
                  </w:r>
                </w:p>
              </w:tc>
              <w:tc>
                <w:tcPr>
                  <w:tcW w:w="354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最小引燃温度(℃)：485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07"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燃烧爆炸危险性</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危险特性；遇明火、高热可燃、燃烧时放出有毒的刺激性烟雾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燃烧分解产物：</w:t>
                  </w:r>
                  <w:r>
                    <w:rPr>
                      <w:rFonts w:hint="default" w:ascii="Times New Roman" w:hAnsi="Times New Roman" w:eastAsia="宋体" w:cs="Times New Roman"/>
                      <w:b w:val="0"/>
                      <w:bCs w:val="0"/>
                      <w:color w:val="auto"/>
                    </w:rPr>
                    <w:t>一氧化碳、二氧化碳、成分未知的黑色烟雾</w:t>
                  </w:r>
                </w:p>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稳定性：稳定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144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灭火方法</w:t>
                  </w:r>
                </w:p>
              </w:tc>
              <w:tc>
                <w:tcPr>
                  <w:tcW w:w="5695"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消防人员须佩戴防毒面具、穿全身消防服，在上风向灭火。尽可能将容器从火场移至空旷处。喷水保持火场容器冷却，直至灭火结束。处在火场中的容器若已变色或安全泄压装置中产生声音，必须马上撤离。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1444"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灭火剂</w:t>
                  </w:r>
                </w:p>
              </w:tc>
              <w:tc>
                <w:tcPr>
                  <w:tcW w:w="5695" w:type="dxa"/>
                  <w:gridSpan w:val="2"/>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雾状水、泡沫、干粉、二氧化碳、砂土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健康危害</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急性毒性：</w:t>
                  </w:r>
                  <w:r>
                    <w:rPr>
                      <w:rFonts w:hint="default" w:ascii="Times New Roman" w:hAnsi="Times New Roman" w:eastAsia="宋体" w:cs="Times New Roman"/>
                      <w:b w:val="0"/>
                      <w:bCs w:val="0"/>
                      <w:color w:val="auto"/>
                    </w:rPr>
                    <w:t>LD</w:t>
                  </w:r>
                  <w:r>
                    <w:rPr>
                      <w:rFonts w:hint="default" w:ascii="Times New Roman" w:hAnsi="Times New Roman" w:eastAsia="宋体" w:cs="Times New Roman"/>
                      <w:b w:val="0"/>
                      <w:bCs w:val="0"/>
                      <w:color w:val="auto"/>
                      <w:vertAlign w:val="subscript"/>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侵入途径：吸入、食入、经皮吸收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健康危害：沥青及其烟气对皮肤粘膜具有刺激性，有光毒作用和致肿瘤作用。我国三种主要沥青的毒性：煤焦沥青&gt;页岩沥青&gt;石油沥青，前二者有致癌|性。沥青的主要皮肤损害有：光毒性皮炎，皮损限于面、颈部等暴露部分；黑变病，皮损常对称分布于暴露部位，星片状，呈褐一深褐一褐黑色；职业性痤疮；疣状赘生物及事故引起的热烧伤。此外，尚有头昏、头胀，头痛、胸闷、乏力、恶 心、食欲不振等全身症状和眼、鼻、咽部的刺激症状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restart"/>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急救措施</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皮肤接触：立即脱去污染的衣着，用肥皂水和清水彻底冲洗皮肤。就医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眼睛接触：立即提起眼睑，用大量流动清水或生理盐水彻底冲洗至少 15 分钟 急救。就医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吸入：迅速脱离现场至空气新鲜处。保持呼吸道通畅。如呼吸困难，给输氧，如呼吸停止，立即进行人工呼吸，就医。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vMerge w:val="continue"/>
                  <w:noWrap w:val="0"/>
                  <w:vAlign w:val="center"/>
                </w:tcPr>
                <w:p>
                  <w:pPr>
                    <w:jc w:val="center"/>
                    <w:rPr>
                      <w:rFonts w:hint="default" w:ascii="Times New Roman" w:hAnsi="Times New Roman" w:eastAsia="宋体" w:cs="Times New Roman"/>
                      <w:b w:val="0"/>
                      <w:bCs w:val="0"/>
                      <w:color w:val="auto"/>
                      <w:szCs w:val="21"/>
                    </w:rPr>
                  </w:pP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食入：饮足量温水，催吐，洗胃，导泄，就医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center"/>
                </w:tcPr>
                <w:p>
                  <w:pPr>
                    <w:jc w:val="center"/>
                    <w:rPr>
                      <w:rFonts w:hint="default" w:ascii="Times New Roman" w:hAnsi="Times New Roman" w:eastAsia="宋体" w:cs="Times New Roman"/>
                      <w:b w:val="0"/>
                      <w:bCs w:val="0"/>
                      <w:color w:val="auto"/>
                      <w:szCs w:val="21"/>
                      <w:lang w:val="en-US" w:eastAsia="zh-CN"/>
                    </w:rPr>
                  </w:pPr>
                  <w:r>
                    <w:rPr>
                      <w:rFonts w:hint="eastAsia" w:ascii="Times New Roman" w:hAnsi="Times New Roman" w:eastAsia="宋体" w:cs="Times New Roman"/>
                      <w:b w:val="0"/>
                      <w:bCs w:val="0"/>
                      <w:color w:val="auto"/>
                      <w:szCs w:val="21"/>
                      <w:lang w:val="en-US" w:eastAsia="zh-CN"/>
                    </w:rPr>
                    <w:t>截留措施</w:t>
                  </w:r>
                </w:p>
              </w:tc>
              <w:tc>
                <w:tcPr>
                  <w:tcW w:w="7139" w:type="dxa"/>
                  <w:gridSpan w:val="3"/>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迅速撤离泄漏污染区人员至安全区，并进行隔离，严格限制出入；切断火源。建议应急处理人员戴自给正压式呼吸器，穿防毒服。尽可能切断泄漏源。防止流入下水道、排洪沟等限制性空间。小量泄漏：用砂土或其它不燃材料吸附或吸收。大量泄漏：构筑围堤或挖坑收容。用泵转移至槽车或专用收集器内，回收或运至废物处理场所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7" w:type="dxa"/>
                  <w:noWrap w:val="0"/>
                  <w:vAlign w:val="center"/>
                </w:tcPr>
                <w:p>
                  <w:pPr>
                    <w:pStyle w:val="83"/>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储运</w:t>
                  </w:r>
                </w:p>
              </w:tc>
              <w:tc>
                <w:tcPr>
                  <w:tcW w:w="7139" w:type="dxa"/>
                  <w:gridSpan w:val="3"/>
                  <w:noWrap w:val="0"/>
                  <w:vAlign w:val="center"/>
                </w:tcPr>
                <w:p>
                  <w:pPr>
                    <w:pStyle w:val="83"/>
                    <w:rPr>
                      <w:rFonts w:hint="default" w:ascii="Times New Roman" w:hAnsi="Times New Roman" w:eastAsia="宋体" w:cs="Times New Roman"/>
                      <w:b w:val="0"/>
                      <w:bCs w:val="0"/>
                      <w:color w:val="auto"/>
                    </w:rPr>
                  </w:pPr>
                  <w:r>
                    <w:rPr>
                      <w:rFonts w:hint="default" w:ascii="Times New Roman" w:hAnsi="Times New Roman" w:eastAsia="宋体" w:cs="Times New Roman"/>
                      <w:b w:val="0"/>
                      <w:bCs w:val="0"/>
                      <w:color w:val="auto"/>
                    </w:rPr>
                    <w:t>储存于阴凉、通风的库房。远离火种、热源。应与氧化剂分开存放，切忌混储。配备相应品种和数量的消防器材。储区应备有泄漏应急处理设备和合适的收容材料。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w:t>
                  </w:r>
                </w:p>
              </w:tc>
            </w:tr>
          </w:tbl>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⑵风险源分布情况</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工程生产过程中存在着由于废润滑油、废导热油、</w:t>
            </w:r>
            <w:r>
              <w:rPr>
                <w:rFonts w:hint="eastAsia" w:ascii="Times New Roman" w:hAnsi="Times New Roman" w:eastAsia="宋体" w:cs="Times New Roman"/>
                <w:b w:val="0"/>
                <w:bCs w:val="0"/>
                <w:color w:val="auto"/>
                <w:sz w:val="24"/>
                <w:lang w:val="en-US" w:eastAsia="zh-CN"/>
              </w:rPr>
              <w:t>橡胶</w:t>
            </w:r>
            <w:r>
              <w:rPr>
                <w:rFonts w:hint="default" w:ascii="Times New Roman" w:hAnsi="Times New Roman" w:eastAsia="宋体" w:cs="Times New Roman"/>
                <w:b w:val="0"/>
                <w:bCs w:val="0"/>
                <w:color w:val="auto"/>
                <w:sz w:val="24"/>
              </w:rPr>
              <w:t>油、沥青泄漏、爆炸及引发的火灾会对周围环境产生一定的影响。具体风险源分布情况见下表</w:t>
            </w:r>
          </w:p>
          <w:p>
            <w:pPr>
              <w:spacing w:line="440" w:lineRule="exact"/>
              <w:jc w:val="center"/>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表4-1</w:t>
            </w:r>
            <w:r>
              <w:rPr>
                <w:rFonts w:hint="eastAsia" w:ascii="Times New Roman" w:hAnsi="Times New Roman" w:eastAsia="宋体" w:cs="Times New Roman"/>
                <w:b w:val="0"/>
                <w:bCs w:val="0"/>
                <w:color w:val="auto"/>
                <w:sz w:val="24"/>
                <w:lang w:val="en-US" w:eastAsia="zh-CN"/>
              </w:rPr>
              <w:t>1</w:t>
            </w:r>
            <w:r>
              <w:rPr>
                <w:rFonts w:hint="default" w:ascii="Times New Roman" w:hAnsi="Times New Roman" w:eastAsia="宋体" w:cs="Times New Roman"/>
                <w:b w:val="0"/>
                <w:bCs w:val="0"/>
                <w:color w:val="auto"/>
                <w:sz w:val="24"/>
              </w:rPr>
              <w:t xml:space="preserve">  本项目主要风险源分布一览表</w:t>
            </w:r>
          </w:p>
          <w:tbl>
            <w:tblPr>
              <w:tblStyle w:val="26"/>
              <w:tblW w:w="7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7"/>
              <w:gridCol w:w="1900"/>
              <w:gridCol w:w="2617"/>
              <w:gridCol w:w="2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序号</w:t>
                  </w:r>
                </w:p>
              </w:tc>
              <w:tc>
                <w:tcPr>
                  <w:tcW w:w="190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风险源分布</w:t>
                  </w:r>
                </w:p>
              </w:tc>
              <w:tc>
                <w:tcPr>
                  <w:tcW w:w="261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风险源</w:t>
                  </w:r>
                </w:p>
              </w:tc>
              <w:tc>
                <w:tcPr>
                  <w:tcW w:w="238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危险特性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1</w:t>
                  </w:r>
                </w:p>
              </w:tc>
              <w:tc>
                <w:tcPr>
                  <w:tcW w:w="190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危废暂存间</w:t>
                  </w:r>
                </w:p>
              </w:tc>
              <w:tc>
                <w:tcPr>
                  <w:tcW w:w="261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废润滑油</w:t>
                  </w:r>
                </w:p>
              </w:tc>
              <w:tc>
                <w:tcPr>
                  <w:tcW w:w="238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液体泄漏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2</w:t>
                  </w:r>
                </w:p>
              </w:tc>
              <w:tc>
                <w:tcPr>
                  <w:tcW w:w="190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导热油炉</w:t>
                  </w:r>
                </w:p>
              </w:tc>
              <w:tc>
                <w:tcPr>
                  <w:tcW w:w="261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废导热油</w:t>
                  </w:r>
                </w:p>
              </w:tc>
              <w:tc>
                <w:tcPr>
                  <w:tcW w:w="238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液体泄漏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4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w:t>
                  </w:r>
                </w:p>
              </w:tc>
              <w:tc>
                <w:tcPr>
                  <w:tcW w:w="190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橡胶</w:t>
                  </w:r>
                  <w:r>
                    <w:rPr>
                      <w:rFonts w:hint="default" w:ascii="Times New Roman" w:hAnsi="Times New Roman" w:eastAsia="宋体" w:cs="Times New Roman"/>
                      <w:b w:val="0"/>
                      <w:bCs w:val="0"/>
                      <w:color w:val="auto"/>
                      <w:szCs w:val="21"/>
                    </w:rPr>
                    <w:t>油</w:t>
                  </w:r>
                  <w:r>
                    <w:rPr>
                      <w:rFonts w:hint="default" w:ascii="Times New Roman" w:hAnsi="Times New Roman" w:eastAsia="宋体" w:cs="Times New Roman"/>
                      <w:b w:val="0"/>
                      <w:bCs w:val="0"/>
                      <w:color w:val="auto"/>
                    </w:rPr>
                    <w:t>罐区</w:t>
                  </w:r>
                </w:p>
              </w:tc>
              <w:tc>
                <w:tcPr>
                  <w:tcW w:w="261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lang w:val="en-US" w:eastAsia="zh-CN"/>
                    </w:rPr>
                    <w:t>橡胶</w:t>
                  </w:r>
                  <w:r>
                    <w:rPr>
                      <w:rFonts w:hint="default" w:ascii="Times New Roman" w:hAnsi="Times New Roman" w:eastAsia="宋体" w:cs="Times New Roman"/>
                      <w:b w:val="0"/>
                      <w:bCs w:val="0"/>
                      <w:color w:val="auto"/>
                      <w:szCs w:val="21"/>
                    </w:rPr>
                    <w:t>油</w:t>
                  </w:r>
                </w:p>
              </w:tc>
              <w:tc>
                <w:tcPr>
                  <w:tcW w:w="238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液体泄漏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4</w:t>
                  </w:r>
                </w:p>
              </w:tc>
              <w:tc>
                <w:tcPr>
                  <w:tcW w:w="1900"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沥青</w:t>
                  </w:r>
                  <w:r>
                    <w:rPr>
                      <w:rFonts w:hint="default" w:ascii="Times New Roman" w:hAnsi="Times New Roman" w:eastAsia="宋体" w:cs="Times New Roman"/>
                      <w:b w:val="0"/>
                      <w:bCs w:val="0"/>
                      <w:color w:val="auto"/>
                    </w:rPr>
                    <w:t>罐区</w:t>
                  </w:r>
                </w:p>
              </w:tc>
              <w:tc>
                <w:tcPr>
                  <w:tcW w:w="2617"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沥青</w:t>
                  </w:r>
                </w:p>
              </w:tc>
              <w:tc>
                <w:tcPr>
                  <w:tcW w:w="2382" w:type="dxa"/>
                  <w:noWrap w:val="0"/>
                  <w:vAlign w:val="center"/>
                </w:tcPr>
                <w:p>
                  <w:pPr>
                    <w:jc w:val="center"/>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液体泄漏</w:t>
                  </w:r>
                </w:p>
              </w:tc>
            </w:tr>
          </w:tbl>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⑶事故可能影响途径分析</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在突发性的事故状态下，废润滑油、废导热油、沥青、橡胶油泄漏、爆炸及引发的火灾会对周围环境产生一定的影响。对环境的主要影响为事故后的影响，主要影响包括：发生泄漏时，泄漏大量废润滑油、废导热油、沥青、橡胶油，会污染周边土壤、大气和水体；发生火灾爆炸后，产生大量的燃烧废气（主要为CO</w:t>
            </w:r>
            <w:r>
              <w:rPr>
                <w:rFonts w:hint="default" w:ascii="Times New Roman" w:hAnsi="Times New Roman" w:eastAsia="宋体" w:cs="Times New Roman"/>
                <w:b w:val="0"/>
                <w:bCs w:val="0"/>
                <w:color w:val="auto"/>
                <w:sz w:val="24"/>
                <w:vertAlign w:val="subscript"/>
              </w:rPr>
              <w:t>2</w:t>
            </w:r>
            <w:r>
              <w:rPr>
                <w:rFonts w:hint="default" w:ascii="Times New Roman" w:hAnsi="Times New Roman" w:eastAsia="宋体" w:cs="Times New Roman"/>
                <w:b w:val="0"/>
                <w:bCs w:val="0"/>
                <w:color w:val="auto"/>
                <w:sz w:val="24"/>
              </w:rPr>
              <w:t>、CO）对大气环境的影响；爆炸冲击波导致土层被掀起，产生一定量的粉尘对近距离的大气环境造成短时间的影响；发生火灾爆炸后，产生大量消防废水；发生泄漏、火灾爆炸后，消防车辆、指挥等产生的噪声；发生火灾爆炸后，产生大量燃烧废物、毁损建筑产生建筑垃圾和损毁设备等；发生火灾爆炸后，地表植被遭到破坏。</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⑷环境风险防范措施</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①危废暂存间设置收容坑、四周设置导流槽、门口设置围堰等；其地面、墙面裙脚、堵截泄漏的围堰、接触危险废物的隔板和墙体等应采用坚固的材料建造，表面无裂缝。</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②导热油炉装置区、沥青罐</w:t>
            </w:r>
            <w:r>
              <w:rPr>
                <w:rFonts w:hint="eastAsia" w:ascii="Times New Roman" w:hAnsi="Times New Roman" w:eastAsia="宋体" w:cs="Times New Roman"/>
                <w:b w:val="0"/>
                <w:bCs w:val="0"/>
                <w:color w:val="auto"/>
                <w:sz w:val="24"/>
                <w:lang w:val="en-US" w:eastAsia="zh-CN"/>
              </w:rPr>
              <w:t>区</w:t>
            </w:r>
            <w:r>
              <w:rPr>
                <w:rFonts w:hint="default" w:ascii="Times New Roman" w:hAnsi="Times New Roman" w:eastAsia="宋体" w:cs="Times New Roman"/>
                <w:b w:val="0"/>
                <w:bCs w:val="0"/>
                <w:color w:val="auto"/>
                <w:sz w:val="24"/>
              </w:rPr>
              <w:t>和橡胶油储罐区四周设置围堰，</w:t>
            </w:r>
            <w:r>
              <w:rPr>
                <w:rFonts w:hint="eastAsia" w:ascii="Times New Roman" w:hAnsi="Times New Roman" w:eastAsia="宋体" w:cs="Times New Roman"/>
                <w:b w:val="0"/>
                <w:bCs w:val="0"/>
                <w:color w:val="auto"/>
                <w:sz w:val="24"/>
                <w:lang w:eastAsia="zh-CN"/>
              </w:rPr>
              <w:t>围堰构成的有效容积应大于单个储罐最大容积，</w:t>
            </w:r>
            <w:r>
              <w:rPr>
                <w:rFonts w:hint="eastAsia" w:ascii="Times New Roman" w:hAnsi="Times New Roman" w:eastAsia="宋体" w:cs="Times New Roman"/>
                <w:b w:val="0"/>
                <w:bCs w:val="0"/>
                <w:color w:val="auto"/>
                <w:sz w:val="24"/>
                <w:lang w:val="en-US" w:eastAsia="zh-CN"/>
              </w:rPr>
              <w:t>且</w:t>
            </w:r>
            <w:r>
              <w:rPr>
                <w:rFonts w:hint="default" w:ascii="Times New Roman" w:hAnsi="Times New Roman" w:eastAsia="宋体" w:cs="Times New Roman"/>
                <w:b w:val="0"/>
                <w:bCs w:val="0"/>
                <w:color w:val="auto"/>
                <w:sz w:val="24"/>
              </w:rPr>
              <w:t>围堰底部、内壁均采用防渗硬化</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按照重点防渗区防渗技术要求进行，即底部及墙体和围堰采取垂直防渗+水平防渗措施，底部采用HDPE-GCL复合防渗系统，上部外加耐腐蚀混凝土等防渗，侧壁设防渗墙，底部和墙体均涂2mm厚的环氧树脂漆，防渗要求等效粘土防渗层Mb≥6.0m，K≤1×10</w:t>
            </w:r>
            <w:r>
              <w:rPr>
                <w:rFonts w:hint="default" w:ascii="Times New Roman" w:hAnsi="Times New Roman" w:eastAsia="宋体" w:cs="Times New Roman"/>
                <w:b w:val="0"/>
                <w:bCs w:val="0"/>
                <w:color w:val="auto"/>
                <w:sz w:val="24"/>
                <w:vertAlign w:val="superscript"/>
              </w:rPr>
              <w:t>-10</w:t>
            </w:r>
            <w:r>
              <w:rPr>
                <w:rFonts w:hint="default" w:ascii="Times New Roman" w:hAnsi="Times New Roman" w:eastAsia="宋体" w:cs="Times New Roman"/>
                <w:b w:val="0"/>
                <w:bCs w:val="0"/>
                <w:color w:val="auto"/>
                <w:sz w:val="24"/>
              </w:rPr>
              <w:t>cm/s。</w:t>
            </w:r>
          </w:p>
          <w:p>
            <w:pPr>
              <w:spacing w:line="440" w:lineRule="exact"/>
              <w:ind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③</w:t>
            </w:r>
            <w:r>
              <w:rPr>
                <w:rFonts w:hint="default" w:ascii="Times New Roman" w:hAnsi="Times New Roman" w:eastAsia="宋体" w:cs="Times New Roman"/>
                <w:b w:val="0"/>
                <w:bCs w:val="0"/>
                <w:color w:val="auto"/>
                <w:sz w:val="24"/>
              </w:rPr>
              <w:t>加强消防设施和灭火器材的配备，严格落实有关消防技术规范的规定，加强人员疏散设施管理，保证疏散通道畅通。</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④加强员工教育培训，是全体人员充分认识本岗位火灾危害性，増强防范意识。各部门的负责人要充分认识做好消防安全工作的重要性和紧迫性，思想上予以高度重视，将消防工作放在重要位置，与其它各项工作同计划、同布置。绝不能只顾经营，忽视消防安全。要按照《中华人民共和国消防法》有关规定，认真履行法定消防安全职责，全面落实各项防火工作措施。</w:t>
            </w:r>
          </w:p>
          <w:p>
            <w:pPr>
              <w:spacing w:line="440" w:lineRule="exact"/>
              <w:ind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⑤</w:t>
            </w:r>
            <w:r>
              <w:rPr>
                <w:rFonts w:hint="default" w:ascii="Times New Roman" w:hAnsi="Times New Roman" w:eastAsia="宋体" w:cs="Times New Roman"/>
                <w:b w:val="0"/>
                <w:bCs w:val="0"/>
                <w:color w:val="auto"/>
                <w:sz w:val="24"/>
              </w:rPr>
              <w:t>定期进行防火安全检査，确保消防设施完整好用。严格按照国家有关规定在建造、装修时办理防火审批手续，按要求设置火灾报警、自动喷淋、室内消火栓、防排烟、灭火器材、应急照明和安全疏散通道出口等消防设施。日常管理中要明确专门人员定期进行防火安全检查，重要设备和重点部位应当每日进行巡查，检査情况要书面记录。要确保消防设施能正常运行，要保证安全疏散通道及出口在营业时间畅通。</w:t>
            </w:r>
          </w:p>
          <w:p>
            <w:pPr>
              <w:spacing w:line="440" w:lineRule="exact"/>
              <w:ind w:firstLine="480" w:firstLineChars="200"/>
              <w:rPr>
                <w:rFonts w:hint="default"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lang w:val="en-US" w:eastAsia="zh-CN"/>
              </w:rPr>
              <w:t>⑥</w:t>
            </w:r>
            <w:r>
              <w:rPr>
                <w:rFonts w:hint="default" w:ascii="Times New Roman" w:hAnsi="Times New Roman" w:eastAsia="宋体" w:cs="Times New Roman"/>
                <w:b w:val="0"/>
                <w:bCs w:val="0"/>
                <w:color w:val="auto"/>
                <w:sz w:val="24"/>
              </w:rPr>
              <w:t>加强管理，严格执行各项规章制度。认真制定和完善各项消防安全管理规章制度。对电工、消防控制中心值班人员等特殊工种人员要经过消防机构等专业部门进行培训，经考核合格，领取合格证方准上岗。结合自身实际，制定灭火疏散预案，定期组织员工进行演练。要从相关行业火灾事故中吸取教训，严格用火用电制度，有效地减少和消除诱发火灾的因素。</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⑸风险应急预案</w:t>
            </w:r>
          </w:p>
          <w:p>
            <w:pPr>
              <w:spacing w:line="440" w:lineRule="exact"/>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制定突发环境事件应急预案的目的是在发生风险事故时，能以最快的速度发挥最大的效能，有序的实施救援，尽快的控制事态发展，降低事故造成的危害，减少事故造成的损失。环评要求企业按照《建设项目环境风险评价技术导则》（HJ169-2018）中的规定并结合国家及地方应急预案法律法规制定企业突发环境事件应急预案，同时到相关管理部门进行备案。</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rPr>
              <w:t>同时，评价要求企业成立环境风险和突发环境事件应急处置领导小组，并按照相关要求开展环境风险评估和环境应急预案的编制更新工作，根据抢险工作实际需要配置相应的应急物资，加强应急演练和岗位培训工作。</w:t>
            </w:r>
          </w:p>
          <w:p>
            <w:pPr>
              <w:autoSpaceDE w:val="0"/>
              <w:autoSpaceDN w:val="0"/>
              <w:adjustRightInd w:val="0"/>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七、生态境影响分析</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⑴生态现状调查</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根据调查，本项目目所在区域土壤类型主要为褐土，土壤侵蚀类型为水力侵蚀，等级为轻度侵蚀；植被以农田植被为主，无国家和省级重点保护的珍稀植物；无国家重点保护的珍稀动物。</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⑵生态环境影响</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本项目属于新建项目，</w:t>
            </w:r>
            <w:r>
              <w:rPr>
                <w:rFonts w:hint="default" w:ascii="Times New Roman" w:hAnsi="Times New Roman" w:eastAsia="宋体" w:cs="Times New Roman"/>
                <w:b w:val="0"/>
                <w:bCs w:val="0"/>
                <w:color w:val="auto"/>
                <w:sz w:val="24"/>
                <w:szCs w:val="24"/>
                <w:lang w:val="en-US" w:eastAsia="zh-CN"/>
              </w:rPr>
              <w:t>占用工业用地</w:t>
            </w:r>
            <w:r>
              <w:rPr>
                <w:rFonts w:hint="default" w:ascii="Times New Roman" w:hAnsi="Times New Roman" w:eastAsia="宋体" w:cs="Times New Roman"/>
                <w:b w:val="0"/>
                <w:bCs w:val="0"/>
                <w:color w:val="auto"/>
                <w:sz w:val="24"/>
                <w:szCs w:val="24"/>
              </w:rPr>
              <w:t>进行生产建设。建设期会对局部生态环境的产生一定的不利影响。本项目在施工期制定了的严格的管理措施，并采取了严格控制施工范围，施工结束后在厂区进行一定的绿化及硬化等生态保护与恢复措施。因此，本项目建设对生态环境的影响将随着施工期的结束而消失。本项目运营后，主要以噪声和大气污染为主，对局部生态环境的影响较小。</w:t>
            </w:r>
          </w:p>
          <w:p>
            <w:pPr>
              <w:spacing w:line="44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综上所述，项目的建设及运营，基本不会改变区域的生态系统结构和生态系统功能，对区域生态环境影响较小。</w:t>
            </w: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480" w:firstLineChars="200"/>
              <w:rPr>
                <w:rFonts w:hint="default" w:ascii="Times New Roman" w:hAnsi="Times New Roman" w:eastAsia="宋体" w:cs="Times New Roman"/>
                <w:b w:val="0"/>
                <w:bCs w:val="0"/>
                <w:color w:val="auto"/>
                <w:sz w:val="24"/>
                <w:szCs w:val="24"/>
              </w:rPr>
            </w:pPr>
          </w:p>
          <w:p>
            <w:pPr>
              <w:spacing w:line="440" w:lineRule="exact"/>
              <w:ind w:firstLine="380" w:firstLineChars="200"/>
              <w:rPr>
                <w:rFonts w:hint="default" w:ascii="Times New Roman" w:hAnsi="Times New Roman" w:eastAsia="宋体" w:cs="Times New Roman"/>
                <w:b w:val="0"/>
                <w:bCs w:val="0"/>
                <w:color w:val="auto"/>
                <w:spacing w:val="-10"/>
                <w:szCs w:val="21"/>
              </w:rPr>
            </w:pPr>
          </w:p>
        </w:tc>
      </w:tr>
    </w:tbl>
    <w:p>
      <w:pPr>
        <w:adjustRightInd w:val="0"/>
        <w:snapToGrid w:val="0"/>
        <w:spacing w:line="360" w:lineRule="auto"/>
        <w:rPr>
          <w:rFonts w:ascii="Times New Roman" w:hAnsi="Times New Roman" w:eastAsia="宋体" w:cs="Times New Roman"/>
          <w:b/>
          <w:color w:val="auto"/>
          <w:kern w:val="0"/>
          <w:sz w:val="28"/>
          <w:szCs w:val="28"/>
        </w:rPr>
        <w:sectPr>
          <w:pgSz w:w="11907" w:h="16840"/>
          <w:pgMar w:top="1417"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bookmarkStart w:id="15" w:name="_Toc100886269"/>
      <w:r>
        <w:rPr>
          <w:rFonts w:ascii="Times New Roman" w:hAnsi="Times New Roman" w:eastAsia="黑体" w:cs="Times New Roman"/>
          <w:snapToGrid w:val="0"/>
          <w:color w:val="auto"/>
          <w:kern w:val="0"/>
          <w:sz w:val="30"/>
          <w:szCs w:val="30"/>
        </w:rPr>
        <w:t>五、</w:t>
      </w:r>
      <w:bookmarkStart w:id="16" w:name="_Hlk54167917"/>
      <w:r>
        <w:rPr>
          <w:rFonts w:ascii="Times New Roman" w:hAnsi="Times New Roman" w:eastAsia="黑体" w:cs="Times New Roman"/>
          <w:snapToGrid w:val="0"/>
          <w:color w:val="auto"/>
          <w:kern w:val="0"/>
          <w:sz w:val="30"/>
          <w:szCs w:val="30"/>
        </w:rPr>
        <w:t>环境保护措施监督检查清单</w:t>
      </w:r>
      <w:bookmarkEnd w:id="15"/>
      <w:bookmarkEnd w:id="16"/>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633"/>
        <w:gridCol w:w="1090"/>
        <w:gridCol w:w="2631"/>
        <w:gridCol w:w="23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tcBorders>
              <w:tl2br w:val="single" w:color="auto" w:sz="4" w:space="0"/>
            </w:tcBorders>
          </w:tcPr>
          <w:p>
            <w:pPr>
              <w:adjustRightInd w:val="0"/>
              <w:snapToGrid w:val="0"/>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内容</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要素</w:t>
            </w:r>
          </w:p>
        </w:tc>
        <w:tc>
          <w:tcPr>
            <w:tcW w:w="1633"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排放口(编号、</w:t>
            </w:r>
          </w:p>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名称)/污染源</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污染物项目</w:t>
            </w:r>
          </w:p>
        </w:tc>
        <w:tc>
          <w:tcPr>
            <w:tcW w:w="2631"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环境保护措施</w:t>
            </w:r>
          </w:p>
        </w:tc>
        <w:tc>
          <w:tcPr>
            <w:tcW w:w="2376"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restart"/>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w:t>
            </w:r>
          </w:p>
        </w:tc>
        <w:tc>
          <w:tcPr>
            <w:tcW w:w="1633" w:type="dxa"/>
            <w:vAlign w:val="center"/>
          </w:tcPr>
          <w:p>
            <w:pPr>
              <w:adjustRightInd w:val="0"/>
              <w:snapToGrid w:val="0"/>
              <w:jc w:val="center"/>
              <w:rPr>
                <w:rFonts w:hint="default" w:ascii="Times New Roman" w:hAnsi="Times New Roman" w:eastAsia="宋体" w:cs="Times New Roman"/>
                <w:color w:val="auto"/>
                <w:kern w:val="0"/>
                <w:sz w:val="21"/>
                <w:szCs w:val="21"/>
                <w:lang w:val="en-US"/>
              </w:rPr>
            </w:pPr>
            <w:r>
              <w:rPr>
                <w:rFonts w:hint="eastAsia" w:ascii="Times New Roman" w:hAnsi="Times New Roman" w:eastAsia="宋体" w:cs="Times New Roman"/>
                <w:b w:val="0"/>
                <w:bCs/>
                <w:color w:val="auto"/>
                <w:kern w:val="0"/>
                <w:sz w:val="21"/>
                <w:szCs w:val="21"/>
                <w:lang w:val="en-US" w:eastAsia="zh-CN" w:bidi="ar-SA"/>
              </w:rPr>
              <w:t>原料储存</w:t>
            </w:r>
          </w:p>
        </w:tc>
        <w:tc>
          <w:tcPr>
            <w:tcW w:w="1090" w:type="dxa"/>
            <w:vAlign w:val="center"/>
          </w:tcPr>
          <w:p>
            <w:pPr>
              <w:adjustRightInd w:val="0"/>
              <w:snapToGrid w:val="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无组织粉尘</w:t>
            </w:r>
          </w:p>
        </w:tc>
        <w:tc>
          <w:tcPr>
            <w:tcW w:w="2631" w:type="dxa"/>
            <w:vAlign w:val="center"/>
          </w:tcPr>
          <w:p>
            <w:pPr>
              <w:adjustRightInd w:val="0"/>
              <w:snapToGrid w:val="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color w:val="auto"/>
                <w:kern w:val="0"/>
                <w:sz w:val="21"/>
                <w:szCs w:val="21"/>
                <w:lang w:val="en-US" w:eastAsia="zh-CN" w:bidi="ar-SA"/>
              </w:rPr>
              <w:t>全封闭储库内，地面并进行了硬化</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导热油炉</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烟尘、</w:t>
            </w:r>
            <w:r>
              <w:rPr>
                <w:rFonts w:hint="default" w:ascii="Times New Roman" w:hAnsi="Times New Roman" w:eastAsia="宋体" w:cs="Times New Roman"/>
                <w:color w:val="auto"/>
                <w:kern w:val="0"/>
                <w:sz w:val="21"/>
                <w:szCs w:val="21"/>
              </w:rPr>
              <w:t>SO</w:t>
            </w:r>
            <w:r>
              <w:rPr>
                <w:rFonts w:hint="default" w:ascii="Times New Roman" w:hAnsi="Times New Roman" w:eastAsia="宋体" w:cs="Times New Roman"/>
                <w:color w:val="auto"/>
                <w:kern w:val="0"/>
                <w:sz w:val="21"/>
                <w:szCs w:val="21"/>
                <w:vertAlign w:val="subscript"/>
              </w:rPr>
              <w:t>2</w:t>
            </w:r>
            <w:r>
              <w:rPr>
                <w:rFonts w:hint="default" w:ascii="Times New Roman" w:hAnsi="Times New Roman" w:eastAsia="宋体" w:cs="Times New Roman"/>
                <w:color w:val="auto"/>
                <w:kern w:val="0"/>
                <w:sz w:val="21"/>
                <w:szCs w:val="21"/>
              </w:rPr>
              <w:t>、NO</w:t>
            </w:r>
            <w:r>
              <w:rPr>
                <w:rFonts w:hint="default" w:ascii="Times New Roman" w:hAnsi="Times New Roman" w:eastAsia="宋体" w:cs="Times New Roman"/>
                <w:color w:val="auto"/>
                <w:kern w:val="0"/>
                <w:sz w:val="21"/>
                <w:szCs w:val="21"/>
                <w:vertAlign w:val="subscript"/>
              </w:rPr>
              <w:t>x</w:t>
            </w:r>
          </w:p>
        </w:tc>
        <w:tc>
          <w:tcPr>
            <w:tcW w:w="2631" w:type="dxa"/>
            <w:vAlign w:val="center"/>
          </w:tcPr>
          <w:p>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kern w:val="0"/>
                <w:sz w:val="21"/>
                <w:szCs w:val="21"/>
              </w:rPr>
              <w:t>加装预混式低氮燃烧器，烟气经8m高的排气筒排放</w:t>
            </w:r>
            <w:r>
              <w:rPr>
                <w:rFonts w:hint="eastAsia" w:ascii="Times New Roman" w:hAnsi="Times New Roman" w:eastAsia="宋体" w:cs="Times New Roman"/>
                <w:b w:val="0"/>
                <w:bCs w:val="0"/>
                <w:color w:val="auto"/>
                <w:kern w:val="0"/>
                <w:sz w:val="21"/>
                <w:szCs w:val="21"/>
                <w:lang w:eastAsia="zh-CN"/>
              </w:rPr>
              <w:t>，</w:t>
            </w:r>
            <w:r>
              <w:rPr>
                <w:rFonts w:hint="eastAsia" w:ascii="Times New Roman" w:hAnsi="Times New Roman" w:eastAsia="宋体" w:cs="Times New Roman"/>
                <w:b w:val="0"/>
                <w:bCs w:val="0"/>
                <w:color w:val="auto"/>
                <w:kern w:val="0"/>
                <w:sz w:val="21"/>
                <w:szCs w:val="21"/>
                <w:lang w:val="en-US" w:eastAsia="zh-CN"/>
              </w:rPr>
              <w:t>废气量2171.68m</w:t>
            </w:r>
            <w:r>
              <w:rPr>
                <w:rFonts w:hint="eastAsia" w:ascii="Times New Roman" w:hAnsi="Times New Roman" w:eastAsia="宋体" w:cs="Times New Roman"/>
                <w:b w:val="0"/>
                <w:bCs w:val="0"/>
                <w:color w:val="auto"/>
                <w:kern w:val="0"/>
                <w:sz w:val="21"/>
                <w:szCs w:val="21"/>
                <w:vertAlign w:val="superscript"/>
                <w:lang w:val="en-US" w:eastAsia="zh-CN"/>
              </w:rPr>
              <w:t>3</w:t>
            </w:r>
            <w:r>
              <w:rPr>
                <w:rFonts w:hint="default" w:ascii="Times New Roman" w:hAnsi="Times New Roman" w:eastAsia="宋体" w:cs="Times New Roman"/>
                <w:color w:val="auto"/>
                <w:sz w:val="21"/>
                <w:szCs w:val="20"/>
              </w:rPr>
              <w:t>/h</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pacing w:val="4"/>
                <w:sz w:val="21"/>
                <w:szCs w:val="21"/>
                <w:highlight w:val="none"/>
              </w:rPr>
              <w:t>《锅炉大气污染物排放标准》（</w:t>
            </w:r>
            <w:r>
              <w:rPr>
                <w:rFonts w:hint="default" w:ascii="Times New Roman" w:hAnsi="Times New Roman" w:eastAsia="宋体" w:cs="Times New Roman"/>
                <w:b w:val="0"/>
                <w:bCs w:val="0"/>
                <w:color w:val="auto"/>
                <w:spacing w:val="4"/>
                <w:sz w:val="21"/>
                <w:szCs w:val="21"/>
                <w:highlight w:val="none"/>
                <w:lang w:val="en-US" w:eastAsia="zh-CN"/>
              </w:rPr>
              <w:t>DB14/1929-2019</w:t>
            </w:r>
            <w:r>
              <w:rPr>
                <w:rFonts w:hint="default" w:ascii="Times New Roman" w:hAnsi="Times New Roman" w:eastAsia="宋体" w:cs="Times New Roman"/>
                <w:b w:val="0"/>
                <w:bCs w:val="0"/>
                <w:color w:val="auto"/>
                <w:spacing w:val="4"/>
                <w:sz w:val="21"/>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adjustRightInd w:val="0"/>
              <w:snapToGrid w:val="0"/>
              <w:jc w:val="center"/>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沥青加热储存</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配料、</w:t>
            </w:r>
            <w:r>
              <w:rPr>
                <w:rFonts w:hint="default" w:ascii="Times New Roman" w:hAnsi="Times New Roman" w:eastAsia="宋体" w:cs="Times New Roman"/>
                <w:color w:val="auto"/>
                <w:kern w:val="0"/>
                <w:sz w:val="21"/>
                <w:szCs w:val="21"/>
              </w:rPr>
              <w:t>搅拌、浸油、涂油</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覆膜</w:t>
            </w:r>
            <w:r>
              <w:rPr>
                <w:rFonts w:hint="eastAsia" w:ascii="Times New Roman" w:hAnsi="Times New Roman" w:eastAsia="宋体" w:cs="Times New Roman"/>
                <w:color w:val="auto"/>
                <w:kern w:val="0"/>
                <w:sz w:val="21"/>
                <w:szCs w:val="21"/>
                <w:lang w:val="en-US" w:eastAsia="zh-CN"/>
              </w:rPr>
              <w:t>和冷却</w:t>
            </w:r>
          </w:p>
        </w:tc>
        <w:tc>
          <w:tcPr>
            <w:tcW w:w="1090" w:type="dxa"/>
            <w:vAlign w:val="center"/>
          </w:tcPr>
          <w:p>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沥青烟、苯并[a]芘</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非甲烷总烃</w:t>
            </w:r>
          </w:p>
        </w:tc>
        <w:tc>
          <w:tcPr>
            <w:tcW w:w="2631" w:type="dxa"/>
            <w:vAlign w:val="center"/>
          </w:tcPr>
          <w:p>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b w:val="0"/>
                <w:bCs w:val="0"/>
                <w:color w:val="auto"/>
                <w:kern w:val="0"/>
                <w:sz w:val="21"/>
                <w:szCs w:val="21"/>
              </w:rPr>
              <w:t>经收集后一同经</w:t>
            </w:r>
            <w:r>
              <w:rPr>
                <w:rFonts w:hint="default" w:ascii="Times New Roman" w:hAnsi="Times New Roman" w:eastAsia="宋体" w:cs="Times New Roman"/>
                <w:b w:val="0"/>
                <w:bCs w:val="0"/>
                <w:color w:val="auto"/>
                <w:kern w:val="0"/>
                <w:sz w:val="21"/>
                <w:szCs w:val="21"/>
                <w:lang w:eastAsia="zh-CN"/>
              </w:rPr>
              <w:t>“</w:t>
            </w:r>
            <w:r>
              <w:rPr>
                <w:rFonts w:hint="default" w:ascii="Times New Roman" w:hAnsi="Times New Roman" w:eastAsia="宋体" w:cs="Times New Roman"/>
                <w:b w:val="0"/>
                <w:bCs w:val="0"/>
                <w:color w:val="auto"/>
                <w:sz w:val="21"/>
                <w:szCs w:val="21"/>
                <w:highlight w:val="none"/>
                <w:lang w:val="en-US" w:eastAsia="zh-CN"/>
              </w:rPr>
              <w:t>水喷淋处理+气液分离+电捕捉+活性炭吸附</w:t>
            </w:r>
            <w:r>
              <w:rPr>
                <w:rFonts w:hint="default" w:ascii="Times New Roman" w:hAnsi="Times New Roman" w:eastAsia="宋体" w:cs="Times New Roman"/>
                <w:b w:val="0"/>
                <w:bCs w:val="0"/>
                <w:color w:val="auto"/>
                <w:kern w:val="0"/>
                <w:sz w:val="21"/>
                <w:szCs w:val="21"/>
                <w:lang w:eastAsia="zh-CN"/>
              </w:rPr>
              <w:t>”</w:t>
            </w:r>
            <w:r>
              <w:rPr>
                <w:rFonts w:hint="default" w:ascii="Times New Roman" w:hAnsi="Times New Roman" w:eastAsia="宋体" w:cs="Times New Roman"/>
                <w:b w:val="0"/>
                <w:bCs w:val="0"/>
                <w:color w:val="auto"/>
                <w:kern w:val="0"/>
                <w:sz w:val="21"/>
                <w:szCs w:val="21"/>
                <w:lang w:val="en-US" w:eastAsia="zh-CN"/>
              </w:rPr>
              <w:t>措施处理后经15</w:t>
            </w:r>
            <w:r>
              <w:rPr>
                <w:rFonts w:hint="default" w:ascii="Times New Roman" w:hAnsi="Times New Roman" w:eastAsia="宋体" w:cs="Times New Roman"/>
                <w:b w:val="0"/>
                <w:bCs w:val="0"/>
                <w:color w:val="auto"/>
                <w:kern w:val="0"/>
                <w:sz w:val="21"/>
                <w:szCs w:val="21"/>
              </w:rPr>
              <w:t>m高的排气筒排放</w:t>
            </w:r>
            <w:r>
              <w:rPr>
                <w:rFonts w:hint="default" w:ascii="Times New Roman" w:hAnsi="Times New Roman" w:eastAsia="宋体" w:cs="Times New Roman"/>
                <w:b w:val="0"/>
                <w:bCs w:val="0"/>
                <w:color w:val="auto"/>
                <w:kern w:val="0"/>
                <w:sz w:val="21"/>
                <w:szCs w:val="21"/>
                <w:lang w:eastAsia="zh-CN"/>
              </w:rPr>
              <w:t>，</w:t>
            </w:r>
            <w:r>
              <w:rPr>
                <w:rFonts w:hint="default" w:ascii="Times New Roman" w:hAnsi="Times New Roman" w:eastAsia="宋体" w:cs="Times New Roman"/>
                <w:color w:val="auto"/>
                <w:sz w:val="21"/>
                <w:szCs w:val="21"/>
                <w:lang w:val="en-US" w:eastAsia="zh-CN"/>
              </w:rPr>
              <w:t>处理</w:t>
            </w:r>
            <w:r>
              <w:rPr>
                <w:rFonts w:hint="default" w:ascii="Times New Roman" w:hAnsi="Times New Roman" w:eastAsia="宋体" w:cs="Times New Roman"/>
                <w:color w:val="auto"/>
                <w:sz w:val="21"/>
                <w:szCs w:val="21"/>
              </w:rPr>
              <w:t>效率η≈9</w:t>
            </w:r>
            <w:r>
              <w:rPr>
                <w:rFonts w:hint="default"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w:t>
            </w:r>
            <w:r>
              <w:rPr>
                <w:rFonts w:hint="eastAsia" w:ascii="Times New Roman" w:hAnsi="Times New Roman" w:eastAsia="宋体" w:cs="Times New Roman"/>
                <w:b w:val="0"/>
                <w:bCs w:val="0"/>
                <w:color w:val="auto"/>
                <w:kern w:val="0"/>
                <w:sz w:val="21"/>
                <w:szCs w:val="21"/>
                <w:lang w:eastAsia="zh-CN"/>
              </w:rPr>
              <w:t>，</w:t>
            </w:r>
            <w:r>
              <w:rPr>
                <w:rFonts w:hint="eastAsia" w:ascii="Times New Roman" w:hAnsi="Times New Roman" w:eastAsia="宋体" w:cs="Times New Roman"/>
                <w:b w:val="0"/>
                <w:bCs w:val="0"/>
                <w:color w:val="auto"/>
                <w:kern w:val="0"/>
                <w:sz w:val="21"/>
                <w:szCs w:val="21"/>
                <w:lang w:val="en-US" w:eastAsia="zh-CN"/>
              </w:rPr>
              <w:t>废气量28000m</w:t>
            </w:r>
            <w:r>
              <w:rPr>
                <w:rFonts w:hint="eastAsia" w:ascii="Times New Roman" w:hAnsi="Times New Roman" w:eastAsia="宋体" w:cs="Times New Roman"/>
                <w:b w:val="0"/>
                <w:bCs w:val="0"/>
                <w:color w:val="auto"/>
                <w:kern w:val="0"/>
                <w:sz w:val="21"/>
                <w:szCs w:val="21"/>
                <w:vertAlign w:val="superscript"/>
                <w:lang w:val="en-US" w:eastAsia="zh-CN"/>
              </w:rPr>
              <w:t>3</w:t>
            </w:r>
            <w:r>
              <w:rPr>
                <w:rFonts w:hint="default" w:ascii="Times New Roman" w:hAnsi="Times New Roman" w:eastAsia="宋体" w:cs="Times New Roman"/>
                <w:color w:val="auto"/>
                <w:sz w:val="21"/>
                <w:szCs w:val="20"/>
              </w:rPr>
              <w:t>/h</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pacing w:val="4"/>
                <w:sz w:val="21"/>
                <w:szCs w:val="21"/>
                <w:highlight w:val="none"/>
              </w:rPr>
              <w:t>《大气污染物综合排放标准》（GB16297-1996）《工业企业挥发性有机物排放控制标准》</w:t>
            </w:r>
            <w:r>
              <w:rPr>
                <w:rFonts w:hint="default" w:ascii="Times New Roman" w:hAnsi="Times New Roman" w:eastAsia="宋体" w:cs="Times New Roman"/>
                <w:b w:val="0"/>
                <w:bCs w:val="0"/>
                <w:color w:val="auto"/>
                <w:spacing w:val="4"/>
                <w:sz w:val="21"/>
                <w:szCs w:val="21"/>
                <w:highlight w:val="none"/>
                <w:lang w:eastAsia="zh-CN"/>
              </w:rPr>
              <w:t>（</w:t>
            </w:r>
            <w:r>
              <w:rPr>
                <w:rFonts w:hint="default" w:ascii="Times New Roman" w:hAnsi="Times New Roman" w:eastAsia="宋体" w:cs="Times New Roman"/>
                <w:b w:val="0"/>
                <w:bCs w:val="0"/>
                <w:color w:val="auto"/>
                <w:spacing w:val="4"/>
                <w:sz w:val="21"/>
                <w:szCs w:val="21"/>
                <w:highlight w:val="none"/>
              </w:rPr>
              <w:t>DB13/2322-2016</w:t>
            </w:r>
            <w:r>
              <w:rPr>
                <w:rFonts w:hint="default" w:ascii="Times New Roman" w:hAnsi="Times New Roman" w:eastAsia="宋体" w:cs="Times New Roman"/>
                <w:b w:val="0"/>
                <w:bCs w:val="0"/>
                <w:color w:val="auto"/>
                <w:spacing w:val="4"/>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rPr>
              <w:t>橡胶粉储罐</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有组织粉尘</w:t>
            </w:r>
          </w:p>
        </w:tc>
        <w:tc>
          <w:tcPr>
            <w:tcW w:w="2631"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仓顶设布袋除尘器，过滤风速0.6m/min，过滤面积42</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kern w:val="0"/>
                <w:sz w:val="21"/>
                <w:szCs w:val="21"/>
              </w:rPr>
              <w:t>，排气筒高度15m，</w:t>
            </w:r>
            <w:r>
              <w:rPr>
                <w:rFonts w:hint="default" w:ascii="Times New Roman" w:hAnsi="Times New Roman" w:eastAsia="宋体" w:cs="Times New Roman"/>
                <w:color w:val="auto"/>
                <w:sz w:val="21"/>
                <w:szCs w:val="21"/>
              </w:rPr>
              <w:t>除尘效率η≈99.9%</w:t>
            </w:r>
            <w:r>
              <w:rPr>
                <w:rFonts w:hint="eastAsia" w:ascii="Times New Roman" w:hAnsi="Times New Roman" w:eastAsia="宋体" w:cs="Times New Roman"/>
                <w:b w:val="0"/>
                <w:bCs w:val="0"/>
                <w:color w:val="auto"/>
                <w:kern w:val="0"/>
                <w:sz w:val="21"/>
                <w:szCs w:val="21"/>
                <w:lang w:eastAsia="zh-CN"/>
              </w:rPr>
              <w:t>，</w:t>
            </w:r>
            <w:r>
              <w:rPr>
                <w:rFonts w:hint="eastAsia" w:ascii="Times New Roman" w:hAnsi="Times New Roman" w:eastAsia="宋体" w:cs="Times New Roman"/>
                <w:b w:val="0"/>
                <w:bCs w:val="0"/>
                <w:color w:val="auto"/>
                <w:kern w:val="0"/>
                <w:sz w:val="21"/>
                <w:szCs w:val="21"/>
                <w:lang w:val="en-US" w:eastAsia="zh-CN"/>
              </w:rPr>
              <w:t>废气量1500m</w:t>
            </w:r>
            <w:r>
              <w:rPr>
                <w:rFonts w:hint="eastAsia" w:ascii="Times New Roman" w:hAnsi="Times New Roman" w:eastAsia="宋体" w:cs="Times New Roman"/>
                <w:b w:val="0"/>
                <w:bCs w:val="0"/>
                <w:color w:val="auto"/>
                <w:kern w:val="0"/>
                <w:sz w:val="21"/>
                <w:szCs w:val="21"/>
                <w:vertAlign w:val="superscript"/>
                <w:lang w:val="en-US" w:eastAsia="zh-CN"/>
              </w:rPr>
              <w:t>3</w:t>
            </w:r>
            <w:r>
              <w:rPr>
                <w:rFonts w:hint="default" w:ascii="Times New Roman" w:hAnsi="Times New Roman" w:eastAsia="宋体" w:cs="Times New Roman"/>
                <w:color w:val="auto"/>
                <w:sz w:val="21"/>
                <w:szCs w:val="20"/>
              </w:rPr>
              <w:t>/h</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pacing w:val="4"/>
                <w:sz w:val="21"/>
                <w:szCs w:val="21"/>
                <w:highlight w:val="none"/>
              </w:rPr>
              <w:t>《建材工业大气污染物排放标准》</w:t>
            </w:r>
            <w:r>
              <w:rPr>
                <w:rFonts w:hint="default" w:ascii="Times New Roman" w:hAnsi="Times New Roman" w:eastAsia="宋体" w:cs="Times New Roman"/>
                <w:b w:val="0"/>
                <w:bCs w:val="0"/>
                <w:color w:val="auto"/>
                <w:spacing w:val="4"/>
                <w:sz w:val="21"/>
                <w:szCs w:val="21"/>
                <w:highlight w:val="none"/>
                <w:lang w:eastAsia="zh-CN"/>
              </w:rPr>
              <w:t>（</w:t>
            </w:r>
            <w:r>
              <w:rPr>
                <w:rFonts w:hint="default" w:ascii="Times New Roman" w:hAnsi="Times New Roman" w:eastAsia="宋体" w:cs="Times New Roman"/>
                <w:b w:val="0"/>
                <w:bCs w:val="0"/>
                <w:color w:val="auto"/>
                <w:spacing w:val="4"/>
                <w:sz w:val="21"/>
                <w:szCs w:val="21"/>
                <w:highlight w:val="none"/>
              </w:rPr>
              <w:t>DB37/2373-2018</w:t>
            </w:r>
            <w:r>
              <w:rPr>
                <w:rFonts w:hint="default" w:ascii="Times New Roman" w:hAnsi="Times New Roman" w:eastAsia="宋体" w:cs="Times New Roman"/>
                <w:b w:val="0"/>
                <w:bCs w:val="0"/>
                <w:color w:val="auto"/>
                <w:spacing w:val="4"/>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滑石粉储罐</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有组织粉尘</w:t>
            </w:r>
          </w:p>
        </w:tc>
        <w:tc>
          <w:tcPr>
            <w:tcW w:w="2631" w:type="dxa"/>
            <w:vAlign w:val="center"/>
          </w:tcPr>
          <w:p>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仓顶设布袋除尘器，过滤风速0.6m/min，过滤面积42</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kern w:val="0"/>
                <w:sz w:val="21"/>
                <w:szCs w:val="21"/>
              </w:rPr>
              <w:t>，排气筒高度15m，</w:t>
            </w:r>
            <w:r>
              <w:rPr>
                <w:rFonts w:hint="default" w:ascii="Times New Roman" w:hAnsi="Times New Roman" w:eastAsia="宋体" w:cs="Times New Roman"/>
                <w:color w:val="auto"/>
                <w:sz w:val="21"/>
                <w:szCs w:val="21"/>
              </w:rPr>
              <w:t>除尘效率η≈99.9%</w:t>
            </w:r>
            <w:r>
              <w:rPr>
                <w:rFonts w:hint="eastAsia" w:ascii="Times New Roman" w:hAnsi="Times New Roman" w:eastAsia="宋体" w:cs="Times New Roman"/>
                <w:b w:val="0"/>
                <w:bCs w:val="0"/>
                <w:color w:val="auto"/>
                <w:kern w:val="0"/>
                <w:sz w:val="21"/>
                <w:szCs w:val="21"/>
                <w:lang w:eastAsia="zh-CN"/>
              </w:rPr>
              <w:t>，</w:t>
            </w:r>
            <w:r>
              <w:rPr>
                <w:rFonts w:hint="eastAsia" w:ascii="Times New Roman" w:hAnsi="Times New Roman" w:eastAsia="宋体" w:cs="Times New Roman"/>
                <w:b w:val="0"/>
                <w:bCs w:val="0"/>
                <w:color w:val="auto"/>
                <w:kern w:val="0"/>
                <w:sz w:val="21"/>
                <w:szCs w:val="21"/>
                <w:lang w:val="en-US" w:eastAsia="zh-CN"/>
              </w:rPr>
              <w:t>废气量1500m</w:t>
            </w:r>
            <w:r>
              <w:rPr>
                <w:rFonts w:hint="eastAsia" w:ascii="Times New Roman" w:hAnsi="Times New Roman" w:eastAsia="宋体" w:cs="Times New Roman"/>
                <w:b w:val="0"/>
                <w:bCs w:val="0"/>
                <w:color w:val="auto"/>
                <w:kern w:val="0"/>
                <w:sz w:val="21"/>
                <w:szCs w:val="21"/>
                <w:vertAlign w:val="superscript"/>
                <w:lang w:val="en-US" w:eastAsia="zh-CN"/>
              </w:rPr>
              <w:t>3</w:t>
            </w:r>
            <w:r>
              <w:rPr>
                <w:rFonts w:hint="default" w:ascii="Times New Roman" w:hAnsi="Times New Roman" w:eastAsia="宋体" w:cs="Times New Roman"/>
                <w:color w:val="auto"/>
                <w:sz w:val="21"/>
                <w:szCs w:val="20"/>
              </w:rPr>
              <w:t>/h</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pacing w:val="4"/>
                <w:sz w:val="21"/>
                <w:szCs w:val="21"/>
                <w:highlight w:val="none"/>
              </w:rPr>
              <w:t>《建材工业大气污染物排放标准》</w:t>
            </w:r>
            <w:r>
              <w:rPr>
                <w:rFonts w:hint="default" w:ascii="Times New Roman" w:hAnsi="Times New Roman" w:eastAsia="宋体" w:cs="Times New Roman"/>
                <w:b w:val="0"/>
                <w:bCs w:val="0"/>
                <w:color w:val="auto"/>
                <w:spacing w:val="4"/>
                <w:sz w:val="21"/>
                <w:szCs w:val="21"/>
                <w:highlight w:val="none"/>
                <w:lang w:eastAsia="zh-CN"/>
              </w:rPr>
              <w:t>（</w:t>
            </w:r>
            <w:r>
              <w:rPr>
                <w:rFonts w:hint="default" w:ascii="Times New Roman" w:hAnsi="Times New Roman" w:eastAsia="宋体" w:cs="Times New Roman"/>
                <w:b w:val="0"/>
                <w:bCs w:val="0"/>
                <w:color w:val="auto"/>
                <w:spacing w:val="4"/>
                <w:sz w:val="21"/>
                <w:szCs w:val="21"/>
                <w:highlight w:val="none"/>
              </w:rPr>
              <w:t>DB37/2373-2018</w:t>
            </w:r>
            <w:r>
              <w:rPr>
                <w:rFonts w:hint="default" w:ascii="Times New Roman" w:hAnsi="Times New Roman" w:eastAsia="宋体" w:cs="Times New Roman"/>
                <w:b w:val="0"/>
                <w:bCs w:val="0"/>
                <w:color w:val="auto"/>
                <w:spacing w:val="4"/>
                <w:sz w:val="21"/>
                <w:szCs w:val="21"/>
                <w:highlight w:val="none"/>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default" w:ascii="Times New Roman" w:hAnsi="Times New Roman" w:eastAsia="宋体" w:cs="Times New Roman"/>
                <w:b w:val="0"/>
                <w:bCs/>
                <w:color w:val="auto"/>
                <w:kern w:val="2"/>
                <w:sz w:val="21"/>
                <w:szCs w:val="21"/>
                <w:lang w:val="en-US" w:eastAsia="zh-CN" w:bidi="ar-SA"/>
              </w:rPr>
              <w:t>输送</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无组织粉尘</w:t>
            </w:r>
          </w:p>
        </w:tc>
        <w:tc>
          <w:tcPr>
            <w:tcW w:w="2631"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滑石粉和橡胶粉由各自储罐通过密闭管道由螺旋输送的方式运送至配料罐</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汽车运输</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无组织粉尘</w:t>
            </w:r>
          </w:p>
        </w:tc>
        <w:tc>
          <w:tcPr>
            <w:tcW w:w="2631"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定期对道路清理，保持清洁；车辆出入口处设置洗车平台；全部采用国五排放标准及以上标准的汽车，限制车速和装载量，骨料运输车辆加盖篷布，粉状物料采用罐车运输</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spacing w:val="4"/>
                <w:sz w:val="21"/>
                <w:szCs w:val="21"/>
                <w:highlight w:val="none"/>
                <w:lang w:val="en-US" w:eastAsia="zh-CN"/>
              </w:rPr>
            </w:pPr>
            <w:r>
              <w:rPr>
                <w:rFonts w:hint="eastAsia" w:ascii="Times New Roman" w:hAnsi="Times New Roman" w:eastAsia="宋体" w:cs="Times New Roman"/>
                <w:b w:val="0"/>
                <w:bCs w:val="0"/>
                <w:color w:val="auto"/>
                <w:spacing w:val="4"/>
                <w:sz w:val="21"/>
                <w:szCs w:val="21"/>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restart"/>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w:t>
            </w:r>
          </w:p>
        </w:tc>
        <w:tc>
          <w:tcPr>
            <w:tcW w:w="1633" w:type="dxa"/>
            <w:vAlign w:val="center"/>
          </w:tcPr>
          <w:p>
            <w:pPr>
              <w:tabs>
                <w:tab w:val="left" w:pos="3500"/>
              </w:tabs>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生活污水</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COD、BOD</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、SS、氨氮</w:t>
            </w:r>
          </w:p>
        </w:tc>
        <w:tc>
          <w:tcPr>
            <w:tcW w:w="2631" w:type="dxa"/>
            <w:vAlign w:val="center"/>
          </w:tcPr>
          <w:p>
            <w:pPr>
              <w:tabs>
                <w:tab w:val="left" w:pos="3500"/>
              </w:tabs>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color w:val="auto"/>
                <w:sz w:val="21"/>
                <w:szCs w:val="21"/>
                <w:lang w:val="en-US" w:eastAsia="zh-CN"/>
              </w:rPr>
              <w:t>食堂废水</w:t>
            </w:r>
            <w:r>
              <w:rPr>
                <w:rFonts w:hint="eastAsia" w:ascii="Times New Roman" w:hAnsi="Times New Roman" w:eastAsia="宋体" w:cs="Times New Roman"/>
                <w:b w:val="0"/>
                <w:bCs/>
                <w:color w:val="auto"/>
                <w:sz w:val="21"/>
                <w:szCs w:val="21"/>
                <w:lang w:val="en-US" w:eastAsia="zh-CN"/>
              </w:rPr>
              <w:t>经隔油池</w:t>
            </w:r>
            <w:r>
              <w:rPr>
                <w:rFonts w:hint="default" w:ascii="Times New Roman" w:hAnsi="Times New Roman" w:eastAsia="宋体" w:cs="Times New Roman"/>
                <w:b w:val="0"/>
                <w:bCs/>
                <w:color w:val="auto"/>
                <w:sz w:val="21"/>
                <w:szCs w:val="21"/>
                <w:lang w:val="en-US" w:eastAsia="zh-CN"/>
              </w:rPr>
              <w:t>处理后同其它生活污水一起进入</w:t>
            </w:r>
            <w:r>
              <w:rPr>
                <w:rFonts w:hint="eastAsia" w:ascii="Times New Roman" w:hAnsi="Times New Roman" w:eastAsia="宋体" w:cs="Times New Roman"/>
                <w:b w:val="0"/>
                <w:bCs/>
                <w:color w:val="auto"/>
                <w:sz w:val="21"/>
                <w:szCs w:val="21"/>
                <w:lang w:val="en-US" w:eastAsia="zh-CN"/>
              </w:rPr>
              <w:t>10</w:t>
            </w:r>
            <w:r>
              <w:rPr>
                <w:rFonts w:ascii="Times New Roman" w:hAnsi="Times New Roman" w:eastAsia="宋体" w:cs="Times New Roman"/>
                <w:color w:val="auto"/>
                <w:sz w:val="21"/>
                <w:szCs w:val="24"/>
              </w:rPr>
              <w:t>m</w:t>
            </w:r>
            <w:r>
              <w:rPr>
                <w:rFonts w:ascii="Times New Roman" w:hAnsi="Times New Roman" w:eastAsia="宋体" w:cs="Times New Roman"/>
                <w:color w:val="auto"/>
                <w:sz w:val="21"/>
                <w:szCs w:val="24"/>
                <w:vertAlign w:val="superscript"/>
              </w:rPr>
              <w:t>3</w:t>
            </w:r>
            <w:r>
              <w:rPr>
                <w:rFonts w:hint="default" w:ascii="Times New Roman" w:hAnsi="Times New Roman" w:eastAsia="宋体" w:cs="Times New Roman"/>
                <w:b w:val="0"/>
                <w:bCs/>
                <w:color w:val="auto"/>
                <w:sz w:val="21"/>
                <w:szCs w:val="21"/>
                <w:lang w:val="en-US" w:eastAsia="zh-CN"/>
              </w:rPr>
              <w:t>化粪池处理，经园区污水管网，排入大宁县金昕污水处理厂</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冷却</w:t>
            </w:r>
            <w:r>
              <w:rPr>
                <w:rFonts w:hint="eastAsia" w:ascii="Times New Roman" w:hAnsi="Times New Roman" w:eastAsia="宋体" w:cs="Times New Roman"/>
                <w:b w:val="0"/>
                <w:bCs w:val="0"/>
                <w:color w:val="auto"/>
                <w:szCs w:val="21"/>
                <w:lang w:val="en-US" w:eastAsia="zh-CN"/>
              </w:rPr>
              <w:t>废</w:t>
            </w:r>
            <w:r>
              <w:rPr>
                <w:rFonts w:hint="default" w:ascii="Times New Roman" w:hAnsi="Times New Roman" w:eastAsia="宋体" w:cs="Times New Roman"/>
                <w:b w:val="0"/>
                <w:bCs w:val="0"/>
                <w:color w:val="auto"/>
                <w:szCs w:val="21"/>
              </w:rPr>
              <w:t>水</w:t>
            </w:r>
          </w:p>
        </w:tc>
        <w:tc>
          <w:tcPr>
            <w:tcW w:w="1090" w:type="dxa"/>
            <w:vAlign w:val="center"/>
          </w:tcPr>
          <w:p>
            <w:pPr>
              <w:adjustRightInd w:val="0"/>
              <w:snapToGrid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3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rPr>
              <w:t>进入喷淋循环水处理系统处理后循环使用，不外排</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tabs>
                <w:tab w:val="left" w:pos="3500"/>
              </w:tabs>
              <w:spacing w:line="220" w:lineRule="exact"/>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Cs w:val="21"/>
                <w:lang w:val="en-US" w:eastAsia="zh-CN"/>
              </w:rPr>
              <w:t>喷淋</w:t>
            </w:r>
            <w:r>
              <w:rPr>
                <w:rFonts w:hint="eastAsia" w:ascii="Times New Roman" w:hAnsi="Times New Roman" w:eastAsia="宋体" w:cs="Times New Roman"/>
                <w:b w:val="0"/>
                <w:bCs w:val="0"/>
                <w:color w:val="auto"/>
                <w:szCs w:val="21"/>
                <w:lang w:val="en-US" w:eastAsia="zh-CN"/>
              </w:rPr>
              <w:t>废</w:t>
            </w:r>
            <w:r>
              <w:rPr>
                <w:rFonts w:hint="default" w:ascii="Times New Roman" w:hAnsi="Times New Roman" w:eastAsia="宋体" w:cs="Times New Roman"/>
                <w:b w:val="0"/>
                <w:bCs w:val="0"/>
                <w:color w:val="auto"/>
                <w:szCs w:val="21"/>
                <w:lang w:val="en-US" w:eastAsia="zh-CN"/>
              </w:rPr>
              <w:t>水</w:t>
            </w:r>
          </w:p>
        </w:tc>
        <w:tc>
          <w:tcPr>
            <w:tcW w:w="1090" w:type="dxa"/>
            <w:vAlign w:val="center"/>
          </w:tcPr>
          <w:p>
            <w:pPr>
              <w:adjustRightInd w:val="0"/>
              <w:snapToGrid w:val="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c>
          <w:tcPr>
            <w:tcW w:w="2631" w:type="dxa"/>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 w:val="0"/>
                <w:bCs/>
                <w:color w:val="auto"/>
                <w:kern w:val="0"/>
                <w:sz w:val="21"/>
                <w:szCs w:val="21"/>
                <w:lang w:val="en-US" w:eastAsia="zh-CN" w:bidi="ar-SA"/>
              </w:rPr>
            </w:pPr>
            <w:r>
              <w:rPr>
                <w:rFonts w:hint="default" w:ascii="Times New Roman" w:hAnsi="Times New Roman" w:eastAsia="宋体" w:cs="Times New Roman"/>
                <w:b w:val="0"/>
                <w:bCs/>
                <w:color w:val="auto"/>
                <w:kern w:val="0"/>
                <w:sz w:val="21"/>
                <w:szCs w:val="21"/>
              </w:rPr>
              <w:t>经喷淋循环水处理系统处理后循环使用（采用“隔油、气浮、粗滤”处理工艺，处理能力15m</w:t>
            </w:r>
            <w:r>
              <w:rPr>
                <w:rFonts w:hint="default" w:ascii="Times New Roman" w:hAnsi="Times New Roman" w:eastAsia="宋体" w:cs="Times New Roman"/>
                <w:b w:val="0"/>
                <w:bCs/>
                <w:color w:val="auto"/>
                <w:kern w:val="0"/>
                <w:sz w:val="21"/>
                <w:szCs w:val="21"/>
                <w:vertAlign w:val="superscript"/>
              </w:rPr>
              <w:t>3</w:t>
            </w:r>
            <w:r>
              <w:rPr>
                <w:rFonts w:hint="default" w:ascii="Times New Roman" w:hAnsi="Times New Roman" w:eastAsia="宋体" w:cs="Times New Roman"/>
                <w:b w:val="0"/>
                <w:bCs/>
                <w:color w:val="auto"/>
                <w:kern w:val="0"/>
                <w:sz w:val="21"/>
                <w:szCs w:val="21"/>
              </w:rPr>
              <w:t>/h），不外排</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Merge w:val="continue"/>
            <w:vAlign w:val="center"/>
          </w:tcPr>
          <w:p>
            <w:pPr>
              <w:adjustRightInd w:val="0"/>
              <w:snapToGrid w:val="0"/>
              <w:jc w:val="center"/>
              <w:rPr>
                <w:rFonts w:hint="default" w:ascii="Times New Roman" w:hAnsi="Times New Roman" w:eastAsia="宋体" w:cs="Times New Roman"/>
                <w:color w:val="auto"/>
                <w:sz w:val="21"/>
                <w:szCs w:val="21"/>
              </w:rPr>
            </w:pPr>
          </w:p>
        </w:tc>
        <w:tc>
          <w:tcPr>
            <w:tcW w:w="1633" w:type="dxa"/>
            <w:vAlign w:val="center"/>
          </w:tcPr>
          <w:p>
            <w:pPr>
              <w:tabs>
                <w:tab w:val="left" w:pos="3500"/>
              </w:tabs>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运输车辆轮胎车身冲洗废水</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SS</w:t>
            </w:r>
          </w:p>
        </w:tc>
        <w:tc>
          <w:tcPr>
            <w:tcW w:w="2631"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收集沉淀后循环使用，不外排</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1633" w:type="dxa"/>
            <w:vAlign w:val="center"/>
          </w:tcPr>
          <w:p>
            <w:pPr>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各类设备</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w:t>
            </w:r>
          </w:p>
        </w:tc>
        <w:tc>
          <w:tcPr>
            <w:tcW w:w="2631"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选用低噪声设备、基础减震、定期维护，运输车辆加强管理，减速慢行，禁止鸣笛</w:t>
            </w:r>
          </w:p>
        </w:tc>
        <w:tc>
          <w:tcPr>
            <w:tcW w:w="2376" w:type="dxa"/>
            <w:vAlign w:val="center"/>
          </w:tcPr>
          <w:p>
            <w:pPr>
              <w:keepNext w:val="0"/>
              <w:keepLines w:val="0"/>
              <w:pageBreakBefore w:val="0"/>
              <w:widowControl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《工业企业厂界环境噪声排放标准</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GB12348-2008</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中2类标准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电磁辐射</w:t>
            </w:r>
          </w:p>
        </w:tc>
        <w:tc>
          <w:tcPr>
            <w:tcW w:w="1633"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9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631"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376"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w:t>
            </w:r>
          </w:p>
        </w:tc>
        <w:tc>
          <w:tcPr>
            <w:tcW w:w="7730" w:type="dxa"/>
            <w:gridSpan w:val="4"/>
            <w:vAlign w:val="center"/>
          </w:tcPr>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职工生活垃圾集中收集后送当地村委指定地点统一处理；</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除尘灰收集后</w:t>
            </w:r>
            <w:r>
              <w:rPr>
                <w:rFonts w:hint="default" w:ascii="Times New Roman" w:hAnsi="Times New Roman" w:eastAsia="宋体" w:cs="Times New Roman"/>
                <w:color w:val="auto"/>
                <w:sz w:val="21"/>
                <w:szCs w:val="21"/>
                <w:lang w:val="en-US" w:eastAsia="zh-CN"/>
              </w:rPr>
              <w:t>外售</w:t>
            </w:r>
            <w:r>
              <w:rPr>
                <w:rFonts w:hint="default" w:ascii="Times New Roman" w:hAnsi="Times New Roman" w:eastAsia="宋体" w:cs="Times New Roman"/>
                <w:color w:val="auto"/>
                <w:sz w:val="21"/>
                <w:szCs w:val="21"/>
              </w:rPr>
              <w:t>；</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废润滑油、废导热油</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废油渣、废活性炭和</w:t>
            </w:r>
            <w:r>
              <w:rPr>
                <w:rFonts w:hint="default" w:ascii="Times New Roman" w:hAnsi="Times New Roman" w:eastAsia="宋体" w:cs="Times New Roman"/>
                <w:color w:val="auto"/>
                <w:sz w:val="21"/>
                <w:szCs w:val="21"/>
              </w:rPr>
              <w:t>废油桶属于危险废物定期收集后交由有资质单位统一处理。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土壤及地下水</w:t>
            </w:r>
          </w:p>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污染防治措施</w:t>
            </w:r>
          </w:p>
        </w:tc>
        <w:tc>
          <w:tcPr>
            <w:tcW w:w="7730" w:type="dxa"/>
            <w:gridSpan w:val="4"/>
            <w:vAlign w:val="center"/>
          </w:tcPr>
          <w:p>
            <w:pPr>
              <w:adjustRightInd w:val="0"/>
              <w:snapToGrid w:val="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rPr>
              <w:t>沥青储罐区、</w:t>
            </w:r>
            <w:r>
              <w:rPr>
                <w:rFonts w:hint="default" w:ascii="Times New Roman" w:hAnsi="Times New Roman" w:eastAsia="宋体" w:cs="Times New Roman"/>
                <w:color w:val="auto"/>
                <w:sz w:val="21"/>
                <w:szCs w:val="21"/>
                <w:lang w:val="en-US" w:eastAsia="zh-CN"/>
              </w:rPr>
              <w:t>橡胶油</w:t>
            </w:r>
            <w:r>
              <w:rPr>
                <w:rFonts w:hint="default" w:ascii="Times New Roman" w:hAnsi="Times New Roman" w:eastAsia="宋体" w:cs="Times New Roman"/>
                <w:color w:val="auto"/>
                <w:sz w:val="21"/>
                <w:szCs w:val="21"/>
              </w:rPr>
              <w:t>罐区、危废暂存间设为重点防渗区。底部及墙体和围堰采取垂直防渗+水平防渗措施，底部采用HDPE-GCL复合防渗系统，上部外加耐腐蚀混凝土等防渗，侧壁设防渗墙，底部和墙体均涂2mm厚的环氧树脂漆，防渗要求等效粘土防渗层 Mb≥6.0m，K≤1×10</w:t>
            </w:r>
            <w:r>
              <w:rPr>
                <w:rFonts w:hint="default" w:ascii="Times New Roman" w:hAnsi="Times New Roman" w:eastAsia="宋体" w:cs="Times New Roman"/>
                <w:color w:val="auto"/>
                <w:sz w:val="21"/>
                <w:szCs w:val="21"/>
                <w:vertAlign w:val="superscript"/>
              </w:rPr>
              <w:t>-10</w:t>
            </w:r>
            <w:r>
              <w:rPr>
                <w:rFonts w:hint="default" w:ascii="Times New Roman" w:hAnsi="Times New Roman" w:eastAsia="宋体" w:cs="Times New Roman"/>
                <w:color w:val="auto"/>
                <w:sz w:val="21"/>
                <w:szCs w:val="21"/>
              </w:rPr>
              <w:t>cm/s</w:t>
            </w:r>
            <w:r>
              <w:rPr>
                <w:rFonts w:hint="eastAsia" w:ascii="Times New Roman" w:hAnsi="Times New Roman" w:eastAsia="宋体" w:cs="Times New Roman"/>
                <w:color w:val="auto"/>
                <w:sz w:val="21"/>
                <w:szCs w:val="21"/>
                <w:lang w:eastAsia="zh-CN"/>
              </w:rPr>
              <w:t>；</w:t>
            </w:r>
          </w:p>
          <w:p>
            <w:pPr>
              <w:adjustRightInd w:val="0"/>
              <w:snapToGrid w:val="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各水池混凝土强度等级不宜小于C30，结构厚度不应小于250mm。混凝土的抗渗等级不应低于P8，且水池的内表面应涂刷水泥基渗透结晶型或喷涂聚脲等防水涂料，或在混凝土内掺加水泥基渗透结晶型防水剂。水泥基渗透结晶型防水涂料厚度不应小于1.0mm，喷涂聚脲防水涂料厚度不应小于1.5mm</w:t>
            </w:r>
            <w:r>
              <w:rPr>
                <w:rFonts w:hint="eastAsia" w:ascii="Times New Roman" w:hAnsi="Times New Roman" w:eastAsia="宋体" w:cs="Times New Roman"/>
                <w:color w:val="auto"/>
                <w:sz w:val="21"/>
                <w:szCs w:val="21"/>
                <w:lang w:eastAsia="zh-CN"/>
              </w:rPr>
              <w:t>；</w:t>
            </w:r>
          </w:p>
          <w:p>
            <w:pPr>
              <w:adjustRightInd w:val="0"/>
              <w:snapToGrid w:val="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生产车间地面防渗层可采用抗渗钢纤维混凝土、抗渗合成纤维混凝土、抗渗钢筋混凝土和抗渗素混凝土。混凝土的强度等级不应低于C25，抗渗等级不应低于P6。厚度不应小于l00mm</w:t>
            </w:r>
            <w:r>
              <w:rPr>
                <w:rFonts w:hint="eastAsia" w:ascii="Times New Roman" w:hAnsi="Times New Roman" w:eastAsia="宋体" w:cs="Times New Roman"/>
                <w:color w:val="auto"/>
                <w:sz w:val="21"/>
                <w:szCs w:val="21"/>
                <w:lang w:eastAsia="zh-CN"/>
              </w:rPr>
              <w:t>；</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除上述地方及绿化区外，厂区地面全部进行水泥硬化防渗。</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生态保护措施</w:t>
            </w:r>
          </w:p>
        </w:tc>
        <w:tc>
          <w:tcPr>
            <w:tcW w:w="7730" w:type="dxa"/>
            <w:gridSpan w:val="4"/>
            <w:vAlign w:val="center"/>
          </w:tcPr>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1.对厂区进行一定的绿化及硬化等生态保护与恢复措施。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环境风险</w:t>
            </w:r>
          </w:p>
          <w:p>
            <w:pPr>
              <w:adjustRightInd w:val="0"/>
              <w:snapToGrid w:val="0"/>
              <w:jc w:val="center"/>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防范措施</w:t>
            </w:r>
          </w:p>
        </w:tc>
        <w:tc>
          <w:tcPr>
            <w:tcW w:w="7730" w:type="dxa"/>
            <w:gridSpan w:val="4"/>
            <w:vAlign w:val="center"/>
          </w:tcPr>
          <w:p>
            <w:pPr>
              <w:adjustRightInd w:val="0"/>
              <w:snapToGrid w:val="0"/>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1.危废暂存间设置收容坑、四周设置导流槽、门口设置围堰等；其地面、墙面裙脚、堵截泄漏的围堰、接触危险废物的隔板和墙体等应采用坚固的材料建造，表面无裂缝</w:t>
            </w:r>
            <w:r>
              <w:rPr>
                <w:rFonts w:hint="eastAsia" w:ascii="Times New Roman" w:hAnsi="Times New Roman" w:eastAsia="宋体" w:cs="Times New Roman"/>
                <w:color w:val="auto"/>
                <w:sz w:val="21"/>
                <w:szCs w:val="21"/>
                <w:lang w:eastAsia="zh-CN"/>
              </w:rPr>
              <w:t>；</w:t>
            </w:r>
          </w:p>
          <w:p>
            <w:pPr>
              <w:adjustRightInd w:val="0"/>
              <w:snapToGrid w:val="0"/>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导热油炉装置区、沥青罐区和橡胶油储罐区四周设置围堰，围堰构成的有效容积应大于单个储罐最大容积，且围堰底部、内壁均采用防渗硬化，按照重点防渗区防渗技术要求进行</w:t>
            </w:r>
            <w:r>
              <w:rPr>
                <w:rFonts w:hint="eastAsia" w:ascii="Times New Roman" w:hAnsi="Times New Roman" w:eastAsia="宋体" w:cs="Times New Roman"/>
                <w:color w:val="auto"/>
                <w:sz w:val="21"/>
                <w:szCs w:val="21"/>
                <w:lang w:eastAsia="zh-CN"/>
              </w:rPr>
              <w:t>；</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加强消防设施和灭火器材的配备，严格落实有关消防技术规范的规定，加强人员疏散设施管理，保证疏散通道畅通；</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rPr>
              <w:t>.加强员工教育培训；</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.定期进行防火安全检査，确保消防设施完整好用；</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rPr>
              <w:t>.加强管理，严格执行各项规章制度。</w:t>
            </w:r>
          </w:p>
          <w:p>
            <w:pPr>
              <w:adjustRightInd w:val="0"/>
              <w:snapToGrid w:val="0"/>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rPr>
              <w:t>.制定环境风险事故应急预案。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0" w:type="dxa"/>
            <w:vAlign w:val="center"/>
          </w:tcPr>
          <w:p>
            <w:pPr>
              <w:adjustRightInd w:val="0"/>
              <w:snapToGrid w:val="0"/>
              <w:jc w:val="center"/>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其他环境</w:t>
            </w:r>
          </w:p>
          <w:p>
            <w:pPr>
              <w:adjustRightInd w:val="0"/>
              <w:snapToGrid w:val="0"/>
              <w:jc w:val="center"/>
              <w:rPr>
                <w:rFonts w:hint="default" w:ascii="Times New Roman" w:hAnsi="Times New Roman" w:eastAsia="宋体" w:cs="Times New Roman"/>
                <w:color w:val="auto"/>
                <w:spacing w:val="-8"/>
                <w:sz w:val="21"/>
                <w:szCs w:val="21"/>
              </w:rPr>
            </w:pPr>
            <w:r>
              <w:rPr>
                <w:rFonts w:hint="default" w:ascii="Times New Roman" w:hAnsi="Times New Roman" w:eastAsia="宋体" w:cs="Times New Roman"/>
                <w:color w:val="auto"/>
                <w:spacing w:val="-8"/>
                <w:sz w:val="21"/>
                <w:szCs w:val="21"/>
              </w:rPr>
              <w:t>管理要求</w:t>
            </w:r>
          </w:p>
        </w:tc>
        <w:tc>
          <w:tcPr>
            <w:tcW w:w="7730" w:type="dxa"/>
            <w:gridSpan w:val="4"/>
            <w:vAlign w:val="center"/>
          </w:tcPr>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1.应履行各项环保管理制度，并建立健全企业内部的日常环境管理制度，将环保工作纳入考核体系，确保在日常运行中将环保目标落实到实处。</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应遵照国家对排污口规范的要求，“三废”及噪声排放点设置明显标志，标志的设置应执行《环境保护图形标志排放口》（GB15562.1-1995）、《环境保护图形标志固体废物贮存（处置）场》（GB15562.2-1995）中有关规定</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3.建立环保台账，认真做好运行记录；规范排污口设置；</w:t>
            </w:r>
          </w:p>
          <w:p>
            <w:pPr>
              <w:adjustRightInd w:val="0"/>
              <w:snapToGrid w:val="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4.环保设施若发生故障应及时向生态环境部门上报，及时维修，使环保设施正常运行，确保把污染降到最低。</w:t>
            </w:r>
          </w:p>
        </w:tc>
      </w:tr>
    </w:tbl>
    <w:p>
      <w:pPr>
        <w:widowControl/>
        <w:spacing w:before="100" w:beforeAutospacing="1" w:after="100" w:afterAutospacing="1"/>
        <w:jc w:val="center"/>
        <w:outlineLvl w:val="0"/>
        <w:rPr>
          <w:rFonts w:ascii="Times New Roman" w:hAnsi="Times New Roman" w:eastAsia="黑体" w:cs="Times New Roman"/>
          <w:snapToGrid w:val="0"/>
          <w:color w:val="auto"/>
          <w:kern w:val="0"/>
          <w:sz w:val="30"/>
          <w:szCs w:val="30"/>
        </w:rPr>
      </w:pPr>
      <w:r>
        <w:rPr>
          <w:rFonts w:ascii="Times New Roman" w:hAnsi="Times New Roman" w:eastAsia="宋体" w:cs="Times New Roman"/>
          <w:snapToGrid w:val="0"/>
          <w:color w:val="auto"/>
          <w:kern w:val="0"/>
          <w:sz w:val="24"/>
          <w:szCs w:val="20"/>
        </w:rPr>
        <w:br w:type="page"/>
      </w:r>
      <w:bookmarkStart w:id="17" w:name="_Toc100886270"/>
      <w:r>
        <w:rPr>
          <w:rFonts w:ascii="Times New Roman" w:hAnsi="Times New Roman" w:eastAsia="黑体" w:cs="Times New Roman"/>
          <w:snapToGrid w:val="0"/>
          <w:color w:val="auto"/>
          <w:kern w:val="0"/>
          <w:sz w:val="30"/>
          <w:szCs w:val="30"/>
        </w:rPr>
        <w:t>六、结论</w:t>
      </w:r>
      <w:bookmarkEnd w:id="17"/>
    </w:p>
    <w:tbl>
      <w:tblPr>
        <w:tblStyle w:val="2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w:t>
            </w:r>
            <w:r>
              <w:rPr>
                <w:rFonts w:ascii="Times New Roman" w:hAnsi="Times New Roman" w:eastAsia="宋体" w:cs="Times New Roman"/>
                <w:color w:val="auto"/>
                <w:sz w:val="24"/>
                <w:szCs w:val="24"/>
              </w:rPr>
              <w:t>的建设</w:t>
            </w:r>
            <w:r>
              <w:rPr>
                <w:rFonts w:hint="eastAsia" w:ascii="Times New Roman" w:hAnsi="Times New Roman" w:eastAsia="宋体" w:cs="Times New Roman"/>
                <w:color w:val="auto"/>
                <w:sz w:val="24"/>
                <w:szCs w:val="24"/>
              </w:rPr>
              <w:t>符合国家产业政策及“三线一单”管控要求，项目选址合理，在认真贯彻执行国家环保法律、法规，严格落实环评规定的各项环保治理措施的前提下，项目排放的各类污染物对周围环境的影响可以接受。因此，从环境保护角度分析，本项目的建设可行。</w:t>
            </w:r>
          </w:p>
        </w:tc>
      </w:tr>
    </w:tbl>
    <w:p>
      <w:pPr>
        <w:rPr>
          <w:rFonts w:ascii="Times New Roman" w:hAnsi="Times New Roman" w:eastAsia="宋体" w:cs="Times New Roman"/>
          <w:color w:val="auto"/>
          <w:szCs w:val="24"/>
        </w:rPr>
        <w:sectPr>
          <w:footerReference r:id="rId9" w:type="default"/>
          <w:pgSz w:w="11906" w:h="16838"/>
          <w:pgMar w:top="1417"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widowControl/>
        <w:adjustRightInd w:val="0"/>
        <w:snapToGrid w:val="0"/>
        <w:spacing w:line="648" w:lineRule="auto"/>
        <w:jc w:val="left"/>
        <w:outlineLvl w:val="0"/>
        <w:rPr>
          <w:rFonts w:ascii="Times New Roman" w:hAnsi="Times New Roman" w:eastAsia="黑体" w:cs="Times New Roman"/>
          <w:snapToGrid w:val="0"/>
          <w:color w:val="auto"/>
          <w:kern w:val="0"/>
          <w:sz w:val="32"/>
          <w:szCs w:val="32"/>
        </w:rPr>
      </w:pPr>
      <w:bookmarkStart w:id="18" w:name="_Toc100886271"/>
      <w:r>
        <w:rPr>
          <w:rFonts w:ascii="Times New Roman" w:hAnsi="Times New Roman" w:eastAsia="黑体" w:cs="Times New Roman"/>
          <w:snapToGrid w:val="0"/>
          <w:color w:val="auto"/>
          <w:kern w:val="0"/>
          <w:sz w:val="32"/>
          <w:szCs w:val="32"/>
        </w:rPr>
        <w:t>附表</w:t>
      </w:r>
      <w:bookmarkEnd w:id="18"/>
    </w:p>
    <w:p>
      <w:pPr>
        <w:widowControl/>
        <w:adjustRightInd w:val="0"/>
        <w:snapToGrid w:val="0"/>
        <w:spacing w:line="552" w:lineRule="auto"/>
        <w:jc w:val="center"/>
        <w:outlineLvl w:val="0"/>
        <w:rPr>
          <w:rFonts w:ascii="Times New Roman" w:hAnsi="Times New Roman" w:eastAsia="方正小标宋_GBK" w:cs="Times New Roman"/>
          <w:snapToGrid w:val="0"/>
          <w:color w:val="auto"/>
          <w:kern w:val="0"/>
          <w:sz w:val="38"/>
          <w:szCs w:val="38"/>
        </w:rPr>
      </w:pPr>
      <w:bookmarkStart w:id="19" w:name="_Toc100886272"/>
      <w:r>
        <w:rPr>
          <w:rFonts w:ascii="Times New Roman" w:hAnsi="Times New Roman" w:eastAsia="方正小标宋_GBK" w:cs="Times New Roman"/>
          <w:snapToGrid w:val="0"/>
          <w:color w:val="auto"/>
          <w:kern w:val="0"/>
          <w:sz w:val="38"/>
          <w:szCs w:val="38"/>
        </w:rPr>
        <w:t>建设项目污染物排放量汇总表</w:t>
      </w:r>
      <w:bookmarkEnd w:id="19"/>
    </w:p>
    <w:tbl>
      <w:tblPr>
        <w:tblStyle w:val="26"/>
        <w:tblW w:w="1402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2732"/>
        <w:gridCol w:w="1559"/>
        <w:gridCol w:w="1134"/>
        <w:gridCol w:w="1559"/>
        <w:gridCol w:w="1559"/>
        <w:gridCol w:w="1374"/>
        <w:gridCol w:w="1959"/>
        <w:gridCol w:w="10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tcBorders>
              <w:tl2br w:val="single" w:color="auto" w:sz="4" w:space="0"/>
            </w:tcBorders>
            <w:tcMar>
              <w:left w:w="28" w:type="dxa"/>
              <w:right w:w="28" w:type="dxa"/>
            </w:tcMar>
            <w:vAlign w:val="center"/>
          </w:tcPr>
          <w:p>
            <w:pPr>
              <w:adjustRightInd w:val="0"/>
              <w:snapToGrid w:val="0"/>
              <w:jc w:val="right"/>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项目</w:t>
            </w:r>
          </w:p>
          <w:p>
            <w:pPr>
              <w:adjustRightInd w:val="0"/>
              <w:snapToGrid w:val="0"/>
              <w:jc w:val="left"/>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分类</w:t>
            </w:r>
          </w:p>
        </w:tc>
        <w:tc>
          <w:tcPr>
            <w:tcW w:w="2732"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污染物名称</w:t>
            </w:r>
          </w:p>
        </w:tc>
        <w:tc>
          <w:tcPr>
            <w:tcW w:w="1559"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现有工程</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排放量（固体废物产生量）</w:t>
            </w:r>
            <w:r>
              <w:rPr>
                <w:rFonts w:ascii="Times New Roman" w:hAnsi="Times New Roman" w:eastAsia="黑体" w:cs="Times New Roman"/>
                <w:snapToGrid w:val="0"/>
                <w:color w:val="auto"/>
                <w:spacing w:val="-6"/>
                <w:kern w:val="21"/>
                <w:sz w:val="21"/>
                <w:szCs w:val="21"/>
              </w:rPr>
              <w:fldChar w:fldCharType="begin"/>
            </w:r>
            <w:r>
              <w:rPr>
                <w:rFonts w:ascii="Times New Roman" w:hAnsi="Times New Roman" w:eastAsia="黑体" w:cs="Times New Roman"/>
                <w:snapToGrid w:val="0"/>
                <w:color w:val="auto"/>
                <w:spacing w:val="-6"/>
                <w:kern w:val="21"/>
                <w:sz w:val="21"/>
                <w:szCs w:val="21"/>
              </w:rPr>
              <w:instrText xml:space="preserve"> = 1 \* GB3 \* MERGEFORMAT </w:instrText>
            </w:r>
            <w:r>
              <w:rPr>
                <w:rFonts w:ascii="Times New Roman" w:hAnsi="Times New Roman" w:eastAsia="黑体" w:cs="Times New Roman"/>
                <w:snapToGrid w:val="0"/>
                <w:color w:val="auto"/>
                <w:spacing w:val="-6"/>
                <w:kern w:val="21"/>
                <w:sz w:val="21"/>
                <w:szCs w:val="21"/>
              </w:rPr>
              <w:fldChar w:fldCharType="separate"/>
            </w:r>
            <w:r>
              <w:rPr>
                <w:rFonts w:hint="eastAsia" w:ascii="宋体" w:hAnsi="宋体" w:eastAsia="宋体" w:cs="宋体"/>
                <w:color w:val="auto"/>
                <w:sz w:val="21"/>
                <w:szCs w:val="21"/>
              </w:rPr>
              <w:t>①</w:t>
            </w:r>
            <w:r>
              <w:rPr>
                <w:rFonts w:ascii="Times New Roman" w:hAnsi="Times New Roman" w:eastAsia="黑体" w:cs="Times New Roman"/>
                <w:snapToGrid w:val="0"/>
                <w:color w:val="auto"/>
                <w:spacing w:val="-6"/>
                <w:kern w:val="21"/>
                <w:sz w:val="21"/>
                <w:szCs w:val="21"/>
              </w:rPr>
              <w:fldChar w:fldCharType="end"/>
            </w:r>
          </w:p>
        </w:tc>
        <w:tc>
          <w:tcPr>
            <w:tcW w:w="1134"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现有工程</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许可排放量</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fldChar w:fldCharType="begin"/>
            </w:r>
            <w:r>
              <w:rPr>
                <w:rFonts w:ascii="Times New Roman" w:hAnsi="Times New Roman" w:eastAsia="黑体" w:cs="Times New Roman"/>
                <w:snapToGrid w:val="0"/>
                <w:color w:val="auto"/>
                <w:spacing w:val="-6"/>
                <w:kern w:val="21"/>
                <w:sz w:val="21"/>
                <w:szCs w:val="21"/>
              </w:rPr>
              <w:instrText xml:space="preserve"> = 2 \* GB3 \* MERGEFORMAT </w:instrText>
            </w:r>
            <w:r>
              <w:rPr>
                <w:rFonts w:ascii="Times New Roman" w:hAnsi="Times New Roman" w:eastAsia="黑体" w:cs="Times New Roman"/>
                <w:snapToGrid w:val="0"/>
                <w:color w:val="auto"/>
                <w:spacing w:val="-6"/>
                <w:kern w:val="21"/>
                <w:sz w:val="21"/>
                <w:szCs w:val="21"/>
              </w:rPr>
              <w:fldChar w:fldCharType="separate"/>
            </w:r>
            <w:r>
              <w:rPr>
                <w:rFonts w:hint="eastAsia" w:ascii="宋体" w:hAnsi="宋体" w:eastAsia="宋体" w:cs="宋体"/>
                <w:snapToGrid w:val="0"/>
                <w:color w:val="auto"/>
                <w:spacing w:val="-6"/>
                <w:kern w:val="21"/>
                <w:sz w:val="21"/>
                <w:szCs w:val="21"/>
              </w:rPr>
              <w:t>②</w:t>
            </w:r>
            <w:r>
              <w:rPr>
                <w:rFonts w:ascii="Times New Roman" w:hAnsi="Times New Roman" w:eastAsia="黑体" w:cs="Times New Roman"/>
                <w:snapToGrid w:val="0"/>
                <w:color w:val="auto"/>
                <w:spacing w:val="-6"/>
                <w:kern w:val="21"/>
                <w:sz w:val="21"/>
                <w:szCs w:val="21"/>
              </w:rPr>
              <w:fldChar w:fldCharType="end"/>
            </w:r>
          </w:p>
        </w:tc>
        <w:tc>
          <w:tcPr>
            <w:tcW w:w="1559"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在建工程</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排放量（固体废物产生量）</w:t>
            </w:r>
            <w:r>
              <w:rPr>
                <w:rFonts w:ascii="Times New Roman" w:hAnsi="Times New Roman" w:eastAsia="黑体" w:cs="Times New Roman"/>
                <w:snapToGrid w:val="0"/>
                <w:color w:val="auto"/>
                <w:spacing w:val="-6"/>
                <w:kern w:val="21"/>
                <w:sz w:val="21"/>
                <w:szCs w:val="21"/>
              </w:rPr>
              <w:fldChar w:fldCharType="begin"/>
            </w:r>
            <w:r>
              <w:rPr>
                <w:rFonts w:ascii="Times New Roman" w:hAnsi="Times New Roman" w:eastAsia="黑体" w:cs="Times New Roman"/>
                <w:snapToGrid w:val="0"/>
                <w:color w:val="auto"/>
                <w:spacing w:val="-6"/>
                <w:kern w:val="21"/>
                <w:sz w:val="21"/>
                <w:szCs w:val="21"/>
              </w:rPr>
              <w:instrText xml:space="preserve"> = 3 \* GB3 \* MERGEFORMAT </w:instrText>
            </w:r>
            <w:r>
              <w:rPr>
                <w:rFonts w:ascii="Times New Roman" w:hAnsi="Times New Roman" w:eastAsia="黑体" w:cs="Times New Roman"/>
                <w:snapToGrid w:val="0"/>
                <w:color w:val="auto"/>
                <w:spacing w:val="-6"/>
                <w:kern w:val="21"/>
                <w:sz w:val="21"/>
                <w:szCs w:val="21"/>
              </w:rPr>
              <w:fldChar w:fldCharType="separate"/>
            </w:r>
            <w:r>
              <w:rPr>
                <w:rFonts w:hint="eastAsia" w:ascii="宋体" w:hAnsi="宋体" w:eastAsia="宋体" w:cs="宋体"/>
                <w:color w:val="auto"/>
                <w:sz w:val="21"/>
                <w:szCs w:val="21"/>
              </w:rPr>
              <w:t>③</w:t>
            </w:r>
            <w:r>
              <w:rPr>
                <w:rFonts w:ascii="Times New Roman" w:hAnsi="Times New Roman" w:eastAsia="黑体" w:cs="Times New Roman"/>
                <w:snapToGrid w:val="0"/>
                <w:color w:val="auto"/>
                <w:spacing w:val="-6"/>
                <w:kern w:val="21"/>
                <w:sz w:val="21"/>
                <w:szCs w:val="21"/>
              </w:rPr>
              <w:fldChar w:fldCharType="end"/>
            </w:r>
          </w:p>
        </w:tc>
        <w:tc>
          <w:tcPr>
            <w:tcW w:w="1559"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本项目</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排放量（固体废物产生量）</w:t>
            </w:r>
            <w:r>
              <w:rPr>
                <w:rFonts w:ascii="Times New Roman" w:hAnsi="Times New Roman" w:eastAsia="黑体" w:cs="Times New Roman"/>
                <w:snapToGrid w:val="0"/>
                <w:color w:val="auto"/>
                <w:spacing w:val="-6"/>
                <w:kern w:val="21"/>
                <w:sz w:val="21"/>
                <w:szCs w:val="21"/>
              </w:rPr>
              <w:fldChar w:fldCharType="begin"/>
            </w:r>
            <w:r>
              <w:rPr>
                <w:rFonts w:ascii="Times New Roman" w:hAnsi="Times New Roman" w:eastAsia="黑体" w:cs="Times New Roman"/>
                <w:snapToGrid w:val="0"/>
                <w:color w:val="auto"/>
                <w:spacing w:val="-6"/>
                <w:kern w:val="21"/>
                <w:sz w:val="21"/>
                <w:szCs w:val="21"/>
              </w:rPr>
              <w:instrText xml:space="preserve"> = 4 \* GB3 \* MERGEFORMAT </w:instrText>
            </w:r>
            <w:r>
              <w:rPr>
                <w:rFonts w:ascii="Times New Roman" w:hAnsi="Times New Roman" w:eastAsia="黑体" w:cs="Times New Roman"/>
                <w:snapToGrid w:val="0"/>
                <w:color w:val="auto"/>
                <w:spacing w:val="-6"/>
                <w:kern w:val="21"/>
                <w:sz w:val="21"/>
                <w:szCs w:val="21"/>
              </w:rPr>
              <w:fldChar w:fldCharType="separate"/>
            </w:r>
            <w:r>
              <w:rPr>
                <w:rFonts w:hint="eastAsia" w:ascii="宋体" w:hAnsi="宋体" w:eastAsia="宋体" w:cs="宋体"/>
                <w:color w:val="auto"/>
                <w:sz w:val="21"/>
                <w:szCs w:val="21"/>
              </w:rPr>
              <w:t>④</w:t>
            </w:r>
            <w:r>
              <w:rPr>
                <w:rFonts w:ascii="Times New Roman" w:hAnsi="Times New Roman" w:eastAsia="黑体" w:cs="Times New Roman"/>
                <w:snapToGrid w:val="0"/>
                <w:color w:val="auto"/>
                <w:spacing w:val="-6"/>
                <w:kern w:val="21"/>
                <w:sz w:val="21"/>
                <w:szCs w:val="21"/>
              </w:rPr>
              <w:fldChar w:fldCharType="end"/>
            </w:r>
          </w:p>
        </w:tc>
        <w:tc>
          <w:tcPr>
            <w:tcW w:w="1374"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16"/>
                <w:kern w:val="21"/>
                <w:sz w:val="21"/>
                <w:szCs w:val="21"/>
              </w:rPr>
            </w:pPr>
            <w:r>
              <w:rPr>
                <w:rFonts w:ascii="Times New Roman" w:hAnsi="Times New Roman" w:eastAsia="黑体" w:cs="Times New Roman"/>
                <w:snapToGrid w:val="0"/>
                <w:color w:val="auto"/>
                <w:spacing w:val="-16"/>
                <w:kern w:val="21"/>
                <w:sz w:val="21"/>
                <w:szCs w:val="21"/>
              </w:rPr>
              <w:t>以新带老削减量</w:t>
            </w:r>
          </w:p>
          <w:p>
            <w:pPr>
              <w:adjustRightInd w:val="0"/>
              <w:snapToGrid w:val="0"/>
              <w:jc w:val="center"/>
              <w:rPr>
                <w:rFonts w:ascii="Times New Roman" w:hAnsi="Times New Roman" w:eastAsia="黑体" w:cs="Times New Roman"/>
                <w:snapToGrid w:val="0"/>
                <w:color w:val="auto"/>
                <w:spacing w:val="-16"/>
                <w:kern w:val="21"/>
                <w:sz w:val="21"/>
                <w:szCs w:val="21"/>
              </w:rPr>
            </w:pPr>
            <w:r>
              <w:rPr>
                <w:rFonts w:ascii="Times New Roman" w:hAnsi="Times New Roman" w:eastAsia="黑体" w:cs="Times New Roman"/>
                <w:snapToGrid w:val="0"/>
                <w:color w:val="auto"/>
                <w:spacing w:val="-16"/>
                <w:kern w:val="21"/>
                <w:sz w:val="21"/>
                <w:szCs w:val="21"/>
              </w:rPr>
              <w:t>（新建项目不填）</w:t>
            </w:r>
            <w:r>
              <w:rPr>
                <w:rFonts w:ascii="Times New Roman" w:hAnsi="Times New Roman" w:eastAsia="黑体" w:cs="Times New Roman"/>
                <w:snapToGrid w:val="0"/>
                <w:color w:val="auto"/>
                <w:spacing w:val="-16"/>
                <w:kern w:val="21"/>
                <w:sz w:val="21"/>
                <w:szCs w:val="21"/>
              </w:rPr>
              <w:fldChar w:fldCharType="begin"/>
            </w:r>
            <w:r>
              <w:rPr>
                <w:rFonts w:ascii="Times New Roman" w:hAnsi="Times New Roman" w:eastAsia="黑体" w:cs="Times New Roman"/>
                <w:snapToGrid w:val="0"/>
                <w:color w:val="auto"/>
                <w:spacing w:val="-16"/>
                <w:kern w:val="21"/>
                <w:sz w:val="21"/>
                <w:szCs w:val="21"/>
              </w:rPr>
              <w:instrText xml:space="preserve"> = 5 \* GB3 \* MERGEFORMAT </w:instrText>
            </w:r>
            <w:r>
              <w:rPr>
                <w:rFonts w:ascii="Times New Roman" w:hAnsi="Times New Roman" w:eastAsia="黑体" w:cs="Times New Roman"/>
                <w:snapToGrid w:val="0"/>
                <w:color w:val="auto"/>
                <w:spacing w:val="-16"/>
                <w:kern w:val="21"/>
                <w:sz w:val="21"/>
                <w:szCs w:val="21"/>
              </w:rPr>
              <w:fldChar w:fldCharType="separate"/>
            </w:r>
            <w:r>
              <w:rPr>
                <w:rFonts w:hint="eastAsia" w:ascii="宋体" w:hAnsi="宋体" w:eastAsia="宋体" w:cs="宋体"/>
                <w:color w:val="auto"/>
                <w:sz w:val="21"/>
                <w:szCs w:val="21"/>
              </w:rPr>
              <w:t>⑤</w:t>
            </w:r>
            <w:r>
              <w:rPr>
                <w:rFonts w:ascii="Times New Roman" w:hAnsi="Times New Roman" w:eastAsia="黑体" w:cs="Times New Roman"/>
                <w:snapToGrid w:val="0"/>
                <w:color w:val="auto"/>
                <w:spacing w:val="-16"/>
                <w:kern w:val="21"/>
                <w:sz w:val="21"/>
                <w:szCs w:val="21"/>
              </w:rPr>
              <w:fldChar w:fldCharType="end"/>
            </w:r>
          </w:p>
        </w:tc>
        <w:tc>
          <w:tcPr>
            <w:tcW w:w="1959"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16"/>
                <w:kern w:val="21"/>
                <w:sz w:val="21"/>
                <w:szCs w:val="21"/>
              </w:rPr>
            </w:pPr>
            <w:r>
              <w:rPr>
                <w:rFonts w:ascii="Times New Roman" w:hAnsi="Times New Roman" w:eastAsia="黑体" w:cs="Times New Roman"/>
                <w:snapToGrid w:val="0"/>
                <w:color w:val="auto"/>
                <w:spacing w:val="-16"/>
                <w:kern w:val="21"/>
                <w:sz w:val="21"/>
                <w:szCs w:val="21"/>
              </w:rPr>
              <w:t>本项目建成后</w:t>
            </w:r>
          </w:p>
          <w:p>
            <w:pPr>
              <w:adjustRightInd w:val="0"/>
              <w:snapToGrid w:val="0"/>
              <w:jc w:val="center"/>
              <w:rPr>
                <w:rFonts w:ascii="Times New Roman" w:hAnsi="Times New Roman" w:eastAsia="黑体" w:cs="Times New Roman"/>
                <w:snapToGrid w:val="0"/>
                <w:color w:val="auto"/>
                <w:spacing w:val="-16"/>
                <w:kern w:val="21"/>
                <w:sz w:val="21"/>
                <w:szCs w:val="21"/>
              </w:rPr>
            </w:pPr>
            <w:r>
              <w:rPr>
                <w:rFonts w:ascii="Times New Roman" w:hAnsi="Times New Roman" w:eastAsia="黑体" w:cs="Times New Roman"/>
                <w:snapToGrid w:val="0"/>
                <w:color w:val="auto"/>
                <w:spacing w:val="-16"/>
                <w:kern w:val="21"/>
                <w:sz w:val="21"/>
                <w:szCs w:val="21"/>
              </w:rPr>
              <w:t>全厂排放量（固体废物产生量）</w:t>
            </w:r>
            <w:r>
              <w:rPr>
                <w:rFonts w:ascii="Times New Roman" w:hAnsi="Times New Roman" w:eastAsia="黑体" w:cs="Times New Roman"/>
                <w:snapToGrid w:val="0"/>
                <w:color w:val="auto"/>
                <w:spacing w:val="-16"/>
                <w:kern w:val="21"/>
                <w:sz w:val="21"/>
                <w:szCs w:val="21"/>
              </w:rPr>
              <w:fldChar w:fldCharType="begin"/>
            </w:r>
            <w:r>
              <w:rPr>
                <w:rFonts w:ascii="Times New Roman" w:hAnsi="Times New Roman" w:eastAsia="黑体" w:cs="Times New Roman"/>
                <w:snapToGrid w:val="0"/>
                <w:color w:val="auto"/>
                <w:spacing w:val="-16"/>
                <w:kern w:val="21"/>
                <w:sz w:val="21"/>
                <w:szCs w:val="21"/>
              </w:rPr>
              <w:instrText xml:space="preserve"> = 6 \* GB3 \* MERGEFORMAT </w:instrText>
            </w:r>
            <w:r>
              <w:rPr>
                <w:rFonts w:ascii="Times New Roman" w:hAnsi="Times New Roman" w:eastAsia="黑体" w:cs="Times New Roman"/>
                <w:snapToGrid w:val="0"/>
                <w:color w:val="auto"/>
                <w:spacing w:val="-16"/>
                <w:kern w:val="21"/>
                <w:sz w:val="21"/>
                <w:szCs w:val="21"/>
              </w:rPr>
              <w:fldChar w:fldCharType="separate"/>
            </w:r>
            <w:r>
              <w:rPr>
                <w:rFonts w:hint="eastAsia" w:ascii="宋体" w:hAnsi="宋体" w:eastAsia="宋体" w:cs="宋体"/>
                <w:color w:val="auto"/>
                <w:sz w:val="21"/>
                <w:szCs w:val="21"/>
              </w:rPr>
              <w:t>⑥</w:t>
            </w:r>
            <w:r>
              <w:rPr>
                <w:rFonts w:ascii="Times New Roman" w:hAnsi="Times New Roman" w:eastAsia="黑体" w:cs="Times New Roman"/>
                <w:snapToGrid w:val="0"/>
                <w:color w:val="auto"/>
                <w:spacing w:val="-16"/>
                <w:kern w:val="21"/>
                <w:sz w:val="21"/>
                <w:szCs w:val="21"/>
              </w:rPr>
              <w:fldChar w:fldCharType="end"/>
            </w:r>
          </w:p>
        </w:tc>
        <w:tc>
          <w:tcPr>
            <w:tcW w:w="1062" w:type="dxa"/>
            <w:tcMar>
              <w:left w:w="28" w:type="dxa"/>
              <w:right w:w="28" w:type="dxa"/>
            </w:tcMar>
            <w:vAlign w:val="center"/>
          </w:tcPr>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t>变化量</w:t>
            </w:r>
          </w:p>
          <w:p>
            <w:pPr>
              <w:adjustRightInd w:val="0"/>
              <w:snapToGrid w:val="0"/>
              <w:jc w:val="center"/>
              <w:rPr>
                <w:rFonts w:ascii="Times New Roman" w:hAnsi="Times New Roman" w:eastAsia="黑体" w:cs="Times New Roman"/>
                <w:snapToGrid w:val="0"/>
                <w:color w:val="auto"/>
                <w:spacing w:val="-6"/>
                <w:kern w:val="21"/>
                <w:sz w:val="21"/>
                <w:szCs w:val="21"/>
              </w:rPr>
            </w:pPr>
            <w:r>
              <w:rPr>
                <w:rFonts w:ascii="Times New Roman" w:hAnsi="Times New Roman" w:eastAsia="黑体" w:cs="Times New Roman"/>
                <w:snapToGrid w:val="0"/>
                <w:color w:val="auto"/>
                <w:spacing w:val="-6"/>
                <w:kern w:val="21"/>
                <w:sz w:val="21"/>
                <w:szCs w:val="21"/>
              </w:rPr>
              <w:fldChar w:fldCharType="begin"/>
            </w:r>
            <w:r>
              <w:rPr>
                <w:rFonts w:ascii="Times New Roman" w:hAnsi="Times New Roman" w:eastAsia="黑体" w:cs="Times New Roman"/>
                <w:snapToGrid w:val="0"/>
                <w:color w:val="auto"/>
                <w:spacing w:val="-6"/>
                <w:kern w:val="21"/>
                <w:sz w:val="21"/>
                <w:szCs w:val="21"/>
              </w:rPr>
              <w:instrText xml:space="preserve"> = 7 \* GB3 \* MERGEFORMAT </w:instrText>
            </w:r>
            <w:r>
              <w:rPr>
                <w:rFonts w:ascii="Times New Roman" w:hAnsi="Times New Roman" w:eastAsia="黑体" w:cs="Times New Roman"/>
                <w:snapToGrid w:val="0"/>
                <w:color w:val="auto"/>
                <w:spacing w:val="-6"/>
                <w:kern w:val="21"/>
                <w:sz w:val="21"/>
                <w:szCs w:val="21"/>
              </w:rPr>
              <w:fldChar w:fldCharType="separate"/>
            </w:r>
            <w:r>
              <w:rPr>
                <w:rFonts w:hint="eastAsia" w:ascii="宋体" w:hAnsi="宋体" w:eastAsia="宋体" w:cs="宋体"/>
                <w:color w:val="auto"/>
                <w:sz w:val="21"/>
                <w:szCs w:val="21"/>
              </w:rPr>
              <w:t>⑦</w:t>
            </w:r>
            <w:r>
              <w:rPr>
                <w:rFonts w:ascii="Times New Roman" w:hAnsi="Times New Roman" w:eastAsia="黑体" w:cs="Times New Roman"/>
                <w:snapToGrid w:val="0"/>
                <w:color w:val="auto"/>
                <w:spacing w:val="-6"/>
                <w:kern w:val="21"/>
                <w:sz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restart"/>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废气</w:t>
            </w: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颗粒物</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0.039</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rPr>
            </w:pPr>
            <w:r>
              <w:rPr>
                <w:rFonts w:hint="eastAsia" w:ascii="Times New Roman" w:hAnsi="Times New Roman" w:eastAsia="宋体" w:cs="Times New Roman"/>
                <w:snapToGrid w:val="0"/>
                <w:color w:val="auto"/>
                <w:kern w:val="21"/>
                <w:sz w:val="21"/>
                <w:szCs w:val="21"/>
                <w:lang w:val="en-US" w:eastAsia="zh-CN"/>
              </w:rPr>
              <w:t>0.039</w:t>
            </w:r>
          </w:p>
        </w:tc>
        <w:tc>
          <w:tcPr>
            <w:tcW w:w="1062"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rPr>
            </w:pPr>
            <w:r>
              <w:rPr>
                <w:rFonts w:hint="eastAsia" w:ascii="Times New Roman" w:hAnsi="Times New Roman" w:eastAsia="宋体" w:cs="Times New Roman"/>
                <w:snapToGrid w:val="0"/>
                <w:color w:val="auto"/>
                <w:kern w:val="21"/>
                <w:sz w:val="21"/>
                <w:szCs w:val="21"/>
                <w:lang w:val="en-US" w:eastAsia="zh-CN"/>
              </w:rPr>
              <w:t>+0.039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vertAlign w:val="baseline"/>
              </w:rPr>
            </w:pPr>
            <w:r>
              <w:rPr>
                <w:rFonts w:hint="default" w:ascii="Times New Roman" w:hAnsi="Times New Roman" w:eastAsia="宋体" w:cs="Times New Roman"/>
                <w:b w:val="0"/>
                <w:bCs w:val="0"/>
                <w:color w:val="auto"/>
                <w:sz w:val="21"/>
                <w:szCs w:val="21"/>
              </w:rPr>
              <w:t>SO</w:t>
            </w:r>
            <w:r>
              <w:rPr>
                <w:rFonts w:hint="default" w:ascii="Times New Roman" w:hAnsi="Times New Roman" w:eastAsia="宋体" w:cs="Times New Roman"/>
                <w:b w:val="0"/>
                <w:bCs w:val="0"/>
                <w:color w:val="auto"/>
                <w:sz w:val="21"/>
                <w:szCs w:val="21"/>
                <w:vertAlign w:val="subscript"/>
              </w:rPr>
              <w:t>2</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0.182</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0.182</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+0.182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vertAlign w:val="baseline"/>
              </w:rPr>
            </w:pPr>
            <w:r>
              <w:rPr>
                <w:rFonts w:hint="default" w:ascii="Times New Roman" w:hAnsi="Times New Roman" w:eastAsia="宋体" w:cs="Times New Roman"/>
                <w:b w:val="0"/>
                <w:bCs w:val="0"/>
                <w:color w:val="auto"/>
                <w:sz w:val="21"/>
                <w:szCs w:val="21"/>
              </w:rPr>
              <w:t>NO</w:t>
            </w:r>
            <w:r>
              <w:rPr>
                <w:rFonts w:hint="default" w:ascii="Times New Roman" w:hAnsi="Times New Roman" w:eastAsia="宋体" w:cs="Times New Roman"/>
                <w:b w:val="0"/>
                <w:bCs w:val="0"/>
                <w:color w:val="auto"/>
                <w:sz w:val="21"/>
                <w:szCs w:val="21"/>
                <w:vertAlign w:val="subscript"/>
              </w:rPr>
              <w:t>x</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0.261</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0.261</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+0.261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非甲烷总烃</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0.157</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0.157</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+0.157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restart"/>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废水</w:t>
            </w:r>
          </w:p>
        </w:tc>
        <w:tc>
          <w:tcPr>
            <w:tcW w:w="2732" w:type="dxa"/>
            <w:vAlign w:val="center"/>
          </w:tcPr>
          <w:p>
            <w:pPr>
              <w:tabs>
                <w:tab w:val="left" w:pos="3500"/>
              </w:tabs>
              <w:spacing w:line="220" w:lineRule="exact"/>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rPr>
              <w:t>生活污水</w:t>
            </w:r>
            <w:r>
              <w:rPr>
                <w:rFonts w:ascii="Times New Roman" w:hAnsi="Times New Roman" w:eastAsia="宋体" w:cs="Times New Roman"/>
                <w:snapToGrid w:val="0"/>
                <w:color w:val="auto"/>
                <w:kern w:val="21"/>
                <w:sz w:val="21"/>
                <w:szCs w:val="21"/>
              </w:rPr>
              <w:t>（</w:t>
            </w:r>
            <w:r>
              <w:rPr>
                <w:rFonts w:hint="eastAsia" w:ascii="Times New Roman" w:hAnsi="Times New Roman" w:eastAsia="宋体" w:cs="Times New Roman"/>
                <w:snapToGrid w:val="0"/>
                <w:color w:val="auto"/>
                <w:kern w:val="21"/>
                <w:sz w:val="21"/>
                <w:szCs w:val="21"/>
              </w:rPr>
              <w:t>m</w:t>
            </w:r>
            <w:r>
              <w:rPr>
                <w:rFonts w:hint="eastAsia" w:ascii="Times New Roman" w:hAnsi="Times New Roman" w:eastAsia="宋体" w:cs="Times New Roman"/>
                <w:snapToGrid w:val="0"/>
                <w:color w:val="auto"/>
                <w:kern w:val="21"/>
                <w:sz w:val="21"/>
                <w:szCs w:val="21"/>
                <w:vertAlign w:val="superscript"/>
              </w:rPr>
              <w:t>3</w:t>
            </w:r>
            <w:r>
              <w:rPr>
                <w:rFonts w:ascii="Times New Roman" w:hAnsi="Times New Roman" w:eastAsia="宋体" w:cs="Times New Roman"/>
                <w:snapToGrid w:val="0"/>
                <w:color w:val="auto"/>
                <w:kern w:val="21"/>
                <w:sz w:val="21"/>
                <w:szCs w:val="21"/>
              </w:rPr>
              <w: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tabs>
                <w:tab w:val="left" w:pos="3500"/>
              </w:tabs>
              <w:spacing w:line="220" w:lineRule="exact"/>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color w:val="auto"/>
                <w:sz w:val="21"/>
                <w:szCs w:val="21"/>
                <w:lang w:val="en-US" w:eastAsia="zh-CN"/>
              </w:rPr>
              <w:t>冷却</w:t>
            </w:r>
            <w:r>
              <w:rPr>
                <w:rFonts w:hint="eastAsia" w:ascii="Times New Roman" w:hAnsi="Times New Roman" w:eastAsia="宋体" w:cs="Times New Roman"/>
                <w:color w:val="auto"/>
                <w:sz w:val="21"/>
                <w:szCs w:val="21"/>
              </w:rPr>
              <w:t>废</w:t>
            </w:r>
            <w:r>
              <w:rPr>
                <w:rFonts w:hint="eastAsia" w:ascii="Times New Roman" w:hAnsi="Times New Roman" w:eastAsia="宋体" w:cs="Times New Roman"/>
                <w:color w:val="auto"/>
                <w:sz w:val="21"/>
                <w:szCs w:val="21"/>
                <w:lang w:val="en-US" w:eastAsia="zh-CN"/>
              </w:rPr>
              <w:t>水</w:t>
            </w:r>
            <w:r>
              <w:rPr>
                <w:rFonts w:ascii="Times New Roman" w:hAnsi="Times New Roman" w:eastAsia="宋体" w:cs="Times New Roman"/>
                <w:snapToGrid w:val="0"/>
                <w:color w:val="auto"/>
                <w:kern w:val="21"/>
                <w:sz w:val="21"/>
                <w:szCs w:val="21"/>
              </w:rPr>
              <w:t>（</w:t>
            </w:r>
            <w:r>
              <w:rPr>
                <w:rFonts w:hint="eastAsia" w:ascii="Times New Roman" w:hAnsi="Times New Roman" w:eastAsia="宋体" w:cs="Times New Roman"/>
                <w:snapToGrid w:val="0"/>
                <w:color w:val="auto"/>
                <w:kern w:val="21"/>
                <w:sz w:val="21"/>
                <w:szCs w:val="21"/>
              </w:rPr>
              <w:t>m</w:t>
            </w:r>
            <w:r>
              <w:rPr>
                <w:rFonts w:hint="eastAsia" w:ascii="Times New Roman" w:hAnsi="Times New Roman" w:eastAsia="宋体" w:cs="Times New Roman"/>
                <w:snapToGrid w:val="0"/>
                <w:color w:val="auto"/>
                <w:kern w:val="21"/>
                <w:sz w:val="21"/>
                <w:szCs w:val="21"/>
                <w:vertAlign w:val="superscript"/>
              </w:rPr>
              <w:t>3</w:t>
            </w:r>
            <w:r>
              <w:rPr>
                <w:rFonts w:ascii="Times New Roman" w:hAnsi="Times New Roman" w:eastAsia="宋体" w:cs="Times New Roman"/>
                <w:snapToGrid w:val="0"/>
                <w:color w:val="auto"/>
                <w:kern w:val="21"/>
                <w:sz w:val="21"/>
                <w:szCs w:val="21"/>
              </w:rPr>
              <w: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tabs>
                <w:tab w:val="left" w:pos="3500"/>
              </w:tabs>
              <w:spacing w:line="220" w:lineRule="exact"/>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color w:val="auto"/>
                <w:sz w:val="21"/>
                <w:szCs w:val="21"/>
                <w:lang w:val="en-US" w:eastAsia="zh-CN"/>
              </w:rPr>
              <w:t>喷淋</w:t>
            </w:r>
            <w:r>
              <w:rPr>
                <w:rFonts w:hint="eastAsia" w:ascii="Times New Roman" w:hAnsi="Times New Roman" w:eastAsia="宋体" w:cs="Times New Roman"/>
                <w:color w:val="auto"/>
                <w:sz w:val="21"/>
                <w:szCs w:val="21"/>
              </w:rPr>
              <w:t>废水</w:t>
            </w:r>
            <w:r>
              <w:rPr>
                <w:rFonts w:ascii="Times New Roman" w:hAnsi="Times New Roman" w:eastAsia="宋体" w:cs="Times New Roman"/>
                <w:snapToGrid w:val="0"/>
                <w:color w:val="auto"/>
                <w:kern w:val="21"/>
                <w:sz w:val="21"/>
                <w:szCs w:val="21"/>
              </w:rPr>
              <w:t>（</w:t>
            </w:r>
            <w:r>
              <w:rPr>
                <w:rFonts w:hint="eastAsia" w:ascii="Times New Roman" w:hAnsi="Times New Roman" w:eastAsia="宋体" w:cs="Times New Roman"/>
                <w:snapToGrid w:val="0"/>
                <w:color w:val="auto"/>
                <w:kern w:val="21"/>
                <w:sz w:val="21"/>
                <w:szCs w:val="21"/>
              </w:rPr>
              <w:t>m</w:t>
            </w:r>
            <w:r>
              <w:rPr>
                <w:rFonts w:hint="eastAsia" w:ascii="Times New Roman" w:hAnsi="Times New Roman" w:eastAsia="宋体" w:cs="Times New Roman"/>
                <w:snapToGrid w:val="0"/>
                <w:color w:val="auto"/>
                <w:kern w:val="21"/>
                <w:sz w:val="21"/>
                <w:szCs w:val="21"/>
                <w:vertAlign w:val="superscript"/>
              </w:rPr>
              <w:t>3</w:t>
            </w:r>
            <w:r>
              <w:rPr>
                <w:rFonts w:ascii="Times New Roman" w:hAnsi="Times New Roman" w:eastAsia="宋体" w:cs="Times New Roman"/>
                <w:snapToGrid w:val="0"/>
                <w:color w:val="auto"/>
                <w:kern w:val="21"/>
                <w:sz w:val="21"/>
                <w:szCs w:val="21"/>
              </w:rPr>
              <w: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rPr>
              <w:t>0</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rPr>
              <w:t>0</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tabs>
                <w:tab w:val="left" w:pos="3500"/>
              </w:tabs>
              <w:spacing w:line="220" w:lineRule="exact"/>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color w:val="auto"/>
                <w:sz w:val="21"/>
                <w:szCs w:val="21"/>
              </w:rPr>
              <w:t>运输车辆轮胎车身冲洗废水</w:t>
            </w:r>
            <w:r>
              <w:rPr>
                <w:rFonts w:ascii="Times New Roman" w:hAnsi="Times New Roman" w:eastAsia="宋体" w:cs="Times New Roman"/>
                <w:snapToGrid w:val="0"/>
                <w:color w:val="auto"/>
                <w:kern w:val="21"/>
                <w:sz w:val="21"/>
                <w:szCs w:val="21"/>
              </w:rPr>
              <w:t>（</w:t>
            </w:r>
            <w:r>
              <w:rPr>
                <w:rFonts w:hint="eastAsia" w:ascii="Times New Roman" w:hAnsi="Times New Roman" w:eastAsia="宋体" w:cs="Times New Roman"/>
                <w:snapToGrid w:val="0"/>
                <w:color w:val="auto"/>
                <w:kern w:val="21"/>
                <w:sz w:val="21"/>
                <w:szCs w:val="21"/>
              </w:rPr>
              <w:t>m</w:t>
            </w:r>
            <w:r>
              <w:rPr>
                <w:rFonts w:hint="eastAsia" w:ascii="Times New Roman" w:hAnsi="Times New Roman" w:eastAsia="宋体" w:cs="Times New Roman"/>
                <w:snapToGrid w:val="0"/>
                <w:color w:val="auto"/>
                <w:kern w:val="21"/>
                <w:sz w:val="21"/>
                <w:szCs w:val="21"/>
                <w:vertAlign w:val="superscript"/>
              </w:rPr>
              <w:t>3</w:t>
            </w:r>
            <w:r>
              <w:rPr>
                <w:rFonts w:ascii="Times New Roman" w:hAnsi="Times New Roman" w:eastAsia="宋体" w:cs="Times New Roman"/>
                <w:snapToGrid w:val="0"/>
                <w:color w:val="auto"/>
                <w:kern w:val="21"/>
                <w:sz w:val="21"/>
                <w:szCs w:val="21"/>
              </w:rPr>
              <w: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086"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一般工业固体废物</w:t>
            </w: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rPr>
              <w:t>除尘灰</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13.487</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13.487</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+13.487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restart"/>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危险废物</w:t>
            </w: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废</w:t>
            </w:r>
            <w:r>
              <w:rPr>
                <w:rFonts w:hint="eastAsia" w:ascii="Times New Roman" w:hAnsi="Times New Roman" w:eastAsia="宋体" w:cs="Times New Roman"/>
                <w:snapToGrid w:val="0"/>
                <w:color w:val="auto"/>
                <w:kern w:val="21"/>
                <w:sz w:val="21"/>
                <w:szCs w:val="21"/>
                <w:lang w:val="en-US" w:eastAsia="zh-CN"/>
              </w:rPr>
              <w:t>矿物</w:t>
            </w:r>
            <w:r>
              <w:rPr>
                <w:rFonts w:ascii="Times New Roman" w:hAnsi="Times New Roman" w:eastAsia="宋体" w:cs="Times New Roman"/>
                <w:snapToGrid w:val="0"/>
                <w:color w:val="auto"/>
                <w:kern w:val="21"/>
                <w:sz w:val="21"/>
                <w:szCs w:val="21"/>
              </w:rPr>
              <w:t>油（t/a）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0.05</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0.05</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w:t>
            </w:r>
            <w:r>
              <w:rPr>
                <w:rFonts w:ascii="Times New Roman" w:hAnsi="Times New Roman" w:eastAsia="宋体" w:cs="Times New Roman"/>
                <w:snapToGrid w:val="0"/>
                <w:color w:val="auto"/>
                <w:kern w:val="21"/>
                <w:sz w:val="21"/>
                <w:szCs w:val="21"/>
              </w:rPr>
              <w:t>0.05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废导热油</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3</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3</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废油桶（t/a）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0.01</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0.01</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w:t>
            </w:r>
            <w:r>
              <w:rPr>
                <w:rFonts w:ascii="Times New Roman" w:hAnsi="Times New Roman" w:eastAsia="宋体" w:cs="Times New Roman"/>
                <w:snapToGrid w:val="0"/>
                <w:color w:val="auto"/>
                <w:kern w:val="21"/>
                <w:sz w:val="21"/>
                <w:szCs w:val="21"/>
              </w:rPr>
              <w:t>0.01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ascii="Times New Roman" w:hAnsi="Times New Roman" w:eastAsia="宋体" w:cs="Times New Roman"/>
                <w:snapToGrid w:val="0"/>
                <w:color w:val="auto"/>
                <w:kern w:val="21"/>
                <w:sz w:val="21"/>
                <w:szCs w:val="21"/>
              </w:rPr>
              <w:t>废</w:t>
            </w:r>
            <w:r>
              <w:rPr>
                <w:rFonts w:hint="eastAsia" w:ascii="Times New Roman" w:hAnsi="Times New Roman" w:eastAsia="宋体" w:cs="Times New Roman"/>
                <w:snapToGrid w:val="0"/>
                <w:color w:val="auto"/>
                <w:kern w:val="21"/>
                <w:sz w:val="21"/>
                <w:szCs w:val="21"/>
                <w:lang w:val="en-US" w:eastAsia="zh-CN"/>
              </w:rPr>
              <w:t>油炸</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0.02</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0.02</w:t>
            </w:r>
          </w:p>
        </w:tc>
        <w:tc>
          <w:tcPr>
            <w:tcW w:w="1062" w:type="dxa"/>
            <w:vAlign w:val="center"/>
          </w:tcPr>
          <w:p>
            <w:pPr>
              <w:adjustRightInd w:val="0"/>
              <w:snapToGrid w:val="0"/>
              <w:jc w:val="center"/>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86" w:type="dxa"/>
            <w:vMerge w:val="continue"/>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273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废活性炭</w:t>
            </w:r>
            <w:r>
              <w:rPr>
                <w:rFonts w:ascii="Times New Roman" w:hAnsi="Times New Roman" w:eastAsia="宋体" w:cs="Times New Roman"/>
                <w:snapToGrid w:val="0"/>
                <w:color w:val="auto"/>
                <w:kern w:val="21"/>
                <w:sz w:val="21"/>
                <w:szCs w:val="21"/>
              </w:rPr>
              <w:t>（t/a）</w:t>
            </w: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13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559" w:type="dxa"/>
            <w:vAlign w:val="center"/>
          </w:tcPr>
          <w:p>
            <w:pPr>
              <w:adjustRightInd w:val="0"/>
              <w:snapToGrid w:val="0"/>
              <w:jc w:val="center"/>
              <w:rPr>
                <w:rFonts w:hint="eastAsia" w:ascii="Times New Roman" w:hAnsi="Times New Roman" w:eastAsia="宋体" w:cs="Times New Roman"/>
                <w:snapToGrid w:val="0"/>
                <w:color w:val="auto"/>
                <w:kern w:val="21"/>
                <w:sz w:val="21"/>
                <w:szCs w:val="21"/>
                <w:lang w:eastAsia="zh-CN"/>
              </w:rPr>
            </w:pPr>
            <w:r>
              <w:rPr>
                <w:rFonts w:hint="eastAsia" w:ascii="Times New Roman" w:hAnsi="Times New Roman" w:eastAsia="宋体" w:cs="Times New Roman"/>
                <w:snapToGrid w:val="0"/>
                <w:color w:val="auto"/>
                <w:kern w:val="21"/>
                <w:sz w:val="21"/>
                <w:szCs w:val="21"/>
                <w:lang w:val="en-US" w:eastAsia="zh-CN"/>
              </w:rPr>
              <w:t>5</w:t>
            </w:r>
          </w:p>
        </w:tc>
        <w:tc>
          <w:tcPr>
            <w:tcW w:w="1374" w:type="dxa"/>
            <w:vAlign w:val="center"/>
          </w:tcPr>
          <w:p>
            <w:pPr>
              <w:adjustRightInd w:val="0"/>
              <w:snapToGrid w:val="0"/>
              <w:jc w:val="center"/>
              <w:rPr>
                <w:rFonts w:ascii="Times New Roman" w:hAnsi="Times New Roman" w:eastAsia="宋体" w:cs="Times New Roman"/>
                <w:snapToGrid w:val="0"/>
                <w:color w:val="auto"/>
                <w:kern w:val="21"/>
                <w:sz w:val="21"/>
                <w:szCs w:val="21"/>
              </w:rPr>
            </w:pPr>
          </w:p>
        </w:tc>
        <w:tc>
          <w:tcPr>
            <w:tcW w:w="1959"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5</w:t>
            </w:r>
          </w:p>
        </w:tc>
        <w:tc>
          <w:tcPr>
            <w:tcW w:w="1062" w:type="dxa"/>
            <w:vAlign w:val="center"/>
          </w:tcPr>
          <w:p>
            <w:pPr>
              <w:adjustRightInd w:val="0"/>
              <w:snapToGrid w:val="0"/>
              <w:jc w:val="center"/>
              <w:rPr>
                <w:rFonts w:ascii="Times New Roman" w:hAnsi="Times New Roman" w:eastAsia="宋体" w:cs="Times New Roman"/>
                <w:snapToGrid w:val="0"/>
                <w:color w:val="auto"/>
                <w:kern w:val="21"/>
                <w:sz w:val="21"/>
                <w:szCs w:val="21"/>
              </w:rPr>
            </w:pPr>
            <w:r>
              <w:rPr>
                <w:rFonts w:hint="eastAsia" w:ascii="Times New Roman" w:hAnsi="Times New Roman" w:eastAsia="宋体" w:cs="Times New Roman"/>
                <w:snapToGrid w:val="0"/>
                <w:color w:val="auto"/>
                <w:kern w:val="21"/>
                <w:sz w:val="21"/>
                <w:szCs w:val="21"/>
                <w:lang w:val="en-US" w:eastAsia="zh-CN"/>
              </w:rPr>
              <w:t>+5</w:t>
            </w:r>
          </w:p>
        </w:tc>
      </w:tr>
    </w:tbl>
    <w:p>
      <w:pPr>
        <w:adjustRightInd w:val="0"/>
        <w:snapToGrid w:val="0"/>
        <w:spacing w:before="192" w:beforeLines="80" w:after="24" w:afterLines="10" w:line="259" w:lineRule="auto"/>
        <w:jc w:val="left"/>
        <w:rPr>
          <w:rFonts w:ascii="Times New Roman" w:hAnsi="Times New Roman" w:eastAsia="宋体" w:cs="Times New Roman"/>
          <w:snapToGrid w:val="0"/>
          <w:color w:val="auto"/>
          <w:spacing w:val="-6"/>
          <w:kern w:val="21"/>
          <w:szCs w:val="21"/>
        </w:rPr>
      </w:pPr>
      <w:r>
        <w:rPr>
          <w:rFonts w:ascii="Times New Roman" w:hAnsi="Times New Roman" w:eastAsia="宋体" w:cs="Times New Roman"/>
          <w:snapToGrid w:val="0"/>
          <w:color w:val="auto"/>
          <w:kern w:val="21"/>
          <w:szCs w:val="21"/>
        </w:rPr>
        <w:t>注：</w:t>
      </w:r>
      <w:r>
        <w:rPr>
          <w:rFonts w:ascii="Times New Roman" w:hAnsi="Times New Roman" w:eastAsia="宋体" w:cs="Times New Roman"/>
          <w:snapToGrid w:val="0"/>
          <w:color w:val="auto"/>
          <w:spacing w:val="-16"/>
          <w:kern w:val="21"/>
          <w:szCs w:val="21"/>
        </w:rPr>
        <w:fldChar w:fldCharType="begin"/>
      </w:r>
      <w:r>
        <w:rPr>
          <w:rFonts w:ascii="Times New Roman" w:hAnsi="Times New Roman" w:eastAsia="宋体" w:cs="Times New Roman"/>
          <w:snapToGrid w:val="0"/>
          <w:color w:val="auto"/>
          <w:spacing w:val="-16"/>
          <w:kern w:val="21"/>
          <w:szCs w:val="21"/>
        </w:rPr>
        <w:instrText xml:space="preserve"> = 6 \* GB3 \* MERGEFORMAT </w:instrText>
      </w:r>
      <w:r>
        <w:rPr>
          <w:rFonts w:ascii="Times New Roman" w:hAnsi="Times New Roman" w:eastAsia="宋体" w:cs="Times New Roman"/>
          <w:snapToGrid w:val="0"/>
          <w:color w:val="auto"/>
          <w:spacing w:val="-16"/>
          <w:kern w:val="21"/>
          <w:szCs w:val="21"/>
        </w:rPr>
        <w:fldChar w:fldCharType="separate"/>
      </w:r>
      <w:r>
        <w:rPr>
          <w:rFonts w:hint="eastAsia" w:ascii="宋体" w:hAnsi="宋体" w:eastAsia="宋体" w:cs="宋体"/>
          <w:color w:val="auto"/>
          <w:kern w:val="0"/>
          <w:szCs w:val="21"/>
        </w:rPr>
        <w:t>⑥</w:t>
      </w:r>
      <w:r>
        <w:rPr>
          <w:rFonts w:ascii="Times New Roman" w:hAnsi="Times New Roman" w:eastAsia="宋体" w:cs="Times New Roman"/>
          <w:snapToGrid w:val="0"/>
          <w:color w:val="auto"/>
          <w:spacing w:val="-16"/>
          <w:kern w:val="21"/>
          <w:szCs w:val="21"/>
        </w:rPr>
        <w:fldChar w:fldCharType="end"/>
      </w:r>
      <w:r>
        <w:rPr>
          <w:rFonts w:ascii="Times New Roman" w:hAnsi="Times New Roman" w:eastAsia="宋体" w:cs="Times New Roman"/>
          <w:snapToGrid w:val="0"/>
          <w:color w:val="auto"/>
          <w:spacing w:val="-16"/>
          <w:kern w:val="21"/>
          <w:szCs w:val="21"/>
        </w:rPr>
        <w:t>=</w:t>
      </w:r>
      <w:r>
        <w:rPr>
          <w:rFonts w:ascii="Times New Roman" w:hAnsi="Times New Roman" w:eastAsia="宋体" w:cs="Times New Roman"/>
          <w:snapToGrid w:val="0"/>
          <w:color w:val="auto"/>
          <w:spacing w:val="-6"/>
          <w:kern w:val="21"/>
          <w:szCs w:val="21"/>
        </w:rPr>
        <w:fldChar w:fldCharType="begin"/>
      </w:r>
      <w:r>
        <w:rPr>
          <w:rFonts w:ascii="Times New Roman" w:hAnsi="Times New Roman" w:eastAsia="宋体" w:cs="Times New Roman"/>
          <w:snapToGrid w:val="0"/>
          <w:color w:val="auto"/>
          <w:spacing w:val="-6"/>
          <w:kern w:val="21"/>
          <w:szCs w:val="21"/>
        </w:rPr>
        <w:instrText xml:space="preserve"> = 1 \* GB3 \* MERGEFORMAT </w:instrText>
      </w:r>
      <w:r>
        <w:rPr>
          <w:rFonts w:ascii="Times New Roman" w:hAnsi="Times New Roman" w:eastAsia="宋体" w:cs="Times New Roman"/>
          <w:snapToGrid w:val="0"/>
          <w:color w:val="auto"/>
          <w:spacing w:val="-6"/>
          <w:kern w:val="21"/>
          <w:szCs w:val="21"/>
        </w:rPr>
        <w:fldChar w:fldCharType="separate"/>
      </w:r>
      <w:r>
        <w:rPr>
          <w:rFonts w:hint="eastAsia" w:ascii="宋体" w:hAnsi="宋体" w:eastAsia="宋体" w:cs="宋体"/>
          <w:color w:val="auto"/>
          <w:kern w:val="0"/>
          <w:szCs w:val="21"/>
        </w:rPr>
        <w:t>①</w:t>
      </w:r>
      <w:r>
        <w:rPr>
          <w:rFonts w:ascii="Times New Roman" w:hAnsi="Times New Roman" w:eastAsia="宋体" w:cs="Times New Roman"/>
          <w:snapToGrid w:val="0"/>
          <w:color w:val="auto"/>
          <w:spacing w:val="-6"/>
          <w:kern w:val="21"/>
          <w:szCs w:val="21"/>
        </w:rPr>
        <w:fldChar w:fldCharType="end"/>
      </w:r>
      <w:r>
        <w:rPr>
          <w:rFonts w:ascii="Times New Roman" w:hAnsi="Times New Roman" w:eastAsia="宋体" w:cs="Times New Roman"/>
          <w:snapToGrid w:val="0"/>
          <w:color w:val="auto"/>
          <w:spacing w:val="-6"/>
          <w:kern w:val="21"/>
          <w:szCs w:val="21"/>
        </w:rPr>
        <w:t>+</w:t>
      </w:r>
      <w:r>
        <w:rPr>
          <w:rFonts w:ascii="Times New Roman" w:hAnsi="Times New Roman" w:eastAsia="宋体" w:cs="Times New Roman"/>
          <w:snapToGrid w:val="0"/>
          <w:color w:val="auto"/>
          <w:spacing w:val="-6"/>
          <w:kern w:val="21"/>
          <w:szCs w:val="21"/>
        </w:rPr>
        <w:fldChar w:fldCharType="begin"/>
      </w:r>
      <w:r>
        <w:rPr>
          <w:rFonts w:ascii="Times New Roman" w:hAnsi="Times New Roman" w:eastAsia="宋体" w:cs="Times New Roman"/>
          <w:snapToGrid w:val="0"/>
          <w:color w:val="auto"/>
          <w:spacing w:val="-6"/>
          <w:kern w:val="21"/>
          <w:szCs w:val="21"/>
        </w:rPr>
        <w:instrText xml:space="preserve"> = 3 \* GB3 \* MERGEFORMAT </w:instrText>
      </w:r>
      <w:r>
        <w:rPr>
          <w:rFonts w:ascii="Times New Roman" w:hAnsi="Times New Roman" w:eastAsia="宋体" w:cs="Times New Roman"/>
          <w:snapToGrid w:val="0"/>
          <w:color w:val="auto"/>
          <w:spacing w:val="-6"/>
          <w:kern w:val="21"/>
          <w:szCs w:val="21"/>
        </w:rPr>
        <w:fldChar w:fldCharType="separate"/>
      </w:r>
      <w:r>
        <w:rPr>
          <w:rFonts w:hint="eastAsia" w:ascii="宋体" w:hAnsi="宋体" w:eastAsia="宋体" w:cs="宋体"/>
          <w:color w:val="auto"/>
          <w:kern w:val="0"/>
          <w:szCs w:val="21"/>
        </w:rPr>
        <w:t>③</w:t>
      </w:r>
      <w:r>
        <w:rPr>
          <w:rFonts w:ascii="Times New Roman" w:hAnsi="Times New Roman" w:eastAsia="宋体" w:cs="Times New Roman"/>
          <w:snapToGrid w:val="0"/>
          <w:color w:val="auto"/>
          <w:spacing w:val="-6"/>
          <w:kern w:val="21"/>
          <w:szCs w:val="21"/>
        </w:rPr>
        <w:fldChar w:fldCharType="end"/>
      </w:r>
      <w:r>
        <w:rPr>
          <w:rFonts w:ascii="Times New Roman" w:hAnsi="Times New Roman" w:eastAsia="宋体" w:cs="Times New Roman"/>
          <w:snapToGrid w:val="0"/>
          <w:color w:val="auto"/>
          <w:spacing w:val="-6"/>
          <w:kern w:val="21"/>
          <w:szCs w:val="21"/>
        </w:rPr>
        <w:t>+</w:t>
      </w:r>
      <w:r>
        <w:rPr>
          <w:rFonts w:ascii="Times New Roman" w:hAnsi="Times New Roman" w:eastAsia="宋体" w:cs="Times New Roman"/>
          <w:snapToGrid w:val="0"/>
          <w:color w:val="auto"/>
          <w:spacing w:val="-6"/>
          <w:kern w:val="21"/>
          <w:szCs w:val="21"/>
        </w:rPr>
        <w:fldChar w:fldCharType="begin"/>
      </w:r>
      <w:r>
        <w:rPr>
          <w:rFonts w:ascii="Times New Roman" w:hAnsi="Times New Roman" w:eastAsia="宋体" w:cs="Times New Roman"/>
          <w:snapToGrid w:val="0"/>
          <w:color w:val="auto"/>
          <w:spacing w:val="-6"/>
          <w:kern w:val="21"/>
          <w:szCs w:val="21"/>
        </w:rPr>
        <w:instrText xml:space="preserve"> = 4 \* GB3 \* MERGEFORMAT </w:instrText>
      </w:r>
      <w:r>
        <w:rPr>
          <w:rFonts w:ascii="Times New Roman" w:hAnsi="Times New Roman" w:eastAsia="宋体" w:cs="Times New Roman"/>
          <w:snapToGrid w:val="0"/>
          <w:color w:val="auto"/>
          <w:spacing w:val="-6"/>
          <w:kern w:val="21"/>
          <w:szCs w:val="21"/>
        </w:rPr>
        <w:fldChar w:fldCharType="separate"/>
      </w:r>
      <w:r>
        <w:rPr>
          <w:rFonts w:hint="eastAsia" w:ascii="宋体" w:hAnsi="宋体" w:eastAsia="宋体" w:cs="宋体"/>
          <w:color w:val="auto"/>
          <w:kern w:val="0"/>
          <w:szCs w:val="21"/>
        </w:rPr>
        <w:t>④</w:t>
      </w:r>
      <w:r>
        <w:rPr>
          <w:rFonts w:ascii="Times New Roman" w:hAnsi="Times New Roman" w:eastAsia="宋体" w:cs="Times New Roman"/>
          <w:snapToGrid w:val="0"/>
          <w:color w:val="auto"/>
          <w:spacing w:val="-6"/>
          <w:kern w:val="21"/>
          <w:szCs w:val="21"/>
        </w:rPr>
        <w:fldChar w:fldCharType="end"/>
      </w:r>
      <w:r>
        <w:rPr>
          <w:rFonts w:ascii="Times New Roman" w:hAnsi="Times New Roman" w:eastAsia="宋体" w:cs="Times New Roman"/>
          <w:snapToGrid w:val="0"/>
          <w:color w:val="auto"/>
          <w:spacing w:val="-6"/>
          <w:kern w:val="21"/>
          <w:szCs w:val="21"/>
        </w:rPr>
        <w:t>-</w:t>
      </w:r>
      <w:r>
        <w:rPr>
          <w:rFonts w:ascii="Times New Roman" w:hAnsi="Times New Roman" w:eastAsia="宋体" w:cs="Times New Roman"/>
          <w:snapToGrid w:val="0"/>
          <w:color w:val="auto"/>
          <w:spacing w:val="-16"/>
          <w:kern w:val="21"/>
          <w:szCs w:val="21"/>
        </w:rPr>
        <w:fldChar w:fldCharType="begin"/>
      </w:r>
      <w:r>
        <w:rPr>
          <w:rFonts w:ascii="Times New Roman" w:hAnsi="Times New Roman" w:eastAsia="宋体" w:cs="Times New Roman"/>
          <w:snapToGrid w:val="0"/>
          <w:color w:val="auto"/>
          <w:spacing w:val="-16"/>
          <w:kern w:val="21"/>
          <w:szCs w:val="21"/>
        </w:rPr>
        <w:instrText xml:space="preserve"> = 5 \* GB3 \* MERGEFORMAT </w:instrText>
      </w:r>
      <w:r>
        <w:rPr>
          <w:rFonts w:ascii="Times New Roman" w:hAnsi="Times New Roman" w:eastAsia="宋体" w:cs="Times New Roman"/>
          <w:snapToGrid w:val="0"/>
          <w:color w:val="auto"/>
          <w:spacing w:val="-16"/>
          <w:kern w:val="21"/>
          <w:szCs w:val="21"/>
        </w:rPr>
        <w:fldChar w:fldCharType="separate"/>
      </w:r>
      <w:r>
        <w:rPr>
          <w:rFonts w:hint="eastAsia" w:ascii="宋体" w:hAnsi="宋体" w:eastAsia="宋体" w:cs="宋体"/>
          <w:color w:val="auto"/>
          <w:kern w:val="0"/>
          <w:szCs w:val="21"/>
        </w:rPr>
        <w:t>⑤</w:t>
      </w:r>
      <w:r>
        <w:rPr>
          <w:rFonts w:ascii="Times New Roman" w:hAnsi="Times New Roman" w:eastAsia="宋体" w:cs="Times New Roman"/>
          <w:snapToGrid w:val="0"/>
          <w:color w:val="auto"/>
          <w:spacing w:val="-16"/>
          <w:kern w:val="21"/>
          <w:szCs w:val="21"/>
        </w:rPr>
        <w:fldChar w:fldCharType="end"/>
      </w:r>
      <w:r>
        <w:rPr>
          <w:rFonts w:ascii="Times New Roman" w:hAnsi="Times New Roman" w:eastAsia="宋体" w:cs="Times New Roman"/>
          <w:snapToGrid w:val="0"/>
          <w:color w:val="auto"/>
          <w:spacing w:val="-16"/>
          <w:kern w:val="21"/>
          <w:szCs w:val="21"/>
        </w:rPr>
        <w:t>；</w:t>
      </w:r>
      <w:r>
        <w:rPr>
          <w:rFonts w:ascii="Times New Roman" w:hAnsi="Times New Roman" w:eastAsia="宋体" w:cs="Times New Roman"/>
          <w:snapToGrid w:val="0"/>
          <w:color w:val="auto"/>
          <w:spacing w:val="-6"/>
          <w:kern w:val="21"/>
          <w:szCs w:val="21"/>
        </w:rPr>
        <w:fldChar w:fldCharType="begin"/>
      </w:r>
      <w:r>
        <w:rPr>
          <w:rFonts w:ascii="Times New Roman" w:hAnsi="Times New Roman" w:eastAsia="宋体" w:cs="Times New Roman"/>
          <w:snapToGrid w:val="0"/>
          <w:color w:val="auto"/>
          <w:spacing w:val="-6"/>
          <w:kern w:val="21"/>
          <w:szCs w:val="21"/>
        </w:rPr>
        <w:instrText xml:space="preserve"> = 7 \* GB3 \* MERGEFORMAT </w:instrText>
      </w:r>
      <w:r>
        <w:rPr>
          <w:rFonts w:ascii="Times New Roman" w:hAnsi="Times New Roman" w:eastAsia="宋体" w:cs="Times New Roman"/>
          <w:snapToGrid w:val="0"/>
          <w:color w:val="auto"/>
          <w:spacing w:val="-6"/>
          <w:kern w:val="21"/>
          <w:szCs w:val="21"/>
        </w:rPr>
        <w:fldChar w:fldCharType="separate"/>
      </w:r>
      <w:r>
        <w:rPr>
          <w:rFonts w:hint="eastAsia" w:ascii="宋体" w:hAnsi="宋体" w:eastAsia="宋体" w:cs="宋体"/>
          <w:color w:val="auto"/>
          <w:kern w:val="0"/>
          <w:szCs w:val="21"/>
        </w:rPr>
        <w:t>⑦</w:t>
      </w:r>
      <w:r>
        <w:rPr>
          <w:rFonts w:ascii="Times New Roman" w:hAnsi="Times New Roman" w:eastAsia="宋体" w:cs="Times New Roman"/>
          <w:snapToGrid w:val="0"/>
          <w:color w:val="auto"/>
          <w:spacing w:val="-6"/>
          <w:kern w:val="21"/>
          <w:szCs w:val="21"/>
        </w:rPr>
        <w:fldChar w:fldCharType="end"/>
      </w:r>
      <w:r>
        <w:rPr>
          <w:rFonts w:ascii="Times New Roman" w:hAnsi="Times New Roman" w:eastAsia="宋体" w:cs="Times New Roman"/>
          <w:snapToGrid w:val="0"/>
          <w:color w:val="auto"/>
          <w:spacing w:val="-6"/>
          <w:kern w:val="21"/>
          <w:szCs w:val="21"/>
        </w:rPr>
        <w:t>=</w:t>
      </w:r>
      <w:r>
        <w:rPr>
          <w:rFonts w:ascii="Times New Roman" w:hAnsi="Times New Roman" w:eastAsia="宋体" w:cs="Times New Roman"/>
          <w:snapToGrid w:val="0"/>
          <w:color w:val="auto"/>
          <w:spacing w:val="-16"/>
          <w:kern w:val="21"/>
          <w:szCs w:val="21"/>
        </w:rPr>
        <w:fldChar w:fldCharType="begin"/>
      </w:r>
      <w:r>
        <w:rPr>
          <w:rFonts w:ascii="Times New Roman" w:hAnsi="Times New Roman" w:eastAsia="宋体" w:cs="Times New Roman"/>
          <w:snapToGrid w:val="0"/>
          <w:color w:val="auto"/>
          <w:spacing w:val="-16"/>
          <w:kern w:val="21"/>
          <w:szCs w:val="21"/>
        </w:rPr>
        <w:instrText xml:space="preserve"> = 6 \* GB3 \* MERGEFORMAT </w:instrText>
      </w:r>
      <w:r>
        <w:rPr>
          <w:rFonts w:ascii="Times New Roman" w:hAnsi="Times New Roman" w:eastAsia="宋体" w:cs="Times New Roman"/>
          <w:snapToGrid w:val="0"/>
          <w:color w:val="auto"/>
          <w:spacing w:val="-16"/>
          <w:kern w:val="21"/>
          <w:szCs w:val="21"/>
        </w:rPr>
        <w:fldChar w:fldCharType="separate"/>
      </w:r>
      <w:r>
        <w:rPr>
          <w:rFonts w:hint="eastAsia" w:ascii="宋体" w:hAnsi="宋体" w:eastAsia="宋体" w:cs="宋体"/>
          <w:color w:val="auto"/>
          <w:kern w:val="0"/>
          <w:szCs w:val="21"/>
        </w:rPr>
        <w:t>⑥</w:t>
      </w:r>
      <w:r>
        <w:rPr>
          <w:rFonts w:ascii="Times New Roman" w:hAnsi="Times New Roman" w:eastAsia="宋体" w:cs="Times New Roman"/>
          <w:snapToGrid w:val="0"/>
          <w:color w:val="auto"/>
          <w:spacing w:val="-16"/>
          <w:kern w:val="21"/>
          <w:szCs w:val="21"/>
        </w:rPr>
        <w:fldChar w:fldCharType="end"/>
      </w:r>
      <w:r>
        <w:rPr>
          <w:rFonts w:ascii="Times New Roman" w:hAnsi="Times New Roman" w:eastAsia="宋体" w:cs="Times New Roman"/>
          <w:snapToGrid w:val="0"/>
          <w:color w:val="auto"/>
          <w:spacing w:val="-16"/>
          <w:kern w:val="21"/>
          <w:szCs w:val="21"/>
        </w:rPr>
        <w:t>-</w:t>
      </w:r>
      <w:r>
        <w:rPr>
          <w:rFonts w:ascii="Times New Roman" w:hAnsi="Times New Roman" w:eastAsia="宋体" w:cs="Times New Roman"/>
          <w:snapToGrid w:val="0"/>
          <w:color w:val="auto"/>
          <w:spacing w:val="-6"/>
          <w:kern w:val="21"/>
          <w:szCs w:val="21"/>
        </w:rPr>
        <w:fldChar w:fldCharType="begin"/>
      </w:r>
      <w:r>
        <w:rPr>
          <w:rFonts w:ascii="Times New Roman" w:hAnsi="Times New Roman" w:eastAsia="宋体" w:cs="Times New Roman"/>
          <w:snapToGrid w:val="0"/>
          <w:color w:val="auto"/>
          <w:spacing w:val="-6"/>
          <w:kern w:val="21"/>
          <w:szCs w:val="21"/>
        </w:rPr>
        <w:instrText xml:space="preserve"> = 1 \* GB3 \* MERGEFORMAT </w:instrText>
      </w:r>
      <w:r>
        <w:rPr>
          <w:rFonts w:ascii="Times New Roman" w:hAnsi="Times New Roman" w:eastAsia="宋体" w:cs="Times New Roman"/>
          <w:snapToGrid w:val="0"/>
          <w:color w:val="auto"/>
          <w:spacing w:val="-6"/>
          <w:kern w:val="21"/>
          <w:szCs w:val="21"/>
        </w:rPr>
        <w:fldChar w:fldCharType="separate"/>
      </w:r>
      <w:r>
        <w:rPr>
          <w:rFonts w:hint="eastAsia" w:ascii="宋体" w:hAnsi="宋体" w:eastAsia="宋体" w:cs="宋体"/>
          <w:color w:val="auto"/>
          <w:kern w:val="0"/>
          <w:szCs w:val="21"/>
        </w:rPr>
        <w:t>①</w:t>
      </w:r>
      <w:r>
        <w:rPr>
          <w:rFonts w:ascii="Times New Roman" w:hAnsi="Times New Roman" w:eastAsia="宋体" w:cs="Times New Roman"/>
          <w:snapToGrid w:val="0"/>
          <w:color w:val="auto"/>
          <w:spacing w:val="-6"/>
          <w:kern w:val="21"/>
          <w:szCs w:val="21"/>
        </w:rPr>
        <w:fldChar w:fldCharType="end"/>
      </w:r>
    </w:p>
    <w:p>
      <w:pPr>
        <w:rPr>
          <w:rFonts w:ascii="Times New Roman" w:hAnsi="Times New Roman" w:eastAsia="宋体" w:cs="Times New Roman"/>
          <w:color w:val="auto"/>
          <w:szCs w:val="24"/>
        </w:rPr>
        <w:sectPr>
          <w:pgSz w:w="16838" w:h="11906" w:orient="landscape"/>
          <w:pgMar w:top="1701" w:right="1531" w:bottom="1701" w:left="1531" w:header="851" w:footer="851" w:gutter="0"/>
          <w:pgBorders>
            <w:top w:val="none" w:sz="0" w:space="0"/>
            <w:left w:val="none" w:sz="0" w:space="0"/>
            <w:bottom w:val="none" w:sz="0" w:space="0"/>
            <w:right w:val="none" w:sz="0" w:space="0"/>
          </w:pgBorders>
          <w:pgNumType w:fmt="numberInDash"/>
          <w:cols w:space="720" w:num="1"/>
          <w:docGrid w:linePitch="312" w:charSpace="0"/>
        </w:sectPr>
      </w:pPr>
    </w:p>
    <w:p>
      <w:pPr>
        <w:pStyle w:val="12"/>
        <w:rPr>
          <w:rFonts w:ascii="Times New Roman" w:hAnsi="Times New Roman"/>
          <w:color w:val="auto"/>
        </w:rPr>
      </w:pPr>
    </w:p>
    <w:p>
      <w:pPr>
        <w:pStyle w:val="12"/>
        <w:rPr>
          <w:rFonts w:ascii="Times New Roman" w:hAnsi="Times New Roman"/>
          <w:color w:val="auto"/>
        </w:rPr>
      </w:pPr>
    </w:p>
    <w:p>
      <w:pPr>
        <w:pStyle w:val="12"/>
        <w:rPr>
          <w:rFonts w:ascii="Times New Roman" w:hAnsi="Times New Roman"/>
          <w:color w:val="auto"/>
        </w:rPr>
      </w:pPr>
    </w:p>
    <w:p>
      <w:pPr>
        <w:pStyle w:val="12"/>
        <w:rPr>
          <w:rFonts w:ascii="Times New Roman" w:hAnsi="Times New Roman"/>
          <w:color w:val="auto"/>
        </w:rPr>
      </w:pPr>
    </w:p>
    <w:p>
      <w:pPr>
        <w:pStyle w:val="12"/>
        <w:rPr>
          <w:rFonts w:ascii="Times New Roman" w:hAnsi="Times New Roman"/>
          <w:color w:val="auto"/>
        </w:rPr>
      </w:pPr>
    </w:p>
    <w:p>
      <w:pPr>
        <w:pStyle w:val="12"/>
        <w:rPr>
          <w:rFonts w:ascii="Times New Roman" w:hAnsi="Times New Roman"/>
          <w:color w:val="auto"/>
        </w:rPr>
      </w:pPr>
    </w:p>
    <w:p>
      <w:pPr>
        <w:pStyle w:val="12"/>
        <w:rPr>
          <w:rFonts w:ascii="Times New Roman" w:hAnsi="Times New Roman"/>
          <w:color w:val="auto"/>
        </w:rPr>
      </w:pPr>
    </w:p>
    <w:p>
      <w:pPr>
        <w:spacing w:line="360" w:lineRule="auto"/>
        <w:jc w:val="center"/>
        <w:rPr>
          <w:rFonts w:eastAsia="黑体"/>
          <w:color w:val="auto"/>
          <w:sz w:val="72"/>
          <w:szCs w:val="72"/>
        </w:rPr>
      </w:pPr>
      <w:r>
        <w:rPr>
          <w:rFonts w:hint="eastAsia" w:eastAsia="黑体"/>
          <w:color w:val="auto"/>
          <w:sz w:val="44"/>
          <w:szCs w:val="44"/>
        </w:rPr>
        <w:t>山西时代雨虹建材科技有限公司SBS防水卷材建设工程项目</w:t>
      </w:r>
      <w:r>
        <w:rPr>
          <w:rFonts w:hint="eastAsia" w:eastAsia="黑体"/>
          <w:color w:val="auto"/>
          <w:sz w:val="44"/>
          <w:szCs w:val="44"/>
          <w:lang w:val="en-US" w:eastAsia="zh-CN"/>
        </w:rPr>
        <w:t>大气环境影响专项评价</w:t>
      </w: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jc w:val="center"/>
        <w:rPr>
          <w:rFonts w:eastAsia="黑体"/>
          <w:color w:val="auto"/>
          <w:sz w:val="52"/>
        </w:rPr>
      </w:pPr>
    </w:p>
    <w:p>
      <w:pPr>
        <w:spacing w:line="360" w:lineRule="auto"/>
        <w:ind w:left="631" w:leftChars="300" w:right="697" w:rightChars="332" w:hanging="1"/>
        <w:jc w:val="center"/>
        <w:rPr>
          <w:b/>
          <w:bCs/>
          <w:color w:val="auto"/>
          <w:sz w:val="72"/>
          <w:szCs w:val="72"/>
        </w:rPr>
      </w:pPr>
      <w:r>
        <w:rPr>
          <w:b/>
          <w:color w:val="auto"/>
          <w:sz w:val="40"/>
          <w:szCs w:val="40"/>
        </w:rPr>
        <w:t>二O二</w:t>
      </w:r>
      <w:r>
        <w:rPr>
          <w:rFonts w:hint="eastAsia"/>
          <w:b/>
          <w:color w:val="auto"/>
          <w:sz w:val="40"/>
          <w:szCs w:val="40"/>
          <w:lang w:val="en-US" w:eastAsia="zh-CN"/>
        </w:rPr>
        <w:t>三</w:t>
      </w:r>
      <w:r>
        <w:rPr>
          <w:b/>
          <w:color w:val="auto"/>
          <w:sz w:val="40"/>
          <w:szCs w:val="40"/>
        </w:rPr>
        <w:t>年</w:t>
      </w:r>
      <w:r>
        <w:rPr>
          <w:rFonts w:hint="eastAsia"/>
          <w:b/>
          <w:color w:val="auto"/>
          <w:sz w:val="40"/>
          <w:szCs w:val="40"/>
          <w:lang w:val="en-US" w:eastAsia="zh-CN"/>
        </w:rPr>
        <w:t>三</w:t>
      </w:r>
      <w:r>
        <w:rPr>
          <w:b/>
          <w:color w:val="auto"/>
          <w:sz w:val="40"/>
          <w:szCs w:val="40"/>
        </w:rPr>
        <w:t>月</w:t>
      </w:r>
    </w:p>
    <w:p>
      <w:pPr>
        <w:spacing w:line="360" w:lineRule="auto"/>
        <w:jc w:val="center"/>
        <w:rPr>
          <w:b/>
          <w:color w:val="auto"/>
          <w:spacing w:val="-34"/>
          <w:sz w:val="44"/>
          <w:szCs w:val="44"/>
        </w:rPr>
      </w:pPr>
    </w:p>
    <w:p>
      <w:pPr>
        <w:spacing w:line="360" w:lineRule="auto"/>
        <w:ind w:left="631" w:leftChars="300" w:right="697" w:rightChars="332" w:hanging="1"/>
        <w:jc w:val="center"/>
        <w:rPr>
          <w:b/>
          <w:bCs/>
          <w:color w:val="auto"/>
          <w:sz w:val="48"/>
          <w:szCs w:val="48"/>
        </w:rPr>
        <w:sectPr>
          <w:footerReference r:id="rId10" w:type="default"/>
          <w:pgSz w:w="11906" w:h="16838"/>
          <w:pgMar w:top="1701" w:right="1531" w:bottom="1701" w:left="1531" w:header="851" w:footer="851" w:gutter="0"/>
          <w:cols w:space="720" w:num="1"/>
          <w:docGrid w:linePitch="312" w:charSpace="0"/>
        </w:sectPr>
      </w:pPr>
    </w:p>
    <w:p>
      <w:pPr>
        <w:spacing w:line="460" w:lineRule="exact"/>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一、环境空气影响分析</w:t>
      </w:r>
    </w:p>
    <w:p>
      <w:pPr>
        <w:spacing w:line="460" w:lineRule="exact"/>
        <w:ind w:firstLine="480" w:firstLineChars="200"/>
        <w:rPr>
          <w:rFonts w:hint="default" w:ascii="Times New Roman" w:hAnsi="Times New Roman" w:eastAsia="宋体" w:cs="Times New Roman"/>
          <w:b w:val="0"/>
          <w:bCs w:val="0"/>
          <w:color w:val="auto"/>
          <w:sz w:val="24"/>
        </w:rPr>
      </w:pPr>
      <w:bookmarkStart w:id="20" w:name="_Hlk25699272"/>
      <w:r>
        <w:rPr>
          <w:rFonts w:hint="default" w:ascii="Times New Roman" w:hAnsi="Times New Roman" w:eastAsia="宋体" w:cs="Times New Roman"/>
          <w:b w:val="0"/>
          <w:bCs w:val="0"/>
          <w:color w:val="auto"/>
          <w:sz w:val="24"/>
        </w:rPr>
        <w:t>本项目运营期主要大气污染物为</w:t>
      </w:r>
      <w:r>
        <w:rPr>
          <w:rFonts w:hint="default" w:ascii="Times New Roman" w:hAnsi="Times New Roman" w:eastAsia="宋体" w:cs="Times New Roman"/>
          <w:b w:val="0"/>
          <w:bCs w:val="0"/>
          <w:color w:val="auto"/>
          <w:kern w:val="44"/>
          <w:sz w:val="24"/>
        </w:rPr>
        <w:t>导热油炉燃烧废气</w:t>
      </w:r>
      <w:r>
        <w:rPr>
          <w:rFonts w:hint="default" w:ascii="Times New Roman" w:hAnsi="Times New Roman" w:eastAsia="宋体" w:cs="Times New Roman"/>
          <w:b w:val="0"/>
          <w:bCs w:val="0"/>
          <w:color w:val="auto"/>
          <w:sz w:val="24"/>
        </w:rPr>
        <w:t>；</w:t>
      </w:r>
      <w:r>
        <w:rPr>
          <w:rFonts w:hint="default" w:ascii="Times New Roman" w:hAnsi="Times New Roman" w:eastAsia="宋体" w:cs="Times New Roman"/>
          <w:b w:val="0"/>
          <w:bCs w:val="0"/>
          <w:color w:val="auto"/>
          <w:sz w:val="24"/>
          <w:lang w:val="en-US" w:eastAsia="zh-CN"/>
        </w:rPr>
        <w:t>沥青</w:t>
      </w:r>
      <w:r>
        <w:rPr>
          <w:rFonts w:hint="default" w:ascii="Times New Roman" w:hAnsi="Times New Roman" w:eastAsia="宋体" w:cs="Times New Roman"/>
          <w:b w:val="0"/>
          <w:bCs w:val="0"/>
          <w:color w:val="auto"/>
          <w:kern w:val="44"/>
          <w:sz w:val="24"/>
          <w:lang w:val="en-US" w:eastAsia="zh-CN"/>
        </w:rPr>
        <w:t>加热</w:t>
      </w:r>
      <w:r>
        <w:rPr>
          <w:rFonts w:hint="default" w:ascii="Times New Roman" w:hAnsi="Times New Roman" w:eastAsia="宋体" w:cs="Times New Roman"/>
          <w:b w:val="0"/>
          <w:bCs w:val="0"/>
          <w:color w:val="auto"/>
          <w:sz w:val="24"/>
          <w:szCs w:val="24"/>
          <w:highlight w:val="none"/>
          <w:lang w:val="en-US" w:eastAsia="zh-CN"/>
        </w:rPr>
        <w:t>储存</w:t>
      </w:r>
      <w:r>
        <w:rPr>
          <w:rFonts w:hint="default" w:ascii="Times New Roman" w:hAnsi="Times New Roman" w:eastAsia="宋体" w:cs="Times New Roman"/>
          <w:b w:val="0"/>
          <w:bCs w:val="0"/>
          <w:color w:val="auto"/>
          <w:kern w:val="44"/>
          <w:sz w:val="24"/>
        </w:rPr>
        <w:t>、</w:t>
      </w:r>
      <w:r>
        <w:rPr>
          <w:rFonts w:hint="default" w:ascii="Times New Roman" w:hAnsi="Times New Roman" w:eastAsia="宋体" w:cs="Times New Roman"/>
          <w:b w:val="0"/>
          <w:bCs w:val="0"/>
          <w:color w:val="auto"/>
          <w:sz w:val="24"/>
          <w:lang w:val="en-US" w:eastAsia="zh-CN"/>
        </w:rPr>
        <w:t>配料、</w:t>
      </w:r>
      <w:r>
        <w:rPr>
          <w:rFonts w:hint="default" w:ascii="Times New Roman" w:hAnsi="Times New Roman" w:eastAsia="宋体" w:cs="Times New Roman"/>
          <w:b w:val="0"/>
          <w:bCs w:val="0"/>
          <w:color w:val="auto"/>
          <w:sz w:val="24"/>
        </w:rPr>
        <w:t>搅拌、浸油、涂油</w:t>
      </w:r>
      <w:r>
        <w:rPr>
          <w:rFonts w:hint="eastAsia" w:ascii="Times New Roman" w:hAnsi="Times New Roman" w:eastAsia="宋体" w:cs="Times New Roman"/>
          <w:b w:val="0"/>
          <w:bCs w:val="0"/>
          <w:color w:val="auto"/>
          <w:sz w:val="24"/>
          <w:lang w:val="en-US" w:eastAsia="zh-CN"/>
        </w:rPr>
        <w:t>、</w:t>
      </w:r>
      <w:r>
        <w:rPr>
          <w:rFonts w:hint="default" w:ascii="Times New Roman" w:hAnsi="Times New Roman" w:eastAsia="宋体" w:cs="Times New Roman"/>
          <w:b w:val="0"/>
          <w:bCs w:val="0"/>
          <w:color w:val="auto"/>
          <w:sz w:val="24"/>
          <w:lang w:val="en-US" w:eastAsia="zh-CN"/>
        </w:rPr>
        <w:t>覆膜</w:t>
      </w:r>
      <w:r>
        <w:rPr>
          <w:rFonts w:hint="eastAsia" w:ascii="Times New Roman" w:hAnsi="Times New Roman" w:eastAsia="宋体" w:cs="Times New Roman"/>
          <w:b w:val="0"/>
          <w:bCs w:val="0"/>
          <w:color w:val="auto"/>
          <w:sz w:val="24"/>
          <w:lang w:val="en-US" w:eastAsia="zh-CN"/>
        </w:rPr>
        <w:t>和冷却</w:t>
      </w:r>
      <w:r>
        <w:rPr>
          <w:rFonts w:hint="default" w:ascii="Times New Roman" w:hAnsi="Times New Roman" w:eastAsia="宋体" w:cs="Times New Roman"/>
          <w:b w:val="0"/>
          <w:bCs w:val="0"/>
          <w:color w:val="auto"/>
          <w:sz w:val="24"/>
        </w:rPr>
        <w:t>产生的</w:t>
      </w:r>
      <w:r>
        <w:rPr>
          <w:rFonts w:hint="eastAsia" w:ascii="Times New Roman" w:hAnsi="Times New Roman" w:eastAsia="宋体" w:cs="Times New Roman"/>
          <w:b w:val="0"/>
          <w:bCs w:val="0"/>
          <w:color w:val="auto"/>
          <w:sz w:val="24"/>
          <w:lang w:val="en-US" w:eastAsia="zh-CN"/>
        </w:rPr>
        <w:t>工艺</w:t>
      </w:r>
      <w:r>
        <w:rPr>
          <w:rFonts w:hint="default" w:ascii="Times New Roman" w:hAnsi="Times New Roman" w:eastAsia="宋体" w:cs="Times New Roman"/>
          <w:b w:val="0"/>
          <w:bCs w:val="0"/>
          <w:color w:val="auto"/>
          <w:sz w:val="24"/>
        </w:rPr>
        <w:t>废气；</w:t>
      </w:r>
      <w:r>
        <w:rPr>
          <w:rFonts w:hint="default" w:ascii="Times New Roman" w:hAnsi="Times New Roman" w:eastAsia="宋体" w:cs="Times New Roman"/>
          <w:b w:val="0"/>
          <w:bCs w:val="0"/>
          <w:color w:val="auto"/>
          <w:sz w:val="24"/>
          <w:lang w:val="en-US" w:eastAsia="zh-CN"/>
        </w:rPr>
        <w:t>粉料储罐仓顶</w:t>
      </w:r>
      <w:r>
        <w:rPr>
          <w:rFonts w:hint="default" w:ascii="Times New Roman" w:hAnsi="Times New Roman" w:eastAsia="宋体" w:cs="Times New Roman"/>
          <w:b w:val="0"/>
          <w:bCs w:val="0"/>
          <w:color w:val="auto"/>
          <w:sz w:val="24"/>
        </w:rPr>
        <w:t>产生的废气</w:t>
      </w:r>
      <w:r>
        <w:rPr>
          <w:rFonts w:hint="eastAsia" w:ascii="Times New Roman" w:hAnsi="Times New Roman" w:eastAsia="宋体" w:cs="Times New Roman"/>
          <w:b w:val="0"/>
          <w:bCs w:val="0"/>
          <w:color w:val="auto"/>
          <w:sz w:val="24"/>
          <w:lang w:val="en-US" w:eastAsia="zh-CN"/>
        </w:rPr>
        <w:t>等</w:t>
      </w:r>
      <w:r>
        <w:rPr>
          <w:rFonts w:hint="default" w:ascii="Times New Roman" w:hAnsi="Times New Roman" w:eastAsia="宋体" w:cs="Times New Roman"/>
          <w:b w:val="0"/>
          <w:bCs w:val="0"/>
          <w:color w:val="auto"/>
          <w:sz w:val="24"/>
        </w:rPr>
        <w:t>。</w:t>
      </w:r>
    </w:p>
    <w:p>
      <w:pPr>
        <w:spacing w:line="500" w:lineRule="exact"/>
        <w:ind w:firstLine="480" w:firstLineChars="200"/>
        <w:rPr>
          <w:rFonts w:hint="default" w:ascii="Times New Roman" w:hAnsi="Times New Roman" w:eastAsia="宋体" w:cs="Times New Roman"/>
          <w:color w:val="auto"/>
          <w:kern w:val="44"/>
          <w:sz w:val="24"/>
          <w:lang w:val="en-US" w:eastAsia="zh-CN"/>
        </w:rPr>
      </w:pPr>
      <w:r>
        <w:rPr>
          <w:rFonts w:hint="default" w:ascii="Times New Roman" w:hAnsi="Times New Roman" w:eastAsia="宋体" w:cs="Times New Roman"/>
          <w:color w:val="auto"/>
          <w:kern w:val="44"/>
          <w:sz w:val="24"/>
          <w:lang w:val="en-US" w:eastAsia="zh-CN"/>
        </w:rPr>
        <w:t>⑴</w:t>
      </w:r>
      <w:r>
        <w:rPr>
          <w:rFonts w:hint="eastAsia" w:ascii="Times New Roman" w:hAnsi="Times New Roman" w:eastAsia="宋体" w:cs="Times New Roman"/>
          <w:color w:val="auto"/>
          <w:kern w:val="44"/>
          <w:sz w:val="24"/>
          <w:lang w:val="en-US" w:eastAsia="zh-CN"/>
        </w:rPr>
        <w:t>SBS储存输送粉尘</w:t>
      </w:r>
    </w:p>
    <w:p>
      <w:pPr>
        <w:spacing w:line="500" w:lineRule="exact"/>
        <w:ind w:firstLine="480" w:firstLineChars="200"/>
        <w:rPr>
          <w:rFonts w:hint="eastAsia" w:ascii="Times New Roman" w:hAnsi="Times New Roman" w:eastAsia="宋体" w:cs="Times New Roman"/>
          <w:color w:val="auto"/>
          <w:kern w:val="44"/>
          <w:sz w:val="24"/>
          <w:lang w:val="en-US" w:eastAsia="zh-CN"/>
        </w:rPr>
      </w:pPr>
      <w:r>
        <w:rPr>
          <w:rFonts w:hint="default" w:ascii="Times New Roman" w:hAnsi="Times New Roman" w:eastAsia="宋体" w:cs="Times New Roman"/>
          <w:color w:val="auto"/>
          <w:kern w:val="44"/>
          <w:sz w:val="24"/>
          <w:lang w:val="en-US" w:eastAsia="zh-CN"/>
        </w:rPr>
        <w:t>本项目</w:t>
      </w:r>
      <w:r>
        <w:rPr>
          <w:rFonts w:hint="eastAsia" w:ascii="Times New Roman" w:hAnsi="Times New Roman" w:eastAsia="宋体" w:cs="Times New Roman"/>
          <w:color w:val="auto"/>
          <w:kern w:val="44"/>
          <w:sz w:val="24"/>
          <w:lang w:val="en-US" w:eastAsia="zh-CN"/>
        </w:rPr>
        <w:t>SBS</w:t>
      </w:r>
      <w:r>
        <w:rPr>
          <w:rFonts w:hint="default" w:ascii="Times New Roman" w:hAnsi="Times New Roman" w:eastAsia="宋体" w:cs="Times New Roman"/>
          <w:color w:val="auto"/>
          <w:kern w:val="44"/>
          <w:sz w:val="24"/>
          <w:lang w:val="en-US" w:eastAsia="zh-CN"/>
        </w:rPr>
        <w:t>全部</w:t>
      </w:r>
      <w:r>
        <w:rPr>
          <w:rFonts w:hint="eastAsia" w:ascii="Times New Roman" w:hAnsi="Times New Roman" w:eastAsia="宋体" w:cs="Times New Roman"/>
          <w:color w:val="auto"/>
          <w:kern w:val="44"/>
          <w:sz w:val="24"/>
          <w:lang w:val="en-US" w:eastAsia="zh-CN"/>
        </w:rPr>
        <w:t>袋装</w:t>
      </w:r>
      <w:r>
        <w:rPr>
          <w:rFonts w:hint="default" w:ascii="Times New Roman" w:hAnsi="Times New Roman" w:eastAsia="宋体" w:cs="Times New Roman"/>
          <w:color w:val="auto"/>
          <w:kern w:val="44"/>
          <w:sz w:val="24"/>
          <w:lang w:val="en-US" w:eastAsia="zh-CN"/>
        </w:rPr>
        <w:t>储存在全封闭储库内，</w:t>
      </w:r>
      <w:r>
        <w:rPr>
          <w:rFonts w:hint="eastAsia" w:ascii="Times New Roman" w:hAnsi="Times New Roman" w:eastAsia="宋体" w:cs="Times New Roman"/>
          <w:color w:val="auto"/>
          <w:kern w:val="44"/>
          <w:sz w:val="24"/>
          <w:lang w:val="en-US" w:eastAsia="zh-CN"/>
        </w:rPr>
        <w:t>地面并进行了硬化，由于SBS</w:t>
      </w:r>
      <w:r>
        <w:rPr>
          <w:rFonts w:hint="default" w:ascii="Times New Roman" w:hAnsi="Times New Roman" w:eastAsia="宋体" w:cs="Times New Roman"/>
          <w:color w:val="auto"/>
          <w:kern w:val="44"/>
          <w:sz w:val="24"/>
          <w:lang w:val="en-US" w:eastAsia="zh-CN"/>
        </w:rPr>
        <w:t>粒径较大</w:t>
      </w:r>
      <w:r>
        <w:rPr>
          <w:rFonts w:hint="eastAsia" w:ascii="Times New Roman" w:hAnsi="Times New Roman" w:eastAsia="宋体" w:cs="Times New Roman"/>
          <w:color w:val="auto"/>
          <w:kern w:val="44"/>
          <w:sz w:val="24"/>
          <w:lang w:val="en-US" w:eastAsia="zh-CN"/>
        </w:rPr>
        <w:t>，</w:t>
      </w:r>
      <w:r>
        <w:rPr>
          <w:rFonts w:hint="default" w:ascii="Times New Roman" w:hAnsi="Times New Roman" w:eastAsia="宋体" w:cs="Times New Roman"/>
          <w:color w:val="auto"/>
          <w:kern w:val="44"/>
          <w:sz w:val="24"/>
          <w:lang w:val="en-US" w:eastAsia="zh-CN"/>
        </w:rPr>
        <w:t>物料堆存</w:t>
      </w:r>
      <w:r>
        <w:rPr>
          <w:rFonts w:hint="eastAsia" w:ascii="Times New Roman" w:hAnsi="Times New Roman" w:eastAsia="宋体" w:cs="Times New Roman"/>
          <w:color w:val="auto"/>
          <w:kern w:val="44"/>
          <w:sz w:val="24"/>
          <w:lang w:val="en-US" w:eastAsia="zh-CN"/>
        </w:rPr>
        <w:t>输送</w:t>
      </w:r>
      <w:r>
        <w:rPr>
          <w:rFonts w:hint="default" w:ascii="Times New Roman" w:hAnsi="Times New Roman" w:eastAsia="宋体" w:cs="Times New Roman"/>
          <w:color w:val="auto"/>
          <w:kern w:val="44"/>
          <w:sz w:val="24"/>
          <w:lang w:val="en-US" w:eastAsia="zh-CN"/>
        </w:rPr>
        <w:t>时不会产生</w:t>
      </w:r>
      <w:r>
        <w:rPr>
          <w:rFonts w:hint="eastAsia" w:ascii="Times New Roman" w:hAnsi="Times New Roman" w:eastAsia="宋体" w:cs="Times New Roman"/>
          <w:color w:val="auto"/>
          <w:kern w:val="44"/>
          <w:sz w:val="24"/>
          <w:lang w:val="en-US" w:eastAsia="zh-CN"/>
        </w:rPr>
        <w:t>粉尘。</w:t>
      </w:r>
    </w:p>
    <w:p>
      <w:pPr>
        <w:spacing w:line="500" w:lineRule="exact"/>
        <w:ind w:firstLine="480" w:firstLineChars="200"/>
        <w:rPr>
          <w:rFonts w:hint="default" w:ascii="Times New Roman" w:hAnsi="Times New Roman" w:eastAsia="宋体" w:cs="Times New Roman"/>
          <w:color w:val="auto"/>
          <w:kern w:val="44"/>
          <w:sz w:val="24"/>
        </w:rPr>
      </w:pPr>
      <w:r>
        <w:rPr>
          <w:rFonts w:hint="eastAsia" w:ascii="Times New Roman" w:hAnsi="Times New Roman" w:eastAsia="宋体" w:cs="Times New Roman"/>
          <w:color w:val="auto"/>
          <w:kern w:val="44"/>
          <w:sz w:val="24"/>
          <w:lang w:val="en-US" w:eastAsia="zh-CN"/>
        </w:rPr>
        <w:t>⑵</w:t>
      </w:r>
      <w:r>
        <w:rPr>
          <w:rFonts w:hint="default" w:ascii="Times New Roman" w:hAnsi="Times New Roman" w:eastAsia="宋体" w:cs="Times New Roman"/>
          <w:color w:val="auto"/>
          <w:kern w:val="44"/>
          <w:sz w:val="24"/>
        </w:rPr>
        <w:t>导热油炉燃烧废气</w:t>
      </w:r>
    </w:p>
    <w:p>
      <w:pPr>
        <w:spacing w:line="500" w:lineRule="exact"/>
        <w:ind w:firstLine="480" w:firstLineChars="200"/>
        <w:rPr>
          <w:rFonts w:hint="default" w:ascii="Times New Roman" w:hAnsi="Times New Roman" w:eastAsia="宋体" w:cs="Times New Roman"/>
          <w:color w:val="auto"/>
          <w:kern w:val="44"/>
          <w:sz w:val="24"/>
        </w:rPr>
      </w:pPr>
      <w:r>
        <w:rPr>
          <w:rFonts w:hint="default" w:ascii="Times New Roman" w:hAnsi="Times New Roman" w:eastAsia="宋体" w:cs="Times New Roman"/>
          <w:color w:val="auto"/>
          <w:kern w:val="44"/>
          <w:sz w:val="24"/>
        </w:rPr>
        <w:t>本次建设项目配套</w:t>
      </w:r>
      <w:r>
        <w:rPr>
          <w:rFonts w:hint="default" w:ascii="Times New Roman" w:hAnsi="Times New Roman" w:eastAsia="宋体" w:cs="Times New Roman"/>
          <w:color w:val="auto"/>
          <w:kern w:val="44"/>
          <w:sz w:val="24"/>
          <w:lang w:val="en-US" w:eastAsia="zh-CN"/>
        </w:rPr>
        <w:t>15</w:t>
      </w:r>
      <w:r>
        <w:rPr>
          <w:rFonts w:hint="default" w:ascii="Times New Roman" w:hAnsi="Times New Roman" w:eastAsia="宋体" w:cs="Times New Roman"/>
          <w:color w:val="auto"/>
          <w:kern w:val="44"/>
          <w:sz w:val="24"/>
        </w:rPr>
        <w:t>0万kcal/h的导热油炉一台，</w:t>
      </w:r>
      <w:r>
        <w:rPr>
          <w:rFonts w:hint="eastAsia" w:ascii="Times New Roman" w:hAnsi="Times New Roman" w:eastAsia="宋体" w:cs="Times New Roman"/>
          <w:color w:val="auto"/>
          <w:kern w:val="44"/>
          <w:sz w:val="24"/>
          <w:lang w:val="en-US" w:eastAsia="zh-CN"/>
        </w:rPr>
        <w:t>根据</w:t>
      </w:r>
      <w:r>
        <w:rPr>
          <w:rFonts w:hint="default" w:ascii="Times New Roman" w:hAnsi="Times New Roman" w:eastAsia="宋体" w:cs="Times New Roman"/>
          <w:color w:val="auto"/>
          <w:kern w:val="44"/>
          <w:sz w:val="24"/>
        </w:rPr>
        <w:t>《工业锅炉污染防治可行技术指南》（HJ1178-2021）</w:t>
      </w:r>
      <w:r>
        <w:rPr>
          <w:rFonts w:hint="eastAsia" w:ascii="Times New Roman" w:hAnsi="Times New Roman" w:eastAsia="宋体" w:cs="Times New Roman"/>
          <w:color w:val="auto"/>
          <w:kern w:val="44"/>
          <w:sz w:val="24"/>
          <w:lang w:val="en-US" w:eastAsia="zh-CN"/>
        </w:rPr>
        <w:t>要求，</w:t>
      </w:r>
      <w:r>
        <w:rPr>
          <w:rFonts w:hint="default" w:ascii="Times New Roman" w:hAnsi="Times New Roman" w:eastAsia="宋体" w:cs="Times New Roman"/>
          <w:color w:val="auto"/>
          <w:spacing w:val="4"/>
          <w:sz w:val="24"/>
        </w:rPr>
        <w:t>导热油炉设计采用预混式低氮燃烧技术。</w:t>
      </w:r>
      <w:r>
        <w:rPr>
          <w:rFonts w:hint="default" w:ascii="Times New Roman" w:hAnsi="Times New Roman" w:eastAsia="宋体" w:cs="Times New Roman"/>
          <w:color w:val="auto"/>
          <w:kern w:val="44"/>
          <w:sz w:val="24"/>
        </w:rPr>
        <w:t>主要为生产线的沥青加热</w:t>
      </w:r>
      <w:r>
        <w:rPr>
          <w:rFonts w:hint="default" w:ascii="Times New Roman" w:hAnsi="Times New Roman" w:eastAsia="宋体" w:cs="Times New Roman"/>
          <w:color w:val="auto"/>
          <w:kern w:val="44"/>
          <w:sz w:val="24"/>
          <w:lang w:eastAsia="zh-CN"/>
        </w:rPr>
        <w:t>、</w:t>
      </w:r>
      <w:r>
        <w:rPr>
          <w:rFonts w:hint="default" w:ascii="Times New Roman" w:hAnsi="Times New Roman" w:eastAsia="宋体" w:cs="Times New Roman"/>
          <w:color w:val="auto"/>
          <w:kern w:val="44"/>
          <w:sz w:val="24"/>
          <w:lang w:val="en-US" w:eastAsia="zh-CN"/>
        </w:rPr>
        <w:t>配料搅拌、烘干等</w:t>
      </w:r>
      <w:r>
        <w:rPr>
          <w:rFonts w:hint="default" w:ascii="Times New Roman" w:hAnsi="Times New Roman" w:eastAsia="宋体" w:cs="Times New Roman"/>
          <w:color w:val="auto"/>
          <w:kern w:val="44"/>
          <w:sz w:val="24"/>
        </w:rPr>
        <w:t>提供热源。</w:t>
      </w:r>
      <w:r>
        <w:rPr>
          <w:rFonts w:hint="default" w:ascii="Times New Roman" w:hAnsi="Times New Roman" w:eastAsia="宋体" w:cs="Times New Roman"/>
          <w:color w:val="auto"/>
          <w:spacing w:val="4"/>
          <w:sz w:val="24"/>
        </w:rPr>
        <w:t>导热油炉</w:t>
      </w:r>
      <w:r>
        <w:rPr>
          <w:rFonts w:hint="default" w:ascii="Times New Roman" w:hAnsi="Times New Roman" w:eastAsia="宋体" w:cs="Times New Roman"/>
          <w:color w:val="auto"/>
          <w:kern w:val="44"/>
          <w:sz w:val="24"/>
        </w:rPr>
        <w:t>热效率为85%，</w:t>
      </w:r>
      <w:r>
        <w:rPr>
          <w:rFonts w:hint="default" w:ascii="Times New Roman" w:hAnsi="Times New Roman" w:eastAsia="宋体" w:cs="Times New Roman"/>
          <w:color w:val="auto"/>
          <w:kern w:val="44"/>
          <w:sz w:val="24"/>
          <w:lang w:val="en-US" w:eastAsia="zh-CN"/>
        </w:rPr>
        <w:t>天然气</w:t>
      </w:r>
      <w:r>
        <w:rPr>
          <w:rFonts w:hint="default" w:ascii="Times New Roman" w:hAnsi="Times New Roman" w:eastAsia="宋体" w:cs="Times New Roman"/>
          <w:color w:val="auto"/>
          <w:kern w:val="44"/>
          <w:sz w:val="24"/>
        </w:rPr>
        <w:t>的热值为</w:t>
      </w:r>
      <w:r>
        <w:rPr>
          <w:rFonts w:hint="default" w:ascii="Times New Roman" w:hAnsi="Times New Roman" w:eastAsia="宋体" w:cs="Times New Roman"/>
          <w:color w:val="auto"/>
          <w:kern w:val="44"/>
          <w:sz w:val="24"/>
          <w:lang w:val="en-US" w:eastAsia="zh-CN"/>
        </w:rPr>
        <w:t>9</w:t>
      </w:r>
      <w:r>
        <w:rPr>
          <w:rFonts w:hint="default" w:ascii="Times New Roman" w:hAnsi="Times New Roman" w:eastAsia="宋体" w:cs="Times New Roman"/>
          <w:color w:val="auto"/>
          <w:kern w:val="44"/>
          <w:sz w:val="24"/>
        </w:rPr>
        <w:t>000大卡/</w:t>
      </w:r>
      <w:r>
        <w:rPr>
          <w:rFonts w:hint="default" w:ascii="Times New Roman" w:hAnsi="Times New Roman" w:eastAsia="宋体" w:cs="Times New Roman"/>
          <w:color w:val="auto"/>
          <w:kern w:val="44"/>
          <w:sz w:val="24"/>
          <w:lang w:val="en-US" w:eastAsia="zh-CN"/>
        </w:rPr>
        <w:t>m</w:t>
      </w:r>
      <w:r>
        <w:rPr>
          <w:rFonts w:hint="default" w:ascii="Times New Roman" w:hAnsi="Times New Roman" w:eastAsia="宋体" w:cs="Times New Roman"/>
          <w:color w:val="auto"/>
          <w:kern w:val="44"/>
          <w:sz w:val="24"/>
          <w:vertAlign w:val="superscript"/>
          <w:lang w:val="en-US" w:eastAsia="zh-CN"/>
        </w:rPr>
        <w:t>3</w:t>
      </w:r>
      <w:r>
        <w:rPr>
          <w:rFonts w:hint="default" w:ascii="Times New Roman" w:hAnsi="Times New Roman" w:eastAsia="宋体" w:cs="Times New Roman"/>
          <w:color w:val="auto"/>
          <w:kern w:val="44"/>
          <w:sz w:val="24"/>
        </w:rPr>
        <w:t>（</w:t>
      </w:r>
      <w:r>
        <w:rPr>
          <w:rFonts w:hint="default" w:ascii="Times New Roman" w:hAnsi="Times New Roman" w:eastAsia="宋体" w:cs="Times New Roman"/>
          <w:color w:val="auto"/>
          <w:kern w:val="44"/>
          <w:sz w:val="24"/>
          <w:lang w:val="en-US" w:eastAsia="zh-CN"/>
        </w:rPr>
        <w:t>37673</w:t>
      </w:r>
      <w:r>
        <w:rPr>
          <w:rFonts w:hint="default" w:ascii="Times New Roman" w:hAnsi="Times New Roman" w:eastAsia="宋体" w:cs="Times New Roman"/>
          <w:color w:val="auto"/>
          <w:kern w:val="44"/>
          <w:sz w:val="24"/>
        </w:rPr>
        <w:t>KJ/</w:t>
      </w:r>
      <w:r>
        <w:rPr>
          <w:rFonts w:hint="default" w:ascii="Times New Roman" w:hAnsi="Times New Roman" w:eastAsia="宋体" w:cs="Times New Roman"/>
          <w:color w:val="auto"/>
          <w:kern w:val="44"/>
          <w:sz w:val="24"/>
          <w:lang w:val="en-US" w:eastAsia="zh-CN"/>
        </w:rPr>
        <w:t>m</w:t>
      </w:r>
      <w:r>
        <w:rPr>
          <w:rFonts w:hint="default" w:ascii="Times New Roman" w:hAnsi="Times New Roman" w:eastAsia="宋体" w:cs="Times New Roman"/>
          <w:color w:val="auto"/>
          <w:kern w:val="44"/>
          <w:sz w:val="24"/>
          <w:vertAlign w:val="superscript"/>
          <w:lang w:val="en-US" w:eastAsia="zh-CN"/>
        </w:rPr>
        <w:t>3</w:t>
      </w:r>
      <w:r>
        <w:rPr>
          <w:rFonts w:hint="default" w:ascii="Times New Roman" w:hAnsi="Times New Roman" w:eastAsia="宋体" w:cs="Times New Roman"/>
          <w:color w:val="auto"/>
          <w:kern w:val="44"/>
          <w:sz w:val="24"/>
        </w:rPr>
        <w:t>），则该导热油炉小时耗</w:t>
      </w:r>
      <w:r>
        <w:rPr>
          <w:rFonts w:hint="default" w:ascii="Times New Roman" w:hAnsi="Times New Roman" w:eastAsia="宋体" w:cs="Times New Roman"/>
          <w:color w:val="auto"/>
          <w:kern w:val="44"/>
          <w:sz w:val="24"/>
          <w:lang w:val="en-US" w:eastAsia="zh-CN"/>
        </w:rPr>
        <w:t>天然气</w:t>
      </w:r>
      <w:r>
        <w:rPr>
          <w:rFonts w:hint="default" w:ascii="Times New Roman" w:hAnsi="Times New Roman" w:eastAsia="宋体" w:cs="Times New Roman"/>
          <w:color w:val="auto"/>
          <w:kern w:val="44"/>
          <w:sz w:val="24"/>
        </w:rPr>
        <w:t>量为：</w:t>
      </w:r>
    </w:p>
    <w:p>
      <w:pPr>
        <w:spacing w:line="500" w:lineRule="exact"/>
        <w:ind w:firstLine="480" w:firstLineChars="200"/>
        <w:rPr>
          <w:rFonts w:hint="default" w:ascii="Times New Roman" w:hAnsi="Times New Roman" w:eastAsia="宋体" w:cs="Times New Roman"/>
          <w:color w:val="auto"/>
          <w:kern w:val="44"/>
          <w:sz w:val="24"/>
        </w:rPr>
      </w:pPr>
      <w:r>
        <w:rPr>
          <w:rFonts w:hint="default" w:ascii="Times New Roman" w:hAnsi="Times New Roman" w:eastAsia="宋体" w:cs="Times New Roman"/>
          <w:color w:val="auto"/>
          <w:kern w:val="44"/>
          <w:sz w:val="24"/>
          <w:lang w:val="en-US" w:eastAsia="zh-CN"/>
        </w:rPr>
        <w:t>15</w:t>
      </w:r>
      <w:r>
        <w:rPr>
          <w:rFonts w:hint="default" w:ascii="Times New Roman" w:hAnsi="Times New Roman" w:eastAsia="宋体" w:cs="Times New Roman"/>
          <w:color w:val="auto"/>
          <w:kern w:val="44"/>
          <w:sz w:val="24"/>
        </w:rPr>
        <w:t>00000÷</w:t>
      </w:r>
      <w:r>
        <w:rPr>
          <w:rFonts w:hint="default" w:ascii="Times New Roman" w:hAnsi="Times New Roman" w:eastAsia="宋体" w:cs="Times New Roman"/>
          <w:color w:val="auto"/>
          <w:kern w:val="44"/>
          <w:sz w:val="24"/>
          <w:lang w:val="en-US" w:eastAsia="zh-CN"/>
        </w:rPr>
        <w:t>9</w:t>
      </w:r>
      <w:r>
        <w:rPr>
          <w:rFonts w:hint="default" w:ascii="Times New Roman" w:hAnsi="Times New Roman" w:eastAsia="宋体" w:cs="Times New Roman"/>
          <w:color w:val="auto"/>
          <w:kern w:val="44"/>
          <w:sz w:val="24"/>
        </w:rPr>
        <w:t>000÷85%≈</w:t>
      </w:r>
      <w:r>
        <w:rPr>
          <w:rFonts w:hint="default" w:ascii="Times New Roman" w:hAnsi="Times New Roman" w:eastAsia="宋体" w:cs="Times New Roman"/>
          <w:color w:val="auto"/>
          <w:kern w:val="44"/>
          <w:sz w:val="24"/>
          <w:lang w:val="en-US" w:eastAsia="zh-CN"/>
        </w:rPr>
        <w:t>196m</w:t>
      </w:r>
      <w:r>
        <w:rPr>
          <w:rFonts w:hint="default" w:ascii="Times New Roman" w:hAnsi="Times New Roman" w:eastAsia="宋体" w:cs="Times New Roman"/>
          <w:color w:val="auto"/>
          <w:kern w:val="44"/>
          <w:sz w:val="24"/>
          <w:vertAlign w:val="superscript"/>
          <w:lang w:val="en-US" w:eastAsia="zh-CN"/>
        </w:rPr>
        <w:t>3</w:t>
      </w:r>
      <w:r>
        <w:rPr>
          <w:rFonts w:hint="default" w:ascii="Times New Roman" w:hAnsi="Times New Roman" w:eastAsia="宋体" w:cs="Times New Roman"/>
          <w:color w:val="auto"/>
          <w:kern w:val="44"/>
          <w:sz w:val="24"/>
        </w:rPr>
        <w:t>/h</w:t>
      </w:r>
    </w:p>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kern w:val="44"/>
          <w:sz w:val="24"/>
        </w:rPr>
        <w:t>本项目正常年生产时间为</w:t>
      </w:r>
      <w:r>
        <w:rPr>
          <w:rFonts w:hint="default" w:ascii="Times New Roman" w:hAnsi="Times New Roman" w:eastAsia="宋体" w:cs="Times New Roman"/>
          <w:color w:val="auto"/>
          <w:kern w:val="44"/>
          <w:sz w:val="24"/>
          <w:lang w:val="en-US" w:eastAsia="zh-CN"/>
        </w:rPr>
        <w:t>24</w:t>
      </w:r>
      <w:r>
        <w:rPr>
          <w:rFonts w:hint="default" w:ascii="Times New Roman" w:hAnsi="Times New Roman" w:eastAsia="宋体" w:cs="Times New Roman"/>
          <w:color w:val="auto"/>
          <w:kern w:val="44"/>
          <w:sz w:val="24"/>
        </w:rPr>
        <w:t>00h，则</w:t>
      </w:r>
      <w:r>
        <w:rPr>
          <w:rFonts w:hint="default" w:ascii="Times New Roman" w:hAnsi="Times New Roman" w:eastAsia="宋体" w:cs="Times New Roman"/>
          <w:color w:val="auto"/>
          <w:kern w:val="44"/>
          <w:sz w:val="24"/>
          <w:lang w:val="en-US" w:eastAsia="zh-CN"/>
        </w:rPr>
        <w:t>天然气</w:t>
      </w:r>
      <w:r>
        <w:rPr>
          <w:rFonts w:hint="default" w:ascii="Times New Roman" w:hAnsi="Times New Roman" w:eastAsia="宋体" w:cs="Times New Roman"/>
          <w:color w:val="auto"/>
          <w:kern w:val="44"/>
          <w:sz w:val="24"/>
        </w:rPr>
        <w:t>消耗量为</w:t>
      </w:r>
      <w:r>
        <w:rPr>
          <w:rFonts w:hint="default" w:ascii="Times New Roman" w:hAnsi="Times New Roman" w:eastAsia="宋体" w:cs="Times New Roman"/>
          <w:color w:val="auto"/>
          <w:kern w:val="44"/>
          <w:sz w:val="24"/>
          <w:lang w:val="en-US" w:eastAsia="zh-CN"/>
        </w:rPr>
        <w:t>47万m</w:t>
      </w:r>
      <w:r>
        <w:rPr>
          <w:rFonts w:hint="default" w:ascii="Times New Roman" w:hAnsi="Times New Roman" w:eastAsia="宋体" w:cs="Times New Roman"/>
          <w:color w:val="auto"/>
          <w:kern w:val="44"/>
          <w:sz w:val="24"/>
          <w:vertAlign w:val="superscript"/>
          <w:lang w:val="en-US" w:eastAsia="zh-CN"/>
        </w:rPr>
        <w:t>3</w:t>
      </w:r>
      <w:r>
        <w:rPr>
          <w:rFonts w:hint="default" w:ascii="Times New Roman" w:hAnsi="Times New Roman" w:eastAsia="宋体" w:cs="Times New Roman"/>
          <w:color w:val="auto"/>
          <w:sz w:val="24"/>
        </w:rPr>
        <w:t>/a。</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根据《排污许可证申请与核发技术规范 锅炉》（HJ953-2018）烟气量参照以下公式进行计算：</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烟气量：V</w:t>
      </w:r>
      <w:r>
        <w:rPr>
          <w:rFonts w:hint="default" w:ascii="Times New Roman" w:hAnsi="Times New Roman" w:eastAsia="宋体" w:cs="Times New Roman"/>
          <w:color w:val="auto"/>
          <w:sz w:val="24"/>
          <w:vertAlign w:val="subscript"/>
        </w:rPr>
        <w:t>gy</w:t>
      </w:r>
      <w:r>
        <w:rPr>
          <w:rFonts w:hint="default" w:ascii="Times New Roman" w:hAnsi="Times New Roman" w:eastAsia="宋体" w:cs="Times New Roman"/>
          <w:color w:val="auto"/>
          <w:sz w:val="24"/>
        </w:rPr>
        <w:t>=0.2</w:t>
      </w:r>
      <w:r>
        <w:rPr>
          <w:rFonts w:hint="default" w:ascii="Times New Roman" w:hAnsi="Times New Roman" w:eastAsia="宋体" w:cs="Times New Roman"/>
          <w:color w:val="auto"/>
          <w:sz w:val="24"/>
          <w:lang w:val="en-US" w:eastAsia="zh-CN"/>
        </w:rPr>
        <w:t>85</w:t>
      </w: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net</w:t>
      </w:r>
      <w:r>
        <w:rPr>
          <w:rFonts w:hint="default" w:ascii="Times New Roman" w:hAnsi="Times New Roman" w:eastAsia="宋体" w:cs="Times New Roman"/>
          <w:color w:val="auto"/>
          <w:sz w:val="24"/>
        </w:rPr>
        <w:t>+0.343</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其中：V</w:t>
      </w:r>
      <w:r>
        <w:rPr>
          <w:rFonts w:hint="default" w:ascii="Times New Roman" w:hAnsi="Times New Roman" w:eastAsia="宋体" w:cs="Times New Roman"/>
          <w:color w:val="auto"/>
          <w:sz w:val="24"/>
          <w:vertAlign w:val="subscript"/>
        </w:rPr>
        <w:t>gy</w:t>
      </w:r>
      <w:r>
        <w:rPr>
          <w:rFonts w:hint="default" w:ascii="Times New Roman" w:hAnsi="Times New Roman" w:eastAsia="宋体" w:cs="Times New Roman"/>
          <w:color w:val="auto"/>
          <w:sz w:val="24"/>
        </w:rPr>
        <w:t>-基准烟气量（Nm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/kg燃料）；</w:t>
      </w:r>
    </w:p>
    <w:p>
      <w:pPr>
        <w:spacing w:line="460" w:lineRule="exact"/>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Q</w:t>
      </w:r>
      <w:r>
        <w:rPr>
          <w:rFonts w:hint="default" w:ascii="Times New Roman" w:hAnsi="Times New Roman" w:eastAsia="宋体" w:cs="Times New Roman"/>
          <w:color w:val="auto"/>
          <w:sz w:val="24"/>
          <w:vertAlign w:val="subscript"/>
        </w:rPr>
        <w:t>net</w:t>
      </w:r>
      <w:r>
        <w:rPr>
          <w:rFonts w:hint="default" w:ascii="Times New Roman" w:hAnsi="Times New Roman" w:eastAsia="宋体" w:cs="Times New Roman"/>
          <w:color w:val="auto"/>
          <w:sz w:val="24"/>
        </w:rPr>
        <w:t>-燃料收到基低位发热量值（MJ/</w:t>
      </w:r>
      <w:r>
        <w:rPr>
          <w:rFonts w:hint="eastAsia" w:ascii="Times New Roman" w:hAnsi="Times New Roman" w:eastAsia="宋体" w:cs="Times New Roman"/>
          <w:color w:val="auto"/>
          <w:sz w:val="24"/>
          <w:lang w:val="en-US" w:eastAsia="zh-CN"/>
        </w:rPr>
        <w:t>m</w:t>
      </w:r>
      <w:r>
        <w:rPr>
          <w:rFonts w:hint="eastAsia"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rPr>
        <w:t>，取</w:t>
      </w:r>
      <w:r>
        <w:rPr>
          <w:rFonts w:hint="default" w:ascii="Times New Roman" w:hAnsi="Times New Roman" w:eastAsia="宋体" w:cs="Times New Roman"/>
          <w:color w:val="auto"/>
          <w:sz w:val="24"/>
          <w:lang w:val="en-US" w:eastAsia="zh-CN"/>
        </w:rPr>
        <w:t>37.67</w:t>
      </w:r>
      <w:r>
        <w:rPr>
          <w:rFonts w:hint="default" w:ascii="Times New Roman" w:hAnsi="Times New Roman" w:eastAsia="宋体" w:cs="Times New Roman"/>
          <w:color w:val="auto"/>
          <w:sz w:val="24"/>
        </w:rPr>
        <w:t>）。</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由上式计算得出</w:t>
      </w:r>
      <w:r>
        <w:rPr>
          <w:rFonts w:hint="default" w:ascii="Times New Roman" w:hAnsi="Times New Roman" w:eastAsia="宋体" w:cs="Times New Roman"/>
          <w:color w:val="auto"/>
          <w:sz w:val="24"/>
          <w:lang w:val="en-US" w:eastAsia="zh-CN"/>
        </w:rPr>
        <w:t>导热油炉</w:t>
      </w:r>
      <w:r>
        <w:rPr>
          <w:rFonts w:hint="default" w:ascii="Times New Roman" w:hAnsi="Times New Roman" w:eastAsia="宋体" w:cs="Times New Roman"/>
          <w:color w:val="auto"/>
          <w:sz w:val="24"/>
        </w:rPr>
        <w:t>产生的烟气量为</w:t>
      </w:r>
      <w:r>
        <w:rPr>
          <w:rFonts w:hint="default" w:ascii="Times New Roman" w:hAnsi="Times New Roman" w:eastAsia="宋体" w:cs="Times New Roman"/>
          <w:color w:val="auto"/>
          <w:sz w:val="24"/>
          <w:lang w:val="en-US" w:eastAsia="zh-CN"/>
        </w:rPr>
        <w:t>11.08</w:t>
      </w:r>
      <w:r>
        <w:rPr>
          <w:rFonts w:hint="default" w:ascii="Times New Roman" w:hAnsi="Times New Roman" w:eastAsia="宋体" w:cs="Times New Roman"/>
          <w:color w:val="auto"/>
          <w:sz w:val="24"/>
        </w:rPr>
        <w:t>Nm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/kg，燃料消耗量为1</w:t>
      </w:r>
      <w:r>
        <w:rPr>
          <w:rFonts w:hint="default" w:ascii="Times New Roman" w:hAnsi="Times New Roman" w:eastAsia="宋体" w:cs="Times New Roman"/>
          <w:color w:val="auto"/>
          <w:kern w:val="44"/>
          <w:sz w:val="24"/>
          <w:lang w:val="en-US" w:eastAsia="zh-CN"/>
        </w:rPr>
        <w:t>96m</w:t>
      </w:r>
      <w:r>
        <w:rPr>
          <w:rFonts w:hint="default" w:ascii="Times New Roman" w:hAnsi="Times New Roman" w:eastAsia="宋体" w:cs="Times New Roman"/>
          <w:color w:val="auto"/>
          <w:kern w:val="44"/>
          <w:sz w:val="24"/>
          <w:vertAlign w:val="superscript"/>
          <w:lang w:val="en-US" w:eastAsia="zh-CN"/>
        </w:rPr>
        <w:t>3</w:t>
      </w:r>
      <w:r>
        <w:rPr>
          <w:rFonts w:hint="default" w:ascii="Times New Roman" w:hAnsi="Times New Roman" w:eastAsia="宋体" w:cs="Times New Roman"/>
          <w:color w:val="auto"/>
          <w:kern w:val="44"/>
          <w:sz w:val="24"/>
        </w:rPr>
        <w:t>/h</w:t>
      </w:r>
      <w:r>
        <w:rPr>
          <w:rFonts w:hint="default" w:ascii="Times New Roman" w:hAnsi="Times New Roman" w:eastAsia="宋体" w:cs="Times New Roman"/>
          <w:color w:val="auto"/>
          <w:sz w:val="24"/>
        </w:rPr>
        <w:t>，则烟气量为</w:t>
      </w:r>
      <w:r>
        <w:rPr>
          <w:rFonts w:hint="default" w:ascii="Times New Roman" w:hAnsi="Times New Roman" w:eastAsia="宋体" w:cs="Times New Roman"/>
          <w:color w:val="auto"/>
          <w:sz w:val="24"/>
          <w:lang w:val="en-US" w:eastAsia="zh-CN"/>
        </w:rPr>
        <w:t>2171.68</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/h</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A.烟尘</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烟尘类比同类型的导热油炉监测结果，能满足《锅炉大气污染物排放标准(DB14/1929-2019)》特别排放限值要求，本项目烟尘出口浓度能够达到</w:t>
      </w:r>
      <w:r>
        <w:rPr>
          <w:rFonts w:hint="eastAsia"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、排放量为0.0</w:t>
      </w:r>
      <w:r>
        <w:rPr>
          <w:rFonts w:hint="eastAsia" w:ascii="Times New Roman" w:hAnsi="Times New Roman" w:eastAsia="宋体" w:cs="Times New Roman"/>
          <w:color w:val="auto"/>
          <w:sz w:val="24"/>
          <w:lang w:val="en-US" w:eastAsia="zh-CN"/>
        </w:rPr>
        <w:t>26</w:t>
      </w:r>
      <w:r>
        <w:rPr>
          <w:rFonts w:hint="default" w:ascii="Times New Roman" w:hAnsi="Times New Roman" w:eastAsia="宋体" w:cs="Times New Roman"/>
          <w:color w:val="auto"/>
          <w:sz w:val="24"/>
        </w:rPr>
        <w:t>t/a。</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B.SO</w:t>
      </w:r>
      <w:r>
        <w:rPr>
          <w:rFonts w:hint="default" w:ascii="Times New Roman" w:hAnsi="Times New Roman" w:eastAsia="宋体" w:cs="Times New Roman"/>
          <w:color w:val="auto"/>
          <w:sz w:val="24"/>
          <w:vertAlign w:val="subscript"/>
        </w:rPr>
        <w:t>2</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SO</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类比同类型的导热油炉监测结果，能满足《锅炉大气污染物排放标准(DB14/1929-2019)》特别排放限值要求，本项目SO</w:t>
      </w:r>
      <w:r>
        <w:rPr>
          <w:rFonts w:hint="default" w:ascii="Times New Roman" w:hAnsi="Times New Roman" w:eastAsia="宋体" w:cs="Times New Roman"/>
          <w:color w:val="auto"/>
          <w:sz w:val="24"/>
          <w:vertAlign w:val="subscript"/>
        </w:rPr>
        <w:t>2</w:t>
      </w:r>
      <w:r>
        <w:rPr>
          <w:rFonts w:hint="default" w:ascii="Times New Roman" w:hAnsi="Times New Roman" w:eastAsia="宋体" w:cs="Times New Roman"/>
          <w:color w:val="auto"/>
          <w:sz w:val="24"/>
        </w:rPr>
        <w:t>出口浓度能够达到35mg/m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、排放量为0.</w:t>
      </w:r>
      <w:r>
        <w:rPr>
          <w:rFonts w:hint="default" w:ascii="Times New Roman" w:hAnsi="Times New Roman" w:eastAsia="宋体" w:cs="Times New Roman"/>
          <w:color w:val="auto"/>
          <w:sz w:val="24"/>
          <w:lang w:val="en-US" w:eastAsia="zh-CN"/>
        </w:rPr>
        <w:t>182</w:t>
      </w:r>
      <w:r>
        <w:rPr>
          <w:rFonts w:hint="default" w:ascii="Times New Roman" w:hAnsi="Times New Roman" w:eastAsia="宋体" w:cs="Times New Roman"/>
          <w:color w:val="auto"/>
          <w:sz w:val="24"/>
        </w:rPr>
        <w:t>t/a。</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C.NO</w:t>
      </w:r>
      <w:r>
        <w:rPr>
          <w:rFonts w:hint="default" w:ascii="Times New Roman" w:hAnsi="Times New Roman" w:eastAsia="宋体" w:cs="Times New Roman"/>
          <w:color w:val="auto"/>
          <w:sz w:val="24"/>
          <w:vertAlign w:val="subscript"/>
        </w:rPr>
        <w:t>x</w:t>
      </w:r>
    </w:p>
    <w:p>
      <w:pPr>
        <w:spacing w:line="46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根据</w:t>
      </w:r>
      <w:r>
        <w:rPr>
          <w:rFonts w:hint="default" w:ascii="Times New Roman" w:hAnsi="Times New Roman" w:eastAsia="宋体" w:cs="Times New Roman"/>
          <w:color w:val="auto"/>
          <w:sz w:val="24"/>
        </w:rPr>
        <w:t>《工业锅炉污染防治可行技术指南》</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导热油炉设预混式低氮燃烧</w:t>
      </w:r>
      <w:r>
        <w:rPr>
          <w:rFonts w:hint="eastAsia" w:ascii="Times New Roman" w:hAnsi="Times New Roman" w:eastAsia="宋体" w:cs="Times New Roman"/>
          <w:color w:val="auto"/>
          <w:sz w:val="24"/>
          <w:lang w:eastAsia="zh-CN"/>
        </w:rPr>
        <w:t>器</w:t>
      </w:r>
      <w:r>
        <w:rPr>
          <w:rFonts w:hint="eastAsia" w:ascii="Times New Roman" w:hAnsi="Times New Roman" w:eastAsia="宋体" w:cs="Times New Roman"/>
          <w:color w:val="auto"/>
          <w:sz w:val="24"/>
          <w:lang w:val="en-US" w:eastAsia="zh-CN"/>
        </w:rPr>
        <w:t>可使</w:t>
      </w:r>
      <w:r>
        <w:rPr>
          <w:rFonts w:hint="default" w:ascii="Times New Roman" w:hAnsi="Times New Roman" w:eastAsia="宋体" w:cs="Times New Roman"/>
          <w:color w:val="auto"/>
          <w:sz w:val="24"/>
        </w:rPr>
        <w:t>NO</w:t>
      </w:r>
      <w:r>
        <w:rPr>
          <w:rFonts w:hint="default" w:ascii="Times New Roman" w:hAnsi="Times New Roman" w:eastAsia="宋体" w:cs="Times New Roman"/>
          <w:color w:val="auto"/>
          <w:sz w:val="24"/>
          <w:vertAlign w:val="subscript"/>
        </w:rPr>
        <w:t>x</w:t>
      </w:r>
      <w:r>
        <w:rPr>
          <w:rFonts w:hint="default" w:ascii="Times New Roman" w:hAnsi="Times New Roman" w:eastAsia="宋体" w:cs="Times New Roman"/>
          <w:color w:val="auto"/>
          <w:sz w:val="24"/>
        </w:rPr>
        <w:t>浓度≤</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0mg/m</w:t>
      </w:r>
      <w:r>
        <w:rPr>
          <w:rFonts w:hint="default" w:ascii="Times New Roman" w:hAnsi="Times New Roman" w:eastAsia="宋体" w:cs="Times New Roman"/>
          <w:color w:val="auto"/>
          <w:sz w:val="24"/>
          <w:vertAlign w:val="superscript"/>
        </w:rPr>
        <w:t>3</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则</w:t>
      </w:r>
      <w:r>
        <w:rPr>
          <w:rFonts w:hint="default" w:ascii="Times New Roman" w:hAnsi="Times New Roman" w:eastAsia="宋体" w:cs="Times New Roman"/>
          <w:color w:val="auto"/>
          <w:sz w:val="24"/>
        </w:rPr>
        <w:t>排放量</w:t>
      </w:r>
      <w:r>
        <w:rPr>
          <w:rFonts w:hint="eastAsia" w:ascii="Times New Roman" w:hAnsi="Times New Roman" w:eastAsia="宋体" w:cs="Times New Roman"/>
          <w:color w:val="auto"/>
          <w:sz w:val="24"/>
          <w:lang w:val="en-US" w:eastAsia="zh-CN"/>
        </w:rPr>
        <w:t>为</w:t>
      </w:r>
      <w:r>
        <w:rPr>
          <w:rFonts w:hint="default" w:ascii="Times New Roman" w:hAnsi="Times New Roman" w:eastAsia="宋体" w:cs="Times New Roman"/>
          <w:color w:val="auto"/>
          <w:sz w:val="24"/>
        </w:rPr>
        <w:t>0.</w:t>
      </w:r>
      <w:r>
        <w:rPr>
          <w:rFonts w:hint="default" w:ascii="Times New Roman" w:hAnsi="Times New Roman" w:eastAsia="宋体" w:cs="Times New Roman"/>
          <w:color w:val="auto"/>
          <w:sz w:val="24"/>
          <w:lang w:val="en-US" w:eastAsia="zh-CN"/>
        </w:rPr>
        <w:t>261</w:t>
      </w:r>
      <w:r>
        <w:rPr>
          <w:rFonts w:hint="default" w:ascii="Times New Roman" w:hAnsi="Times New Roman" w:eastAsia="宋体" w:cs="Times New Roman"/>
          <w:color w:val="auto"/>
          <w:sz w:val="24"/>
        </w:rPr>
        <w:t>t/a。</w:t>
      </w:r>
    </w:p>
    <w:p>
      <w:pPr>
        <w:spacing w:line="50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b w:val="0"/>
          <w:bCs w:val="0"/>
          <w:color w:val="auto"/>
          <w:sz w:val="24"/>
          <w:lang w:val="en-US" w:eastAsia="zh-CN"/>
        </w:rPr>
        <w:t>⑶</w:t>
      </w:r>
      <w:r>
        <w:rPr>
          <w:rFonts w:hint="default" w:ascii="Times New Roman" w:hAnsi="Times New Roman" w:eastAsia="宋体" w:cs="Times New Roman"/>
          <w:b w:val="0"/>
          <w:bCs w:val="0"/>
          <w:color w:val="auto"/>
          <w:sz w:val="24"/>
          <w:lang w:val="en-US" w:eastAsia="zh-CN"/>
        </w:rPr>
        <w:t>沥青</w:t>
      </w:r>
      <w:r>
        <w:rPr>
          <w:rFonts w:hint="default" w:ascii="Times New Roman" w:hAnsi="Times New Roman" w:eastAsia="宋体" w:cs="Times New Roman"/>
          <w:b w:val="0"/>
          <w:bCs w:val="0"/>
          <w:color w:val="auto"/>
          <w:kern w:val="44"/>
          <w:sz w:val="24"/>
          <w:lang w:val="en-US" w:eastAsia="zh-CN"/>
        </w:rPr>
        <w:t>加</w:t>
      </w:r>
      <w:r>
        <w:rPr>
          <w:rFonts w:hint="default" w:ascii="Times New Roman" w:hAnsi="Times New Roman" w:eastAsia="宋体" w:cs="Times New Roman"/>
          <w:color w:val="auto"/>
          <w:kern w:val="44"/>
          <w:sz w:val="24"/>
          <w:lang w:val="en-US" w:eastAsia="zh-CN"/>
        </w:rPr>
        <w:t>热</w:t>
      </w:r>
      <w:r>
        <w:rPr>
          <w:rFonts w:hint="default" w:ascii="Times New Roman" w:hAnsi="Times New Roman" w:eastAsia="宋体" w:cs="Times New Roman"/>
          <w:color w:val="auto"/>
          <w:sz w:val="24"/>
          <w:szCs w:val="24"/>
          <w:highlight w:val="none"/>
          <w:lang w:val="en-US" w:eastAsia="zh-CN"/>
        </w:rPr>
        <w:t>储存</w:t>
      </w:r>
      <w:r>
        <w:rPr>
          <w:rFonts w:hint="default" w:ascii="Times New Roman" w:hAnsi="Times New Roman" w:eastAsia="宋体" w:cs="Times New Roman"/>
          <w:color w:val="auto"/>
          <w:kern w:val="44"/>
          <w:sz w:val="24"/>
        </w:rPr>
        <w:t>、</w:t>
      </w:r>
      <w:r>
        <w:rPr>
          <w:rFonts w:hint="default" w:ascii="Times New Roman" w:hAnsi="Times New Roman" w:eastAsia="宋体" w:cs="Times New Roman"/>
          <w:color w:val="auto"/>
          <w:sz w:val="24"/>
          <w:lang w:val="en-US" w:eastAsia="zh-CN"/>
        </w:rPr>
        <w:t>配料、</w:t>
      </w:r>
      <w:r>
        <w:rPr>
          <w:rFonts w:hint="default" w:ascii="Times New Roman" w:hAnsi="Times New Roman" w:eastAsia="宋体" w:cs="Times New Roman"/>
          <w:color w:val="auto"/>
          <w:sz w:val="24"/>
        </w:rPr>
        <w:t>搅拌、浸油、涂油</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覆膜</w:t>
      </w:r>
      <w:r>
        <w:rPr>
          <w:rFonts w:hint="eastAsia" w:ascii="Times New Roman" w:hAnsi="Times New Roman" w:eastAsia="宋体" w:cs="Times New Roman"/>
          <w:color w:val="auto"/>
          <w:sz w:val="24"/>
          <w:lang w:val="en-US" w:eastAsia="zh-CN"/>
        </w:rPr>
        <w:t>和冷却</w:t>
      </w:r>
      <w:r>
        <w:rPr>
          <w:rFonts w:hint="default" w:ascii="Times New Roman" w:hAnsi="Times New Roman" w:eastAsia="宋体" w:cs="Times New Roman"/>
          <w:color w:val="auto"/>
          <w:sz w:val="24"/>
        </w:rPr>
        <w:t>产生的废气</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本项目在沥青罐区的加热储存、</w:t>
      </w:r>
      <w:r>
        <w:rPr>
          <w:rFonts w:hint="default" w:ascii="Times New Roman" w:hAnsi="Times New Roman" w:eastAsia="宋体" w:cs="Times New Roman"/>
          <w:color w:val="auto"/>
          <w:sz w:val="24"/>
          <w:lang w:val="en-US" w:eastAsia="zh-CN"/>
        </w:rPr>
        <w:t>配料、</w:t>
      </w:r>
      <w:r>
        <w:rPr>
          <w:rFonts w:hint="default" w:ascii="Times New Roman" w:hAnsi="Times New Roman" w:eastAsia="宋体" w:cs="Times New Roman"/>
          <w:color w:val="auto"/>
          <w:sz w:val="24"/>
        </w:rPr>
        <w:t>搅拌</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szCs w:val="24"/>
          <w:highlight w:val="none"/>
          <w:lang w:val="en-US" w:eastAsia="zh-CN"/>
        </w:rPr>
        <w:t>浸油、涂油</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覆膜</w:t>
      </w:r>
      <w:r>
        <w:rPr>
          <w:rFonts w:hint="eastAsia" w:ascii="Times New Roman" w:hAnsi="Times New Roman" w:eastAsia="宋体" w:cs="Times New Roman"/>
          <w:color w:val="auto"/>
          <w:sz w:val="24"/>
          <w:lang w:val="en-US" w:eastAsia="zh-CN"/>
        </w:rPr>
        <w:t>和冷却</w:t>
      </w:r>
      <w:r>
        <w:rPr>
          <w:rFonts w:hint="default" w:ascii="Times New Roman" w:hAnsi="Times New Roman" w:eastAsia="宋体" w:cs="Times New Roman"/>
          <w:color w:val="auto"/>
          <w:sz w:val="24"/>
          <w:szCs w:val="24"/>
          <w:highlight w:val="none"/>
          <w:lang w:val="en-US" w:eastAsia="zh-CN"/>
        </w:rPr>
        <w:t>过程中会产生废气，主要为沥青烟、苯并[a]芘和非甲烷总烃。</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评价要求：在各机器上方设置集气罩经管道收集后通过一套废气净化装置处理后经15m高的排气筒排放。（处理工艺为：水喷淋处理+气液分离+电捕捉+活性炭吸附，设计</w:t>
      </w:r>
      <w:r>
        <w:rPr>
          <w:rFonts w:hint="eastAsia" w:ascii="Times New Roman" w:hAnsi="Times New Roman" w:eastAsia="宋体" w:cs="Times New Roman"/>
          <w:color w:val="auto"/>
          <w:sz w:val="24"/>
          <w:szCs w:val="24"/>
          <w:highlight w:val="none"/>
          <w:lang w:val="en-US" w:eastAsia="zh-CN"/>
        </w:rPr>
        <w:t>捕集效率95%，</w:t>
      </w:r>
      <w:r>
        <w:rPr>
          <w:rFonts w:hint="default" w:ascii="Times New Roman" w:hAnsi="Times New Roman" w:eastAsia="宋体" w:cs="Times New Roman"/>
          <w:color w:val="auto"/>
          <w:sz w:val="24"/>
          <w:szCs w:val="24"/>
          <w:highlight w:val="none"/>
          <w:lang w:val="en-US" w:eastAsia="zh-CN"/>
        </w:rPr>
        <w:t>净化效率为98%）。</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其中配料罐</w:t>
      </w:r>
      <w:r>
        <w:rPr>
          <w:rFonts w:hint="eastAsia" w:ascii="Times New Roman" w:hAnsi="Times New Roman" w:eastAsia="宋体" w:cs="Times New Roman"/>
          <w:color w:val="auto"/>
          <w:sz w:val="24"/>
          <w:szCs w:val="24"/>
          <w:highlight w:val="none"/>
          <w:lang w:val="en-US" w:eastAsia="zh-CN"/>
        </w:rPr>
        <w:t>顶吸式</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下面四面围挡）</w:t>
      </w:r>
      <w:r>
        <w:rPr>
          <w:rFonts w:hint="default" w:ascii="Times New Roman" w:hAnsi="Times New Roman" w:eastAsia="宋体" w:cs="Times New Roman"/>
          <w:color w:val="auto"/>
          <w:sz w:val="24"/>
          <w:szCs w:val="24"/>
          <w:highlight w:val="none"/>
          <w:lang w:val="en-US" w:eastAsia="zh-CN"/>
        </w:rPr>
        <w:t>高度为0.5m，集气罩罩口风速为0.6m/s，规格为：长0.</w:t>
      </w:r>
      <w:r>
        <w:rPr>
          <w:rFonts w:hint="eastAsia" w:ascii="Times New Roman" w:hAnsi="Times New Roman" w:eastAsia="宋体" w:cs="Times New Roman"/>
          <w:color w:val="auto"/>
          <w:sz w:val="24"/>
          <w:szCs w:val="24"/>
          <w:highlight w:val="none"/>
          <w:lang w:val="en-US" w:eastAsia="zh-CN"/>
        </w:rPr>
        <w:t>65</w:t>
      </w:r>
      <w:r>
        <w:rPr>
          <w:rFonts w:hint="default" w:ascii="Times New Roman" w:hAnsi="Times New Roman" w:eastAsia="宋体" w:cs="Times New Roman"/>
          <w:color w:val="auto"/>
          <w:sz w:val="24"/>
          <w:szCs w:val="24"/>
          <w:highlight w:val="none"/>
          <w:lang w:val="en-US" w:eastAsia="zh-CN"/>
        </w:rPr>
        <w:t>m，宽0.</w:t>
      </w:r>
      <w:r>
        <w:rPr>
          <w:rFonts w:hint="eastAsia" w:ascii="Times New Roman" w:hAnsi="Times New Roman" w:eastAsia="宋体" w:cs="Times New Roman"/>
          <w:color w:val="auto"/>
          <w:sz w:val="24"/>
          <w:szCs w:val="24"/>
          <w:highlight w:val="none"/>
          <w:lang w:val="en-US" w:eastAsia="zh-CN"/>
        </w:rPr>
        <w:t>65</w:t>
      </w:r>
      <w:r>
        <w:rPr>
          <w:rFonts w:hint="default" w:ascii="Times New Roman" w:hAnsi="Times New Roman" w:eastAsia="宋体" w:cs="Times New Roman"/>
          <w:color w:val="auto"/>
          <w:sz w:val="24"/>
          <w:szCs w:val="24"/>
          <w:highlight w:val="none"/>
          <w:lang w:val="en-US" w:eastAsia="zh-CN"/>
        </w:rPr>
        <w:t>m，面积为0.</w:t>
      </w:r>
      <w:r>
        <w:rPr>
          <w:rFonts w:hint="eastAsia" w:ascii="Times New Roman" w:hAnsi="Times New Roman" w:eastAsia="宋体" w:cs="Times New Roman"/>
          <w:color w:val="auto"/>
          <w:sz w:val="24"/>
          <w:szCs w:val="24"/>
          <w:highlight w:val="none"/>
          <w:lang w:val="en-US" w:eastAsia="zh-CN"/>
        </w:rPr>
        <w:t>42</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（共6个）</w:t>
      </w:r>
      <w:r>
        <w:rPr>
          <w:rFonts w:hint="eastAsia" w:ascii="Times New Roman" w:hAnsi="Times New Roman" w:eastAsia="宋体" w:cs="Times New Roman"/>
          <w:color w:val="auto"/>
          <w:sz w:val="24"/>
          <w:szCs w:val="24"/>
          <w:highlight w:val="none"/>
          <w:lang w:val="en-US" w:eastAsia="zh-CN"/>
        </w:rPr>
        <w:t>，均为</w:t>
      </w:r>
      <w:r>
        <w:rPr>
          <w:rFonts w:hint="default" w:ascii="Times New Roman" w:hAnsi="Times New Roman" w:eastAsia="宋体" w:cs="Times New Roman"/>
          <w:color w:val="auto"/>
          <w:sz w:val="24"/>
          <w:szCs w:val="24"/>
          <w:highlight w:val="none"/>
          <w:lang w:val="en-US" w:eastAsia="zh-CN"/>
        </w:rPr>
        <w:t>；浸油池</w:t>
      </w:r>
      <w:r>
        <w:rPr>
          <w:rFonts w:hint="eastAsia" w:ascii="Times New Roman" w:hAnsi="Times New Roman" w:eastAsia="宋体" w:cs="Times New Roman"/>
          <w:color w:val="auto"/>
          <w:sz w:val="24"/>
          <w:szCs w:val="24"/>
          <w:highlight w:val="none"/>
          <w:lang w:val="en-US" w:eastAsia="zh-CN"/>
        </w:rPr>
        <w:t>顶吸式</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下面四面围挡）</w:t>
      </w:r>
      <w:r>
        <w:rPr>
          <w:rFonts w:hint="default" w:ascii="Times New Roman" w:hAnsi="Times New Roman" w:eastAsia="宋体" w:cs="Times New Roman"/>
          <w:color w:val="auto"/>
          <w:sz w:val="24"/>
          <w:szCs w:val="24"/>
          <w:highlight w:val="none"/>
          <w:lang w:val="en-US" w:eastAsia="zh-CN"/>
        </w:rPr>
        <w:t>高度为0.5m，集气罩罩口风速为0.6m/s，长</w:t>
      </w:r>
      <w:r>
        <w:rPr>
          <w:rFonts w:hint="eastAsia" w:ascii="Times New Roman" w:hAnsi="Times New Roman" w:eastAsia="宋体" w:cs="Times New Roman"/>
          <w:color w:val="auto"/>
          <w:sz w:val="24"/>
          <w:szCs w:val="24"/>
          <w:highlight w:val="none"/>
          <w:lang w:val="en-US" w:eastAsia="zh-CN"/>
        </w:rPr>
        <w:t>2.75</w:t>
      </w:r>
      <w:r>
        <w:rPr>
          <w:rFonts w:hint="default" w:ascii="Times New Roman" w:hAnsi="Times New Roman" w:eastAsia="宋体" w:cs="Times New Roman"/>
          <w:color w:val="auto"/>
          <w:sz w:val="24"/>
          <w:szCs w:val="24"/>
          <w:highlight w:val="none"/>
          <w:lang w:val="en-US" w:eastAsia="zh-CN"/>
        </w:rPr>
        <w:t>m，宽1</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m，面积为</w:t>
      </w:r>
      <w:r>
        <w:rPr>
          <w:rFonts w:hint="eastAsia" w:ascii="Times New Roman" w:hAnsi="Times New Roman" w:eastAsia="宋体" w:cs="Times New Roman"/>
          <w:color w:val="auto"/>
          <w:sz w:val="24"/>
          <w:szCs w:val="24"/>
          <w:highlight w:val="none"/>
          <w:lang w:val="en-US" w:eastAsia="zh-CN"/>
        </w:rPr>
        <w:t>3.44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；涂油池</w:t>
      </w:r>
      <w:r>
        <w:rPr>
          <w:rFonts w:hint="eastAsia" w:ascii="Times New Roman" w:hAnsi="Times New Roman" w:eastAsia="宋体" w:cs="Times New Roman"/>
          <w:color w:val="auto"/>
          <w:sz w:val="24"/>
          <w:szCs w:val="24"/>
          <w:highlight w:val="none"/>
          <w:lang w:val="en-US" w:eastAsia="zh-CN"/>
        </w:rPr>
        <w:t>顶吸式</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下面四面围挡）</w:t>
      </w:r>
      <w:r>
        <w:rPr>
          <w:rFonts w:hint="default" w:ascii="Times New Roman" w:hAnsi="Times New Roman" w:eastAsia="宋体" w:cs="Times New Roman"/>
          <w:color w:val="auto"/>
          <w:sz w:val="24"/>
          <w:szCs w:val="24"/>
          <w:highlight w:val="none"/>
          <w:lang w:val="en-US" w:eastAsia="zh-CN"/>
        </w:rPr>
        <w:t>高度为0.5m，集气罩罩口风速为0.6m/s，长</w:t>
      </w:r>
      <w:r>
        <w:rPr>
          <w:rFonts w:hint="eastAsia" w:ascii="Times New Roman" w:hAnsi="Times New Roman" w:eastAsia="宋体" w:cs="Times New Roman"/>
          <w:color w:val="auto"/>
          <w:sz w:val="24"/>
          <w:szCs w:val="24"/>
          <w:highlight w:val="none"/>
          <w:lang w:val="en-US" w:eastAsia="zh-CN"/>
        </w:rPr>
        <w:t>2.75</w:t>
      </w:r>
      <w:r>
        <w:rPr>
          <w:rFonts w:hint="default" w:ascii="Times New Roman" w:hAnsi="Times New Roman" w:eastAsia="宋体" w:cs="Times New Roman"/>
          <w:color w:val="auto"/>
          <w:sz w:val="24"/>
          <w:szCs w:val="24"/>
          <w:highlight w:val="none"/>
          <w:lang w:val="en-US" w:eastAsia="zh-CN"/>
        </w:rPr>
        <w:t>m，宽1</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m，面积为</w:t>
      </w:r>
      <w:r>
        <w:rPr>
          <w:rFonts w:hint="eastAsia" w:ascii="Times New Roman" w:hAnsi="Times New Roman" w:eastAsia="宋体" w:cs="Times New Roman"/>
          <w:color w:val="auto"/>
          <w:sz w:val="24"/>
          <w:szCs w:val="24"/>
          <w:highlight w:val="none"/>
          <w:lang w:val="en-US" w:eastAsia="zh-CN"/>
        </w:rPr>
        <w:t>3.44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；覆膜机</w:t>
      </w:r>
      <w:r>
        <w:rPr>
          <w:rFonts w:hint="eastAsia" w:ascii="Times New Roman" w:hAnsi="Times New Roman" w:eastAsia="宋体" w:cs="Times New Roman"/>
          <w:color w:val="auto"/>
          <w:sz w:val="24"/>
          <w:szCs w:val="24"/>
          <w:highlight w:val="none"/>
          <w:lang w:val="en-US" w:eastAsia="zh-CN"/>
        </w:rPr>
        <w:t>顶吸式</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下面四面围挡）</w:t>
      </w:r>
      <w:r>
        <w:rPr>
          <w:rFonts w:hint="default" w:ascii="Times New Roman" w:hAnsi="Times New Roman" w:eastAsia="宋体" w:cs="Times New Roman"/>
          <w:color w:val="auto"/>
          <w:sz w:val="24"/>
          <w:szCs w:val="24"/>
          <w:highlight w:val="none"/>
          <w:lang w:val="en-US" w:eastAsia="zh-CN"/>
        </w:rPr>
        <w:t>高度为0.3m，集气罩罩口风速为0.6m/s，长1</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m，宽0.</w:t>
      </w:r>
      <w:r>
        <w:rPr>
          <w:rFonts w:hint="eastAsia" w:ascii="Times New Roman" w:hAnsi="Times New Roman" w:eastAsia="宋体"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m，面积为0.</w:t>
      </w:r>
      <w:r>
        <w:rPr>
          <w:rFonts w:hint="eastAsia" w:ascii="Times New Roman" w:hAnsi="Times New Roman" w:eastAsia="宋体" w:cs="Times New Roman"/>
          <w:color w:val="auto"/>
          <w:sz w:val="24"/>
          <w:szCs w:val="24"/>
          <w:highlight w:val="none"/>
          <w:lang w:val="en-US" w:eastAsia="zh-CN"/>
        </w:rPr>
        <w:t>94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lang w:val="en-US" w:eastAsia="zh-CN"/>
        </w:rPr>
        <w:t>冷却</w:t>
      </w:r>
      <w:r>
        <w:rPr>
          <w:rFonts w:hint="default" w:ascii="Times New Roman" w:hAnsi="Times New Roman" w:eastAsia="宋体" w:cs="Times New Roman"/>
          <w:color w:val="auto"/>
          <w:sz w:val="24"/>
          <w:szCs w:val="24"/>
          <w:highlight w:val="none"/>
          <w:lang w:val="en-US" w:eastAsia="zh-CN"/>
        </w:rPr>
        <w:t>机</w:t>
      </w:r>
      <w:r>
        <w:rPr>
          <w:rFonts w:hint="eastAsia" w:ascii="Times New Roman" w:hAnsi="Times New Roman" w:eastAsia="宋体" w:cs="Times New Roman"/>
          <w:color w:val="auto"/>
          <w:sz w:val="24"/>
          <w:szCs w:val="24"/>
          <w:highlight w:val="none"/>
          <w:lang w:val="en-US" w:eastAsia="zh-CN"/>
        </w:rPr>
        <w:t>顶吸式</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集气罩</w:t>
      </w:r>
      <w:r>
        <w:rPr>
          <w:rFonts w:hint="eastAsia" w:ascii="Times New Roman" w:hAnsi="Times New Roman" w:eastAsia="宋体" w:cs="Times New Roman"/>
          <w:color w:val="auto"/>
          <w:sz w:val="24"/>
          <w:szCs w:val="24"/>
          <w:highlight w:val="none"/>
          <w:lang w:val="en-US" w:eastAsia="zh-CN"/>
        </w:rPr>
        <w:t>下面四面围挡）</w:t>
      </w:r>
      <w:r>
        <w:rPr>
          <w:rFonts w:hint="default" w:ascii="Times New Roman" w:hAnsi="Times New Roman" w:eastAsia="宋体" w:cs="Times New Roman"/>
          <w:color w:val="auto"/>
          <w:sz w:val="24"/>
          <w:szCs w:val="24"/>
          <w:highlight w:val="none"/>
          <w:lang w:val="en-US" w:eastAsia="zh-CN"/>
        </w:rPr>
        <w:t>高度为0.3m，集气罩罩口风速为0.6m/s，长1</w:t>
      </w:r>
      <w:r>
        <w:rPr>
          <w:rFonts w:hint="eastAsia" w:ascii="Times New Roman" w:hAnsi="Times New Roman" w:eastAsia="宋体" w:cs="Times New Roman"/>
          <w:color w:val="auto"/>
          <w:sz w:val="24"/>
          <w:szCs w:val="24"/>
          <w:highlight w:val="none"/>
          <w:lang w:val="en-US" w:eastAsia="zh-CN"/>
        </w:rPr>
        <w:t>.25</w:t>
      </w:r>
      <w:r>
        <w:rPr>
          <w:rFonts w:hint="default" w:ascii="Times New Roman" w:hAnsi="Times New Roman" w:eastAsia="宋体" w:cs="Times New Roman"/>
          <w:color w:val="auto"/>
          <w:sz w:val="24"/>
          <w:szCs w:val="24"/>
          <w:highlight w:val="none"/>
          <w:lang w:val="en-US" w:eastAsia="zh-CN"/>
        </w:rPr>
        <w:t>m，宽0.</w:t>
      </w:r>
      <w:r>
        <w:rPr>
          <w:rFonts w:hint="eastAsia" w:ascii="Times New Roman" w:hAnsi="Times New Roman" w:eastAsia="宋体" w:cs="Times New Roman"/>
          <w:color w:val="auto"/>
          <w:sz w:val="24"/>
          <w:szCs w:val="24"/>
          <w:highlight w:val="none"/>
          <w:lang w:val="en-US" w:eastAsia="zh-CN"/>
        </w:rPr>
        <w:t>75</w:t>
      </w:r>
      <w:r>
        <w:rPr>
          <w:rFonts w:hint="default" w:ascii="Times New Roman" w:hAnsi="Times New Roman" w:eastAsia="宋体" w:cs="Times New Roman"/>
          <w:color w:val="auto"/>
          <w:sz w:val="24"/>
          <w:szCs w:val="24"/>
          <w:highlight w:val="none"/>
          <w:lang w:val="en-US" w:eastAsia="zh-CN"/>
        </w:rPr>
        <w:t>m，面积为</w:t>
      </w:r>
      <w:r>
        <w:rPr>
          <w:rFonts w:hint="eastAsia" w:ascii="Times New Roman" w:hAnsi="Times New Roman" w:eastAsia="宋体" w:cs="Times New Roman"/>
          <w:color w:val="auto"/>
          <w:sz w:val="24"/>
          <w:szCs w:val="24"/>
          <w:highlight w:val="none"/>
          <w:lang w:val="en-US" w:eastAsia="zh-CN"/>
        </w:rPr>
        <w:t>0.94</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lang w:val="en-US" w:eastAsia="zh-CN"/>
        </w:rPr>
        <w:t>收集的废气共用一套废气净化装置处理后经15m高的排气筒排放。</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风量计算：</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Q=3600FV，其中F=（A+0.5H）（B+0.5H）</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则计算风量为：Q=3600×（0.4+0.5×0.5）×（0.4+0.5×0.5）×0.6×6+3600×（2.5+0.5×0.5）×（1+0.5×0.5）×0.6+3600×（2.5+0.5×0.5）×（1+0.5×0.5）×0.6+3600×（1+0.5×0.5）×（0.5+0.5×0.5）×0.6+3600×（1+0.5×0.5）×（0.5+0.5×0.5）×0.6=2</w:t>
      </w:r>
      <w:r>
        <w:rPr>
          <w:rFonts w:hint="eastAsia" w:ascii="Times New Roman" w:hAnsi="Times New Roman" w:eastAsia="宋体" w:cs="Times New Roman"/>
          <w:color w:val="auto"/>
          <w:sz w:val="24"/>
          <w:szCs w:val="24"/>
          <w:highlight w:val="none"/>
          <w:lang w:val="en-US" w:eastAsia="zh-CN"/>
        </w:rPr>
        <w:t>4376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除尘器的漏风系数取0.1</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，则总气量为2</w:t>
      </w:r>
      <w:r>
        <w:rPr>
          <w:rFonts w:hint="eastAsia" w:ascii="Times New Roman" w:hAnsi="Times New Roman" w:eastAsia="宋体" w:cs="Times New Roman"/>
          <w:color w:val="auto"/>
          <w:sz w:val="24"/>
          <w:szCs w:val="24"/>
          <w:highlight w:val="none"/>
          <w:lang w:val="en-US" w:eastAsia="zh-CN"/>
        </w:rPr>
        <w:t>4376</w:t>
      </w:r>
      <w:r>
        <w:rPr>
          <w:rFonts w:hint="default" w:ascii="Times New Roman" w:hAnsi="Times New Roman" w:eastAsia="宋体" w:cs="Times New Roman"/>
          <w:color w:val="auto"/>
          <w:sz w:val="24"/>
          <w:szCs w:val="24"/>
          <w:highlight w:val="none"/>
          <w:lang w:val="en-US" w:eastAsia="zh-CN"/>
        </w:rPr>
        <w:t>×（1+0.1</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7301</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/h，本项目选用处理风量为2</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000m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/h的风机。</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活性炭技术参数见下表。</w:t>
      </w:r>
    </w:p>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1</w:t>
      </w:r>
      <w:r>
        <w:rPr>
          <w:rFonts w:hint="default" w:ascii="Times New Roman" w:hAnsi="Times New Roman" w:eastAsia="宋体" w:cs="Times New Roman"/>
          <w:bCs/>
          <w:color w:val="auto"/>
          <w:sz w:val="24"/>
        </w:rPr>
        <w:t xml:space="preserve">   活性炭吸附设备技术参数</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2316"/>
        <w:gridCol w:w="2150"/>
        <w:gridCol w:w="3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序号</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项目</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单位</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参数及数量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1</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设备阻力</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Pa</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2</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规格</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柱状活性炭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3</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过滤面积</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m</w:t>
            </w:r>
            <w:r>
              <w:rPr>
                <w:rFonts w:hint="eastAsia" w:ascii="Times New Roman" w:hAnsi="Times New Roman" w:eastAsia="宋体" w:cs="Times New Roman"/>
                <w:color w:val="auto"/>
                <w:sz w:val="24"/>
                <w:szCs w:val="24"/>
                <w:highlight w:val="none"/>
                <w:vertAlign w:val="superscript"/>
                <w:lang w:val="en-US" w:eastAsia="zh-CN"/>
              </w:rPr>
              <w:t>2</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4</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填充量</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m</w:t>
            </w:r>
            <w:r>
              <w:rPr>
                <w:rFonts w:hint="eastAsia" w:ascii="Times New Roman" w:hAnsi="Times New Roman" w:eastAsia="宋体" w:cs="Times New Roman"/>
                <w:color w:val="auto"/>
                <w:sz w:val="24"/>
                <w:szCs w:val="24"/>
                <w:highlight w:val="none"/>
                <w:vertAlign w:val="superscript"/>
                <w:lang w:val="en-US" w:eastAsia="zh-CN"/>
              </w:rPr>
              <w:t>3</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5</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比表面积</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m</w:t>
            </w:r>
            <w:r>
              <w:rPr>
                <w:rFonts w:hint="eastAsia"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vertAlign w:val="baseline"/>
                <w:lang w:val="en-US" w:eastAsia="zh-CN"/>
              </w:rPr>
              <w:t>/g</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880-1050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6</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空隙虑</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0.33-0.43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7</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堆积密度</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g/L</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400-600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8</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颗粒直径</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mm</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4.0-7.0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9</w:t>
            </w:r>
          </w:p>
        </w:tc>
        <w:tc>
          <w:tcPr>
            <w:tcW w:w="231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碘值</w:t>
            </w:r>
          </w:p>
        </w:tc>
        <w:tc>
          <w:tcPr>
            <w:tcW w:w="2150"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g/g</w:t>
            </w:r>
          </w:p>
        </w:tc>
        <w:tc>
          <w:tcPr>
            <w:tcW w:w="372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sz w:val="24"/>
                <w:szCs w:val="24"/>
                <w:highlight w:val="none"/>
                <w:vertAlign w:val="baseline"/>
                <w:lang w:val="en-US" w:eastAsia="zh-CN"/>
              </w:rPr>
              <w:t>800-1100</w:t>
            </w:r>
          </w:p>
        </w:tc>
      </w:tr>
    </w:tbl>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①沥青烟和苯并[a]芘</w:t>
      </w:r>
    </w:p>
    <w:p>
      <w:pPr>
        <w:pageBreakBefore w:val="0"/>
        <w:widowControl w:val="0"/>
        <w:kinsoku/>
        <w:wordWrap/>
        <w:overflowPunct/>
        <w:topLinePunct w:val="0"/>
        <w:autoSpaceDE/>
        <w:autoSpaceDN/>
        <w:bidi w:val="0"/>
        <w:adjustRightInd w:val="0"/>
        <w:snapToGrid w:val="0"/>
        <w:spacing w:line="480" w:lineRule="exact"/>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rPr>
        <w:t>参考《工业生产中的有害物质手册》第一卷（化学工业出版社，1987年12月出版）及《有机化合物污染化学》（清华大学出版社，1990 年8月出版），每吨石油沥青在加热过程中产生苯并[a]芘气体约0.10g~0.15g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本次环评取0.125g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szCs w:val="24"/>
          <w:lang w:val="en-US" w:eastAsia="zh-CN" w:bidi="ar"/>
        </w:rPr>
        <w:t>沥青烟562.5g</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本项目沥青年用量为</w:t>
      </w:r>
      <w:r>
        <w:rPr>
          <w:rFonts w:hint="default" w:ascii="Times New Roman" w:hAnsi="Times New Roman" w:eastAsia="宋体" w:cs="Times New Roman"/>
          <w:color w:val="auto"/>
          <w:sz w:val="24"/>
          <w:lang w:val="en-US" w:eastAsia="zh-CN"/>
        </w:rPr>
        <w:t>5400</w:t>
      </w:r>
      <w:r>
        <w:rPr>
          <w:rFonts w:hint="default" w:ascii="Times New Roman" w:hAnsi="Times New Roman" w:eastAsia="宋体" w:cs="Times New Roman"/>
          <w:color w:val="auto"/>
          <w:sz w:val="24"/>
        </w:rPr>
        <w:t>吨，则项目苯并[a]芘产生量约为</w:t>
      </w:r>
      <w:r>
        <w:rPr>
          <w:rFonts w:hint="default" w:ascii="Times New Roman" w:hAnsi="Times New Roman" w:eastAsia="宋体" w:cs="Times New Roman"/>
          <w:color w:val="auto"/>
          <w:sz w:val="24"/>
          <w:lang w:val="en-US" w:eastAsia="zh-CN"/>
        </w:rPr>
        <w:t>0.675</w:t>
      </w:r>
      <w:r>
        <w:rPr>
          <w:rFonts w:hint="default" w:ascii="Times New Roman" w:hAnsi="Times New Roman" w:eastAsia="宋体" w:cs="Times New Roman"/>
          <w:color w:val="auto"/>
          <w:sz w:val="24"/>
        </w:rPr>
        <w:t>kg/a，0.00</w:t>
      </w:r>
      <w:r>
        <w:rPr>
          <w:rFonts w:hint="default" w:ascii="Times New Roman" w:hAnsi="Times New Roman" w:eastAsia="宋体" w:cs="Times New Roman"/>
          <w:color w:val="auto"/>
          <w:sz w:val="24"/>
          <w:lang w:val="en-US" w:eastAsia="zh-CN"/>
        </w:rPr>
        <w:t>03</w:t>
      </w:r>
      <w:r>
        <w:rPr>
          <w:rFonts w:hint="default" w:ascii="Times New Roman" w:hAnsi="Times New Roman" w:eastAsia="宋体" w:cs="Times New Roman"/>
          <w:color w:val="auto"/>
          <w:sz w:val="24"/>
        </w:rPr>
        <w:t>kg/h，</w:t>
      </w:r>
      <w:r>
        <w:rPr>
          <w:rFonts w:hint="default" w:ascii="Times New Roman" w:hAnsi="Times New Roman" w:eastAsia="宋体" w:cs="Times New Roman"/>
          <w:color w:val="auto"/>
          <w:sz w:val="24"/>
          <w:lang w:val="en-US" w:eastAsia="zh-CN"/>
        </w:rPr>
        <w:t>产生</w:t>
      </w:r>
      <w:r>
        <w:rPr>
          <w:rFonts w:hint="default" w:ascii="Times New Roman" w:hAnsi="Times New Roman" w:eastAsia="宋体" w:cs="Times New Roman"/>
          <w:color w:val="auto"/>
          <w:sz w:val="24"/>
        </w:rPr>
        <w:t>浓度为</w:t>
      </w:r>
      <w:r>
        <w:rPr>
          <w:rFonts w:hint="default" w:ascii="Times New Roman" w:hAnsi="Times New Roman" w:eastAsia="宋体" w:cs="Times New Roman"/>
          <w:color w:val="auto"/>
          <w:sz w:val="24"/>
          <w:lang w:val="en-US" w:eastAsia="zh-CN"/>
        </w:rPr>
        <w:t>0.01</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vertAlign w:val="baseline"/>
          <w:lang w:eastAsia="zh-CN"/>
        </w:rPr>
        <w:t>；</w:t>
      </w:r>
      <w:r>
        <w:rPr>
          <w:rFonts w:hint="default" w:ascii="Times New Roman" w:hAnsi="Times New Roman" w:eastAsia="宋体" w:cs="Times New Roman"/>
          <w:color w:val="auto"/>
          <w:sz w:val="24"/>
        </w:rPr>
        <w:t>则沥青烟产生量约</w:t>
      </w:r>
      <w:r>
        <w:rPr>
          <w:rFonts w:hint="default" w:ascii="Times New Roman" w:hAnsi="Times New Roman" w:eastAsia="宋体" w:cs="Times New Roman"/>
          <w:color w:val="auto"/>
          <w:sz w:val="24"/>
          <w:lang w:val="en-US" w:eastAsia="zh-CN"/>
        </w:rPr>
        <w:t>3.038</w:t>
      </w:r>
      <w:r>
        <w:rPr>
          <w:rFonts w:hint="default" w:ascii="Times New Roman" w:hAnsi="Times New Roman" w:eastAsia="宋体" w:cs="Times New Roman"/>
          <w:color w:val="auto"/>
          <w:sz w:val="24"/>
        </w:rPr>
        <w:t>t/a，</w:t>
      </w:r>
      <w:r>
        <w:rPr>
          <w:rFonts w:hint="default" w:ascii="Times New Roman" w:hAnsi="Times New Roman" w:eastAsia="宋体" w:cs="Times New Roman"/>
          <w:color w:val="auto"/>
          <w:sz w:val="24"/>
          <w:lang w:val="en-US" w:eastAsia="zh-CN"/>
        </w:rPr>
        <w:t>1.266</w:t>
      </w:r>
      <w:r>
        <w:rPr>
          <w:rFonts w:hint="default" w:ascii="Times New Roman" w:hAnsi="Times New Roman" w:eastAsia="宋体" w:cs="Times New Roman"/>
          <w:color w:val="auto"/>
          <w:sz w:val="24"/>
        </w:rPr>
        <w:t>kg/h</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产生</w:t>
      </w:r>
      <w:r>
        <w:rPr>
          <w:rFonts w:hint="default" w:ascii="Times New Roman" w:hAnsi="Times New Roman" w:eastAsia="宋体" w:cs="Times New Roman"/>
          <w:color w:val="auto"/>
          <w:sz w:val="24"/>
        </w:rPr>
        <w:t>浓度为</w:t>
      </w:r>
      <w:r>
        <w:rPr>
          <w:rFonts w:hint="eastAsia" w:ascii="Times New Roman" w:hAnsi="Times New Roman" w:eastAsia="宋体" w:cs="Times New Roman"/>
          <w:color w:val="auto"/>
          <w:sz w:val="24"/>
          <w:lang w:val="en-US" w:eastAsia="zh-CN"/>
        </w:rPr>
        <w:t>45.21</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p>
    <w:p>
      <w:pPr>
        <w:pStyle w:val="2"/>
        <w:keepNext w:val="0"/>
        <w:keepLines w:val="0"/>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②非甲烷总烃</w:t>
      </w:r>
    </w:p>
    <w:p>
      <w:pPr>
        <w:pStyle w:val="2"/>
        <w:keepNext w:val="0"/>
        <w:keepLines w:val="0"/>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SBS受热分解产生非甲烷总烃，参照《第二次污染源普查系数手册》中“塑料制品行业系数手册”，树脂配料混合过程中非甲烷总烃产污系数为2.5kg/t。本项目SBS年使用量900t，则SBS受热分解产生非甲烷总烃2.25t/a。</w:t>
      </w:r>
    </w:p>
    <w:p>
      <w:pPr>
        <w:pStyle w:val="2"/>
        <w:keepNext w:val="0"/>
        <w:keepLines w:val="0"/>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橡胶油在高温下会挥发有机废气，根据《环境统计手册》中有害物质敞露存放挥发量公示计算：Gs=(5.38+4.1V)P</w:t>
      </w:r>
      <w:r>
        <w:rPr>
          <w:rFonts w:hint="default" w:ascii="Times New Roman" w:hAnsi="Times New Roman" w:eastAsia="宋体" w:cs="Times New Roman"/>
          <w:color w:val="auto"/>
          <w:sz w:val="24"/>
          <w:vertAlign w:val="subscript"/>
          <w:lang w:val="en-US" w:eastAsia="zh-CN"/>
        </w:rPr>
        <w:t>H</w:t>
      </w:r>
      <w:r>
        <w:rPr>
          <w:rFonts w:hint="default" w:ascii="Times New Roman" w:hAnsi="Times New Roman" w:eastAsia="宋体" w:cs="Times New Roman"/>
          <w:color w:val="auto"/>
          <w:sz w:val="24"/>
          <w:lang w:val="en-US" w:eastAsia="zh-CN"/>
        </w:rPr>
        <w:t>×F×(M)</w:t>
      </w:r>
      <w:r>
        <w:rPr>
          <w:rFonts w:hint="default" w:ascii="Times New Roman" w:hAnsi="Times New Roman" w:eastAsia="宋体" w:cs="Times New Roman"/>
          <w:color w:val="auto"/>
          <w:sz w:val="24"/>
          <w:vertAlign w:val="superscript"/>
          <w:lang w:val="en-US" w:eastAsia="zh-CN"/>
        </w:rPr>
        <w:t>0.5</w:t>
      </w:r>
      <w:r>
        <w:rPr>
          <w:rFonts w:hint="default" w:ascii="Times New Roman" w:hAnsi="Times New Roman" w:eastAsia="宋体" w:cs="Times New Roman"/>
          <w:color w:val="auto"/>
          <w:sz w:val="24"/>
          <w:lang w:val="en-US" w:eastAsia="zh-CN"/>
        </w:rPr>
        <w:t>（式中 Gs-物质散发量g/h，V-车间或室内风速取0.3m/s，P</w:t>
      </w:r>
      <w:r>
        <w:rPr>
          <w:rFonts w:hint="default" w:ascii="Times New Roman" w:hAnsi="Times New Roman" w:eastAsia="宋体" w:cs="Times New Roman"/>
          <w:color w:val="auto"/>
          <w:sz w:val="24"/>
          <w:vertAlign w:val="subscript"/>
          <w:lang w:val="en-US" w:eastAsia="zh-CN"/>
        </w:rPr>
        <w:t>H</w:t>
      </w:r>
      <w:r>
        <w:rPr>
          <w:rFonts w:hint="default" w:ascii="Times New Roman" w:hAnsi="Times New Roman" w:eastAsia="宋体" w:cs="Times New Roman"/>
          <w:color w:val="auto"/>
          <w:sz w:val="24"/>
          <w:lang w:val="en-US" w:eastAsia="zh-CN"/>
        </w:rPr>
        <w:t>-物质的饱和蒸汽压力1.13mmHg，F-敞露面积12.42m</w:t>
      </w:r>
      <w:r>
        <w:rPr>
          <w:rFonts w:hint="default" w:ascii="Times New Roman" w:hAnsi="Times New Roman" w:eastAsia="宋体" w:cs="Times New Roman"/>
          <w:color w:val="auto"/>
          <w:sz w:val="24"/>
          <w:vertAlign w:val="superscript"/>
          <w:lang w:val="en-US" w:eastAsia="zh-CN"/>
        </w:rPr>
        <w:t>2</w:t>
      </w:r>
      <w:r>
        <w:rPr>
          <w:rFonts w:hint="default" w:ascii="Times New Roman" w:hAnsi="Times New Roman" w:eastAsia="宋体" w:cs="Times New Roman"/>
          <w:color w:val="auto"/>
          <w:sz w:val="24"/>
          <w:lang w:val="en-US" w:eastAsia="zh-CN"/>
        </w:rPr>
        <w:t>，M-物质分子量取560）。本次评价以非甲烷总烃计，则非甲烷总烃的产污系数为2.19kg/h，则产生非甲烷总烃5.256t/a。</w:t>
      </w:r>
    </w:p>
    <w:p>
      <w:pPr>
        <w:keepNext w:val="0"/>
        <w:keepLines w:val="0"/>
        <w:pageBreakBefore w:val="0"/>
        <w:widowControl/>
        <w:suppressLineNumbers w:val="0"/>
        <w:kinsoku/>
        <w:wordWrap/>
        <w:overflowPunct/>
        <w:topLinePunct w:val="0"/>
        <w:bidi w:val="0"/>
        <w:adjustRightInd/>
        <w:snapToGrid/>
        <w:spacing w:line="460" w:lineRule="exact"/>
        <w:ind w:firstLine="480" w:firstLineChars="200"/>
        <w:jc w:val="left"/>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z w:val="24"/>
        </w:rPr>
        <w:t>聚乙烯</w:t>
      </w:r>
      <w:r>
        <w:rPr>
          <w:rFonts w:hint="default" w:ascii="Times New Roman" w:hAnsi="Times New Roman" w:eastAsia="宋体" w:cs="Times New Roman"/>
          <w:color w:val="auto"/>
          <w:kern w:val="0"/>
          <w:sz w:val="24"/>
          <w:szCs w:val="24"/>
          <w:lang w:val="en-US" w:eastAsia="zh-CN" w:bidi="ar"/>
        </w:rPr>
        <w:t>膜覆膜过程中会有一定的有机废气产生，污染物以非甲烷总烃计，参照《第二次污染源普查系数手册》中“塑料制品行业系数手册”，有机废气产污系数为2.5kg/t。</w:t>
      </w:r>
      <w:r>
        <w:rPr>
          <w:rFonts w:hint="default" w:ascii="Times New Roman" w:hAnsi="Times New Roman" w:eastAsia="宋体" w:cs="Times New Roman"/>
          <w:color w:val="auto"/>
          <w:sz w:val="24"/>
        </w:rPr>
        <w:t>聚乙烯</w:t>
      </w:r>
      <w:r>
        <w:rPr>
          <w:rFonts w:hint="default" w:ascii="Times New Roman" w:hAnsi="Times New Roman" w:eastAsia="宋体" w:cs="Times New Roman"/>
          <w:color w:val="auto"/>
          <w:kern w:val="0"/>
          <w:sz w:val="24"/>
          <w:szCs w:val="24"/>
          <w:lang w:val="en-US" w:eastAsia="zh-CN" w:bidi="ar"/>
        </w:rPr>
        <w:t>膜135t。则非甲烷总烃产生量为0.338t/a。</w:t>
      </w:r>
    </w:p>
    <w:p>
      <w:pPr>
        <w:pStyle w:val="2"/>
        <w:keepNext w:val="0"/>
        <w:keepLines w:val="0"/>
        <w:pageBreakBefore w:val="0"/>
        <w:kinsoku/>
        <w:wordWrap/>
        <w:overflowPunct/>
        <w:topLinePunct w:val="0"/>
        <w:bidi w:val="0"/>
        <w:adjustRightInd/>
        <w:snapToGrid/>
        <w:spacing w:line="460" w:lineRule="exact"/>
        <w:ind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szCs w:val="24"/>
          <w:highlight w:val="none"/>
          <w:lang w:val="en-US" w:eastAsia="zh-CN"/>
        </w:rPr>
        <w:t>综上，</w:t>
      </w:r>
      <w:r>
        <w:rPr>
          <w:rFonts w:hint="default" w:ascii="Times New Roman" w:hAnsi="Times New Roman" w:eastAsia="宋体" w:cs="Times New Roman"/>
          <w:color w:val="auto"/>
          <w:kern w:val="0"/>
          <w:sz w:val="24"/>
          <w:szCs w:val="24"/>
          <w:lang w:val="en-US" w:eastAsia="zh-CN" w:bidi="ar"/>
        </w:rPr>
        <w:t>非甲烷总烃产生量为7.844t/a</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3.268</w:t>
      </w:r>
      <w:r>
        <w:rPr>
          <w:rFonts w:hint="default" w:ascii="Times New Roman" w:hAnsi="Times New Roman" w:eastAsia="宋体" w:cs="Times New Roman"/>
          <w:color w:val="auto"/>
          <w:sz w:val="24"/>
        </w:rPr>
        <w:t>kg/h</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产生</w:t>
      </w:r>
      <w:r>
        <w:rPr>
          <w:rFonts w:hint="default" w:ascii="Times New Roman" w:hAnsi="Times New Roman" w:eastAsia="宋体" w:cs="Times New Roman"/>
          <w:color w:val="auto"/>
          <w:sz w:val="24"/>
        </w:rPr>
        <w:t>浓度为</w:t>
      </w:r>
      <w:r>
        <w:rPr>
          <w:rFonts w:hint="eastAsia" w:cs="Times New Roman"/>
          <w:color w:val="auto"/>
          <w:sz w:val="24"/>
          <w:lang w:val="en-US" w:eastAsia="zh-CN"/>
        </w:rPr>
        <w:t>116.71</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p>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评价要求，</w:t>
      </w:r>
      <w:r>
        <w:rPr>
          <w:rFonts w:hint="default" w:ascii="Times New Roman" w:hAnsi="Times New Roman" w:eastAsia="宋体" w:cs="Times New Roman"/>
          <w:color w:val="auto"/>
          <w:sz w:val="24"/>
          <w:lang w:val="en-US" w:eastAsia="zh-CN"/>
        </w:rPr>
        <w:t>配料、</w:t>
      </w:r>
      <w:r>
        <w:rPr>
          <w:rFonts w:hint="default" w:ascii="Times New Roman" w:hAnsi="Times New Roman" w:eastAsia="宋体" w:cs="Times New Roman"/>
          <w:color w:val="auto"/>
          <w:sz w:val="24"/>
        </w:rPr>
        <w:t>搅拌、浸油、涂油</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覆膜</w:t>
      </w:r>
      <w:r>
        <w:rPr>
          <w:rFonts w:hint="eastAsia" w:ascii="Times New Roman" w:hAnsi="Times New Roman" w:eastAsia="宋体" w:cs="Times New Roman"/>
          <w:color w:val="auto"/>
          <w:sz w:val="24"/>
          <w:lang w:val="en-US" w:eastAsia="zh-CN"/>
        </w:rPr>
        <w:t>和冷却</w:t>
      </w:r>
      <w:r>
        <w:rPr>
          <w:rFonts w:hint="default" w:ascii="Times New Roman" w:hAnsi="Times New Roman" w:eastAsia="宋体" w:cs="Times New Roman"/>
          <w:color w:val="auto"/>
          <w:sz w:val="24"/>
        </w:rPr>
        <w:t>产生的废气经集气装置统一收集，</w:t>
      </w:r>
      <w:r>
        <w:rPr>
          <w:rFonts w:hint="default" w:ascii="Times New Roman" w:hAnsi="Times New Roman" w:eastAsia="宋体" w:cs="Times New Roman"/>
          <w:color w:val="auto"/>
          <w:kern w:val="44"/>
          <w:sz w:val="24"/>
        </w:rPr>
        <w:t>沥青储罐呼吸</w:t>
      </w:r>
      <w:r>
        <w:rPr>
          <w:rFonts w:hint="default" w:ascii="Times New Roman" w:hAnsi="Times New Roman" w:eastAsia="宋体" w:cs="Times New Roman"/>
          <w:color w:val="auto"/>
          <w:sz w:val="24"/>
        </w:rPr>
        <w:t>经管道收集，一同经</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szCs w:val="24"/>
          <w:highlight w:val="none"/>
          <w:lang w:val="en-US" w:eastAsia="zh-CN"/>
        </w:rPr>
        <w:t>水喷淋处理+气液分离+电捕捉+活性炭吸附</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进行治理（</w:t>
      </w:r>
      <w:r>
        <w:rPr>
          <w:rFonts w:hint="default" w:ascii="Times New Roman" w:hAnsi="Times New Roman" w:eastAsia="宋体" w:cs="Times New Roman"/>
          <w:color w:val="auto"/>
          <w:sz w:val="24"/>
          <w:szCs w:val="24"/>
          <w:highlight w:val="none"/>
          <w:lang w:val="en-US" w:eastAsia="zh-CN"/>
        </w:rPr>
        <w:t>设计</w:t>
      </w:r>
      <w:r>
        <w:rPr>
          <w:rFonts w:hint="eastAsia" w:ascii="Times New Roman" w:hAnsi="Times New Roman" w:eastAsia="宋体" w:cs="Times New Roman"/>
          <w:color w:val="auto"/>
          <w:sz w:val="24"/>
          <w:szCs w:val="24"/>
          <w:highlight w:val="none"/>
          <w:lang w:val="en-US" w:eastAsia="zh-CN"/>
        </w:rPr>
        <w:t>捕集效率95%，</w:t>
      </w:r>
      <w:r>
        <w:rPr>
          <w:rFonts w:hint="default" w:ascii="Times New Roman" w:hAnsi="Times New Roman" w:eastAsia="宋体" w:cs="Times New Roman"/>
          <w:color w:val="auto"/>
          <w:sz w:val="24"/>
          <w:szCs w:val="24"/>
          <w:highlight w:val="none"/>
          <w:lang w:val="en-US" w:eastAsia="zh-CN"/>
        </w:rPr>
        <w:t>净化效率为98%</w:t>
      </w:r>
      <w:r>
        <w:rPr>
          <w:rFonts w:hint="default" w:ascii="Times New Roman" w:hAnsi="Times New Roman" w:eastAsia="宋体" w:cs="Times New Roman"/>
          <w:color w:val="auto"/>
          <w:sz w:val="24"/>
        </w:rPr>
        <w:t>），风量</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8</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00m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/h，处理后经</w:t>
      </w:r>
      <w:r>
        <w:rPr>
          <w:rFonts w:hint="default" w:ascii="Times New Roman" w:hAnsi="Times New Roman" w:eastAsia="宋体" w:cs="Times New Roman"/>
          <w:color w:val="auto"/>
          <w:sz w:val="24"/>
          <w:lang w:val="en-US" w:eastAsia="zh-CN"/>
        </w:rPr>
        <w:t>15</w:t>
      </w:r>
      <w:r>
        <w:rPr>
          <w:rFonts w:hint="default" w:ascii="Times New Roman" w:hAnsi="Times New Roman" w:eastAsia="宋体" w:cs="Times New Roman"/>
          <w:color w:val="auto"/>
          <w:sz w:val="24"/>
        </w:rPr>
        <w:t>m高排气筒排放。则苯并[a]芘排放量为0.0</w:t>
      </w:r>
      <w:r>
        <w:rPr>
          <w:rFonts w:hint="default" w:ascii="Times New Roman" w:hAnsi="Times New Roman" w:eastAsia="宋体" w:cs="Times New Roman"/>
          <w:color w:val="auto"/>
          <w:sz w:val="24"/>
          <w:lang w:val="en-US" w:eastAsia="zh-CN"/>
        </w:rPr>
        <w:t>135</w:t>
      </w:r>
      <w:r>
        <w:rPr>
          <w:rFonts w:hint="default" w:ascii="Times New Roman" w:hAnsi="Times New Roman" w:eastAsia="宋体" w:cs="Times New Roman"/>
          <w:color w:val="auto"/>
          <w:sz w:val="24"/>
        </w:rPr>
        <w:t>kg/a，排放速率为0.0</w:t>
      </w:r>
      <w:r>
        <w:rPr>
          <w:rFonts w:hint="default" w:ascii="Times New Roman" w:hAnsi="Times New Roman" w:eastAsia="宋体" w:cs="Times New Roman"/>
          <w:color w:val="auto"/>
          <w:sz w:val="24"/>
          <w:lang w:val="en-US" w:eastAsia="zh-CN"/>
        </w:rPr>
        <w:t>0</w:t>
      </w:r>
      <w:r>
        <w:rPr>
          <w:rFonts w:hint="eastAsia"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×10</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kg/h，排放浓度为0.</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01</w:t>
      </w:r>
      <w:r>
        <w:rPr>
          <w:rFonts w:hint="default" w:ascii="Times New Roman" w:hAnsi="Times New Roman" w:eastAsia="宋体" w:cs="Times New Roman"/>
          <w:color w:val="auto"/>
          <w:sz w:val="24"/>
        </w:rPr>
        <w:t>×10</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；沥青烟的排放量为</w:t>
      </w:r>
      <w:r>
        <w:rPr>
          <w:rFonts w:hint="default" w:ascii="Times New Roman" w:hAnsi="Times New Roman" w:eastAsia="宋体" w:cs="Times New Roman"/>
          <w:color w:val="auto"/>
          <w:sz w:val="24"/>
          <w:lang w:val="en-US" w:eastAsia="zh-CN"/>
        </w:rPr>
        <w:t>0.061t</w:t>
      </w:r>
      <w:r>
        <w:rPr>
          <w:rFonts w:hint="default" w:ascii="Times New Roman" w:hAnsi="Times New Roman" w:eastAsia="宋体" w:cs="Times New Roman"/>
          <w:color w:val="auto"/>
          <w:sz w:val="24"/>
        </w:rPr>
        <w:t>/a，排放速率为0.</w:t>
      </w:r>
      <w:r>
        <w:rPr>
          <w:rFonts w:hint="default" w:ascii="Times New Roman" w:hAnsi="Times New Roman" w:eastAsia="宋体" w:cs="Times New Roman"/>
          <w:color w:val="auto"/>
          <w:sz w:val="24"/>
          <w:lang w:val="en-US" w:eastAsia="zh-CN"/>
        </w:rPr>
        <w:t>025</w:t>
      </w:r>
      <w:r>
        <w:rPr>
          <w:rFonts w:hint="default" w:ascii="Times New Roman" w:hAnsi="Times New Roman" w:eastAsia="宋体" w:cs="Times New Roman"/>
          <w:color w:val="auto"/>
          <w:sz w:val="24"/>
        </w:rPr>
        <w:t>kg/h，排放浓度为</w:t>
      </w:r>
      <w:r>
        <w:rPr>
          <w:rFonts w:hint="eastAsia" w:ascii="Times New Roman" w:hAnsi="Times New Roman" w:eastAsia="宋体" w:cs="Times New Roman"/>
          <w:color w:val="auto"/>
          <w:sz w:val="24"/>
          <w:lang w:val="en-US" w:eastAsia="zh-CN"/>
        </w:rPr>
        <w:t>0.89</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非甲烷总烃</w:t>
      </w:r>
      <w:r>
        <w:rPr>
          <w:rFonts w:hint="default" w:ascii="Times New Roman" w:hAnsi="Times New Roman" w:eastAsia="宋体" w:cs="Times New Roman"/>
          <w:color w:val="auto"/>
          <w:sz w:val="24"/>
        </w:rPr>
        <w:t>的排放量为</w:t>
      </w:r>
      <w:r>
        <w:rPr>
          <w:rFonts w:hint="default" w:ascii="Times New Roman" w:hAnsi="Times New Roman" w:eastAsia="宋体" w:cs="Times New Roman"/>
          <w:color w:val="auto"/>
          <w:sz w:val="24"/>
          <w:lang w:val="en-US" w:eastAsia="zh-CN"/>
        </w:rPr>
        <w:t>0.157</w:t>
      </w:r>
      <w:r>
        <w:rPr>
          <w:rFonts w:hint="default" w:ascii="Times New Roman" w:hAnsi="Times New Roman" w:eastAsia="宋体" w:cs="Times New Roman"/>
          <w:color w:val="auto"/>
          <w:sz w:val="24"/>
        </w:rPr>
        <w:t>t/a，排放速率为0.</w:t>
      </w:r>
      <w:r>
        <w:rPr>
          <w:rFonts w:hint="default" w:ascii="Times New Roman" w:hAnsi="Times New Roman" w:eastAsia="宋体" w:cs="Times New Roman"/>
          <w:color w:val="auto"/>
          <w:sz w:val="24"/>
          <w:lang w:val="en-US" w:eastAsia="zh-CN"/>
        </w:rPr>
        <w:t>07</w:t>
      </w:r>
      <w:r>
        <w:rPr>
          <w:rFonts w:hint="default" w:ascii="Times New Roman" w:hAnsi="Times New Roman" w:eastAsia="宋体" w:cs="Times New Roman"/>
          <w:color w:val="auto"/>
          <w:sz w:val="24"/>
        </w:rPr>
        <w:t>kg/h，排放浓度为</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50</w:t>
      </w:r>
      <w:r>
        <w:rPr>
          <w:rFonts w:hint="default" w:ascii="Times New Roman" w:hAnsi="Times New Roman" w:eastAsia="宋体" w:cs="Times New Roman"/>
          <w:color w:val="auto"/>
          <w:sz w:val="24"/>
        </w:rPr>
        <w:t>mg/m</w:t>
      </w:r>
      <w:r>
        <w:rPr>
          <w:rFonts w:hint="default" w:ascii="Times New Roman" w:hAnsi="Times New Roman" w:eastAsia="宋体" w:cs="Times New Roman"/>
          <w:color w:val="auto"/>
          <w:sz w:val="24"/>
          <w:vertAlign w:val="superscript"/>
        </w:rPr>
        <w:t>3</w:t>
      </w:r>
    </w:p>
    <w:p>
      <w:pPr>
        <w:spacing w:line="46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lang w:val="en-US" w:eastAsia="zh-CN"/>
        </w:rPr>
        <w:t>⑷</w:t>
      </w:r>
      <w:r>
        <w:rPr>
          <w:rFonts w:hint="default" w:ascii="Times New Roman" w:hAnsi="Times New Roman" w:eastAsia="宋体" w:cs="Times New Roman"/>
          <w:color w:val="auto"/>
          <w:sz w:val="24"/>
          <w:lang w:val="en-US" w:eastAsia="zh-CN"/>
        </w:rPr>
        <w:t>粉料储罐</w:t>
      </w:r>
      <w:r>
        <w:rPr>
          <w:rFonts w:hint="default" w:ascii="Times New Roman" w:hAnsi="Times New Roman" w:eastAsia="宋体" w:cs="Times New Roman"/>
          <w:color w:val="auto"/>
          <w:sz w:val="24"/>
        </w:rPr>
        <w:t>仓顶逸散粉尘</w:t>
      </w:r>
    </w:p>
    <w:p>
      <w:pPr>
        <w:keepNext w:val="0"/>
        <w:keepLines w:val="0"/>
        <w:pageBreakBefore w:val="0"/>
        <w:widowControl w:val="0"/>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滑石粉和橡胶粉</w:t>
      </w:r>
      <w:r>
        <w:rPr>
          <w:rFonts w:hint="default" w:ascii="Times New Roman" w:hAnsi="Times New Roman" w:eastAsia="宋体" w:cs="Times New Roman"/>
          <w:color w:val="auto"/>
          <w:sz w:val="24"/>
          <w:szCs w:val="24"/>
        </w:rPr>
        <w:t>由罐车采用气力输送的方式运送至</w:t>
      </w:r>
      <w:r>
        <w:rPr>
          <w:rFonts w:hint="default" w:ascii="Times New Roman" w:hAnsi="Times New Roman" w:eastAsia="宋体" w:cs="Times New Roman"/>
          <w:color w:val="auto"/>
          <w:sz w:val="24"/>
          <w:szCs w:val="24"/>
          <w:lang w:val="en-US" w:eastAsia="zh-CN"/>
        </w:rPr>
        <w:t>滑石粉和橡胶粉储罐</w:t>
      </w:r>
      <w:r>
        <w:rPr>
          <w:rFonts w:hint="default" w:ascii="Times New Roman" w:hAnsi="Times New Roman" w:eastAsia="宋体" w:cs="Times New Roman"/>
          <w:color w:val="auto"/>
          <w:sz w:val="24"/>
          <w:szCs w:val="24"/>
        </w:rPr>
        <w:t>时，仓顶呼吸孔会产生一定量的粉尘。</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滑石粉</w:t>
      </w:r>
      <w:r>
        <w:rPr>
          <w:rFonts w:hint="default" w:ascii="Times New Roman" w:hAnsi="Times New Roman" w:eastAsia="宋体" w:cs="Times New Roman"/>
          <w:color w:val="auto"/>
          <w:sz w:val="24"/>
          <w:szCs w:val="24"/>
        </w:rPr>
        <w:t>用量为</w:t>
      </w:r>
      <w:r>
        <w:rPr>
          <w:rFonts w:hint="default" w:ascii="Times New Roman" w:hAnsi="Times New Roman" w:eastAsia="宋体" w:cs="Times New Roman"/>
          <w:color w:val="auto"/>
          <w:sz w:val="24"/>
          <w:szCs w:val="24"/>
          <w:lang w:val="en-US" w:eastAsia="zh-CN"/>
        </w:rPr>
        <w:t>1440</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val="en-US" w:eastAsia="zh-CN"/>
        </w:rPr>
        <w:t>滑石粉</w:t>
      </w:r>
      <w:r>
        <w:rPr>
          <w:rFonts w:hint="default" w:ascii="Times New Roman" w:hAnsi="Times New Roman" w:eastAsia="宋体" w:cs="Times New Roman"/>
          <w:color w:val="auto"/>
          <w:sz w:val="24"/>
          <w:szCs w:val="24"/>
        </w:rPr>
        <w:t>罐车装灌</w:t>
      </w:r>
      <w:r>
        <w:rPr>
          <w:rFonts w:hint="default" w:ascii="Times New Roman" w:hAnsi="Times New Roman" w:eastAsia="宋体" w:cs="Times New Roman"/>
          <w:color w:val="auto"/>
          <w:sz w:val="24"/>
          <w:szCs w:val="24"/>
          <w:lang w:val="en-US" w:eastAsia="zh-CN"/>
        </w:rPr>
        <w:t>滑石粉</w:t>
      </w:r>
      <w:r>
        <w:rPr>
          <w:rFonts w:hint="default" w:ascii="Times New Roman" w:hAnsi="Times New Roman" w:eastAsia="宋体" w:cs="Times New Roman"/>
          <w:color w:val="auto"/>
          <w:sz w:val="24"/>
          <w:szCs w:val="24"/>
        </w:rPr>
        <w:t>的速率为</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t/</w:t>
      </w:r>
      <w:r>
        <w:rPr>
          <w:rFonts w:hint="default" w:ascii="Times New Roman" w:hAnsi="Times New Roman" w:eastAsia="宋体" w:cs="Times New Roman"/>
          <w:color w:val="auto"/>
          <w:sz w:val="24"/>
          <w:szCs w:val="24"/>
          <w:lang w:val="en-US" w:eastAsia="zh-CN"/>
        </w:rPr>
        <w:t>h</w:t>
      </w:r>
      <w:r>
        <w:rPr>
          <w:rFonts w:hint="default" w:ascii="Times New Roman" w:hAnsi="Times New Roman" w:eastAsia="宋体" w:cs="Times New Roman"/>
          <w:color w:val="auto"/>
          <w:sz w:val="24"/>
          <w:szCs w:val="24"/>
        </w:rPr>
        <w:t>，则</w:t>
      </w:r>
      <w:r>
        <w:rPr>
          <w:rFonts w:hint="default" w:ascii="Times New Roman" w:hAnsi="Times New Roman" w:eastAsia="宋体" w:cs="Times New Roman"/>
          <w:color w:val="auto"/>
          <w:sz w:val="24"/>
          <w:szCs w:val="24"/>
          <w:lang w:val="en-US" w:eastAsia="zh-CN"/>
        </w:rPr>
        <w:t>滑石粉储罐</w:t>
      </w:r>
      <w:r>
        <w:rPr>
          <w:rFonts w:hint="default" w:ascii="Times New Roman" w:hAnsi="Times New Roman" w:eastAsia="宋体" w:cs="Times New Roman"/>
          <w:color w:val="auto"/>
          <w:sz w:val="24"/>
          <w:szCs w:val="24"/>
        </w:rPr>
        <w:t>全年装罐时间共计为</w:t>
      </w:r>
      <w:r>
        <w:rPr>
          <w:rFonts w:hint="default" w:ascii="Times New Roman" w:hAnsi="Times New Roman" w:eastAsia="宋体" w:cs="Times New Roman"/>
          <w:color w:val="auto"/>
          <w:sz w:val="24"/>
          <w:szCs w:val="24"/>
          <w:lang w:val="en-US" w:eastAsia="zh-CN"/>
        </w:rPr>
        <w:t>480</w:t>
      </w:r>
      <w:r>
        <w:rPr>
          <w:rFonts w:hint="default" w:ascii="Times New Roman" w:hAnsi="Times New Roman" w:eastAsia="宋体" w:cs="Times New Roman"/>
          <w:color w:val="auto"/>
          <w:sz w:val="24"/>
          <w:szCs w:val="24"/>
        </w:rPr>
        <w:t>h。</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橡胶粉</w:t>
      </w:r>
      <w:r>
        <w:rPr>
          <w:rFonts w:hint="default" w:ascii="Times New Roman" w:hAnsi="Times New Roman" w:eastAsia="宋体" w:cs="Times New Roman"/>
          <w:color w:val="auto"/>
          <w:sz w:val="24"/>
          <w:szCs w:val="24"/>
        </w:rPr>
        <w:t>用量为</w:t>
      </w:r>
      <w:r>
        <w:rPr>
          <w:rFonts w:hint="default" w:ascii="Times New Roman" w:hAnsi="Times New Roman" w:eastAsia="宋体" w:cs="Times New Roman"/>
          <w:color w:val="auto"/>
          <w:sz w:val="24"/>
          <w:szCs w:val="24"/>
          <w:lang w:val="en-US" w:eastAsia="zh-CN"/>
        </w:rPr>
        <w:t>1260</w:t>
      </w:r>
      <w:r>
        <w:rPr>
          <w:rFonts w:hint="default" w:ascii="Times New Roman" w:hAnsi="Times New Roman" w:eastAsia="宋体" w:cs="Times New Roman"/>
          <w:color w:val="auto"/>
          <w:sz w:val="24"/>
          <w:szCs w:val="24"/>
        </w:rPr>
        <w:t>t/a，</w:t>
      </w:r>
      <w:r>
        <w:rPr>
          <w:rFonts w:hint="default" w:ascii="Times New Roman" w:hAnsi="Times New Roman" w:eastAsia="宋体" w:cs="Times New Roman"/>
          <w:color w:val="auto"/>
          <w:sz w:val="24"/>
          <w:szCs w:val="24"/>
          <w:lang w:val="en-US" w:eastAsia="zh-CN"/>
        </w:rPr>
        <w:t>橡胶粉</w:t>
      </w:r>
      <w:r>
        <w:rPr>
          <w:rFonts w:hint="default" w:ascii="Times New Roman" w:hAnsi="Times New Roman" w:eastAsia="宋体" w:cs="Times New Roman"/>
          <w:color w:val="auto"/>
          <w:sz w:val="24"/>
          <w:szCs w:val="24"/>
        </w:rPr>
        <w:t>罐车装灌</w:t>
      </w:r>
      <w:r>
        <w:rPr>
          <w:rFonts w:hint="default" w:ascii="Times New Roman" w:hAnsi="Times New Roman" w:eastAsia="宋体" w:cs="Times New Roman"/>
          <w:color w:val="auto"/>
          <w:sz w:val="24"/>
          <w:szCs w:val="24"/>
          <w:lang w:val="en-US" w:eastAsia="zh-CN"/>
        </w:rPr>
        <w:t>橡胶粉</w:t>
      </w:r>
      <w:r>
        <w:rPr>
          <w:rFonts w:hint="default" w:ascii="Times New Roman" w:hAnsi="Times New Roman" w:eastAsia="宋体" w:cs="Times New Roman"/>
          <w:color w:val="auto"/>
          <w:sz w:val="24"/>
          <w:szCs w:val="24"/>
        </w:rPr>
        <w:t>的速率为</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t/</w:t>
      </w:r>
      <w:r>
        <w:rPr>
          <w:rFonts w:hint="default" w:ascii="Times New Roman" w:hAnsi="Times New Roman" w:eastAsia="宋体" w:cs="Times New Roman"/>
          <w:color w:val="auto"/>
          <w:sz w:val="24"/>
          <w:szCs w:val="24"/>
          <w:lang w:val="en-US" w:eastAsia="zh-CN"/>
        </w:rPr>
        <w:t>h</w:t>
      </w:r>
      <w:r>
        <w:rPr>
          <w:rFonts w:hint="default" w:ascii="Times New Roman" w:hAnsi="Times New Roman" w:eastAsia="宋体" w:cs="Times New Roman"/>
          <w:color w:val="auto"/>
          <w:sz w:val="24"/>
          <w:szCs w:val="24"/>
        </w:rPr>
        <w:t>，则</w:t>
      </w:r>
      <w:r>
        <w:rPr>
          <w:rFonts w:hint="default" w:ascii="Times New Roman" w:hAnsi="Times New Roman" w:eastAsia="宋体" w:cs="Times New Roman"/>
          <w:color w:val="auto"/>
          <w:sz w:val="24"/>
          <w:szCs w:val="24"/>
          <w:lang w:val="en-US" w:eastAsia="zh-CN"/>
        </w:rPr>
        <w:t>橡胶粉储罐</w:t>
      </w:r>
      <w:r>
        <w:rPr>
          <w:rFonts w:hint="default" w:ascii="Times New Roman" w:hAnsi="Times New Roman" w:eastAsia="宋体" w:cs="Times New Roman"/>
          <w:color w:val="auto"/>
          <w:sz w:val="24"/>
          <w:szCs w:val="24"/>
        </w:rPr>
        <w:t>全年装罐时间共计为</w:t>
      </w:r>
      <w:r>
        <w:rPr>
          <w:rFonts w:hint="default" w:ascii="Times New Roman" w:hAnsi="Times New Roman" w:eastAsia="宋体" w:cs="Times New Roman"/>
          <w:color w:val="auto"/>
          <w:sz w:val="24"/>
          <w:szCs w:val="24"/>
          <w:lang w:val="en-US" w:eastAsia="zh-CN"/>
        </w:rPr>
        <w:t>420</w:t>
      </w:r>
      <w:r>
        <w:rPr>
          <w:rFonts w:hint="default" w:ascii="Times New Roman" w:hAnsi="Times New Roman" w:eastAsia="宋体" w:cs="Times New Roman"/>
          <w:color w:val="auto"/>
          <w:sz w:val="24"/>
          <w:szCs w:val="24"/>
        </w:rPr>
        <w:t>h。</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滑石粉和橡胶粉储罐</w:t>
      </w:r>
      <w:r>
        <w:rPr>
          <w:rFonts w:hint="default" w:ascii="Times New Roman" w:hAnsi="Times New Roman" w:eastAsia="宋体" w:cs="Times New Roman"/>
          <w:color w:val="auto"/>
          <w:sz w:val="24"/>
          <w:szCs w:val="24"/>
        </w:rPr>
        <w:t>产生的粉尘主要在气力输送入仓过程中，各</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color w:val="auto"/>
          <w:sz w:val="24"/>
          <w:szCs w:val="24"/>
        </w:rPr>
        <w:t>仓顶产生的粉尘均分别引入布袋除尘器中，处理后的废气经高于</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color w:val="auto"/>
          <w:sz w:val="24"/>
          <w:szCs w:val="24"/>
        </w:rPr>
        <w:t>仓顶3m且不低于地面15m高的排气筒排放</w:t>
      </w:r>
      <w:r>
        <w:rPr>
          <w:rFonts w:hint="default" w:ascii="Times New Roman" w:hAnsi="Times New Roman" w:eastAsia="宋体" w:cs="Times New Roman"/>
          <w:bCs/>
          <w:iCs/>
          <w:color w:val="auto"/>
          <w:sz w:val="24"/>
          <w:szCs w:val="24"/>
        </w:rPr>
        <w:t>。</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罐车卸料时输送气压最大为0.4MPa，最大卸料能力为3.0m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/min，粉料仓气力输送时仓内的气体压力不应大于4900Pa（0.0049MPa），标准大气压为0.1MPa，本次评价</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color w:val="auto"/>
          <w:sz w:val="24"/>
          <w:szCs w:val="24"/>
        </w:rPr>
        <w:t>仓顶风机风量配置按照最大卸料能力和气压进行计算，则筒仓所需风量为Q=0.4×3.0/0.1=12m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/min=720m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/h，布袋除尘器所配风机选型风量：</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Q′=K</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×K</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×Q</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式中：Q′—风机选型计算风量；</w:t>
      </w:r>
    </w:p>
    <w:p>
      <w:pPr>
        <w:keepNext w:val="0"/>
        <w:keepLines w:val="0"/>
        <w:pageBreakBefore w:val="0"/>
        <w:widowControl w:val="0"/>
        <w:kinsoku/>
        <w:wordWrap/>
        <w:overflowPunct/>
        <w:topLinePunct w:val="0"/>
        <w:autoSpaceDE/>
        <w:autoSpaceDN/>
        <w:bidi w:val="0"/>
        <w:adjustRightInd/>
        <w:snapToGrid w:val="0"/>
        <w:spacing w:line="480" w:lineRule="exact"/>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K</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—管网漏风附加系数，取1.2；</w:t>
      </w:r>
    </w:p>
    <w:p>
      <w:pPr>
        <w:keepNext w:val="0"/>
        <w:keepLines w:val="0"/>
        <w:pageBreakBefore w:val="0"/>
        <w:widowControl w:val="0"/>
        <w:kinsoku/>
        <w:wordWrap/>
        <w:overflowPunct/>
        <w:topLinePunct w:val="0"/>
        <w:autoSpaceDE/>
        <w:autoSpaceDN/>
        <w:bidi w:val="0"/>
        <w:adjustRightInd/>
        <w:snapToGrid w:val="0"/>
        <w:spacing w:line="480" w:lineRule="exact"/>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K</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—设备漏风附加系数，取1.2；</w:t>
      </w:r>
    </w:p>
    <w:p>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宋体" w:cs="Times New Roman"/>
          <w:bCs/>
          <w:iCs/>
          <w:color w:val="auto"/>
          <w:sz w:val="24"/>
          <w:szCs w:val="24"/>
        </w:rPr>
      </w:pPr>
      <w:r>
        <w:rPr>
          <w:rFonts w:hint="default" w:ascii="Times New Roman" w:hAnsi="Times New Roman" w:eastAsia="宋体" w:cs="Times New Roman"/>
          <w:color w:val="auto"/>
          <w:sz w:val="24"/>
          <w:szCs w:val="24"/>
        </w:rPr>
        <w:t>经计算，</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color w:val="auto"/>
          <w:sz w:val="24"/>
          <w:szCs w:val="24"/>
        </w:rPr>
        <w:t>仓顶需配置的除尘器风机风量为1036.8m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/h，各</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color w:val="auto"/>
          <w:sz w:val="24"/>
          <w:szCs w:val="24"/>
        </w:rPr>
        <w:t>仓顶布袋除尘器选配1500m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/h风量的风机，各</w:t>
      </w:r>
      <w:r>
        <w:rPr>
          <w:rFonts w:hint="default" w:ascii="Times New Roman" w:hAnsi="Times New Roman" w:eastAsia="宋体" w:cs="Times New Roman"/>
          <w:color w:val="auto"/>
          <w:sz w:val="24"/>
          <w:szCs w:val="24"/>
          <w:lang w:val="en-US" w:eastAsia="zh-CN"/>
        </w:rPr>
        <w:t>储罐</w:t>
      </w:r>
      <w:r>
        <w:rPr>
          <w:rFonts w:hint="default" w:ascii="Times New Roman" w:hAnsi="Times New Roman" w:eastAsia="宋体" w:cs="Times New Roman"/>
          <w:bCs/>
          <w:color w:val="auto"/>
          <w:sz w:val="24"/>
          <w:szCs w:val="24"/>
        </w:rPr>
        <w:t>产生浓度均为10000mg/m</w:t>
      </w:r>
      <w:r>
        <w:rPr>
          <w:rFonts w:hint="default" w:ascii="Times New Roman" w:hAnsi="Times New Roman" w:eastAsia="宋体" w:cs="Times New Roman"/>
          <w:bCs/>
          <w:color w:val="auto"/>
          <w:sz w:val="24"/>
          <w:szCs w:val="24"/>
          <w:vertAlign w:val="superscript"/>
        </w:rPr>
        <w:t>3</w:t>
      </w:r>
      <w:r>
        <w:rPr>
          <w:rFonts w:hint="default" w:ascii="Times New Roman" w:hAnsi="Times New Roman" w:eastAsia="宋体" w:cs="Times New Roman"/>
          <w:bCs/>
          <w:color w:val="auto"/>
          <w:sz w:val="24"/>
          <w:szCs w:val="24"/>
        </w:rPr>
        <w:t>，则</w:t>
      </w:r>
      <w:r>
        <w:rPr>
          <w:rFonts w:hint="default" w:ascii="Times New Roman" w:hAnsi="Times New Roman" w:eastAsia="宋体" w:cs="Times New Roman"/>
          <w:color w:val="auto"/>
          <w:sz w:val="24"/>
          <w:szCs w:val="24"/>
          <w:lang w:val="en-US" w:eastAsia="zh-CN"/>
        </w:rPr>
        <w:t>橡胶粉储罐</w:t>
      </w:r>
      <w:r>
        <w:rPr>
          <w:rFonts w:hint="default" w:ascii="Times New Roman" w:hAnsi="Times New Roman" w:eastAsia="宋体" w:cs="Times New Roman"/>
          <w:bCs/>
          <w:color w:val="auto"/>
          <w:sz w:val="24"/>
          <w:szCs w:val="24"/>
        </w:rPr>
        <w:t>产生量为</w:t>
      </w:r>
      <w:r>
        <w:rPr>
          <w:rFonts w:hint="default" w:ascii="Times New Roman" w:hAnsi="Times New Roman" w:eastAsia="宋体" w:cs="Times New Roman"/>
          <w:bCs/>
          <w:color w:val="auto"/>
          <w:sz w:val="24"/>
          <w:szCs w:val="24"/>
          <w:lang w:val="en-US" w:eastAsia="zh-CN"/>
        </w:rPr>
        <w:t>7.2t</w:t>
      </w:r>
      <w:r>
        <w:rPr>
          <w:rFonts w:hint="default" w:ascii="Times New Roman" w:hAnsi="Times New Roman" w:eastAsia="宋体" w:cs="Times New Roman"/>
          <w:bCs/>
          <w:color w:val="auto"/>
          <w:sz w:val="24"/>
          <w:szCs w:val="24"/>
        </w:rPr>
        <w:t>/a、</w:t>
      </w:r>
      <w:r>
        <w:rPr>
          <w:rFonts w:hint="default" w:ascii="Times New Roman" w:hAnsi="Times New Roman" w:eastAsia="宋体" w:cs="Times New Roman"/>
          <w:color w:val="auto"/>
          <w:sz w:val="24"/>
          <w:szCs w:val="24"/>
          <w:lang w:val="en-US" w:eastAsia="zh-CN"/>
        </w:rPr>
        <w:t>滑石粉储罐</w:t>
      </w:r>
      <w:r>
        <w:rPr>
          <w:rFonts w:hint="default" w:ascii="Times New Roman" w:hAnsi="Times New Roman" w:eastAsia="宋体" w:cs="Times New Roman"/>
          <w:bCs/>
          <w:color w:val="auto"/>
          <w:sz w:val="24"/>
          <w:szCs w:val="24"/>
        </w:rPr>
        <w:t>产生量为</w:t>
      </w:r>
      <w:r>
        <w:rPr>
          <w:rFonts w:hint="default" w:ascii="Times New Roman" w:hAnsi="Times New Roman" w:eastAsia="宋体" w:cs="Times New Roman"/>
          <w:bCs/>
          <w:color w:val="auto"/>
          <w:sz w:val="24"/>
          <w:szCs w:val="24"/>
          <w:lang w:val="en-US" w:eastAsia="zh-CN"/>
        </w:rPr>
        <w:t>6.3</w:t>
      </w:r>
      <w:r>
        <w:rPr>
          <w:rFonts w:hint="default" w:ascii="Times New Roman" w:hAnsi="Times New Roman" w:eastAsia="宋体" w:cs="Times New Roman"/>
          <w:bCs/>
          <w:color w:val="auto"/>
          <w:sz w:val="24"/>
          <w:szCs w:val="24"/>
        </w:rPr>
        <w:t>t/a</w:t>
      </w:r>
      <w:r>
        <w:rPr>
          <w:rFonts w:hint="default" w:ascii="Times New Roman" w:hAnsi="Times New Roman" w:eastAsia="宋体" w:cs="Times New Roman"/>
          <w:color w:val="auto"/>
          <w:sz w:val="24"/>
          <w:szCs w:val="24"/>
        </w:rPr>
        <w:t>。</w:t>
      </w:r>
      <w:r>
        <w:rPr>
          <w:rFonts w:hint="default" w:ascii="Times New Roman" w:hAnsi="Times New Roman" w:eastAsia="宋体" w:cs="Times New Roman"/>
          <w:bCs/>
          <w:color w:val="auto"/>
          <w:sz w:val="24"/>
          <w:szCs w:val="24"/>
        </w:rPr>
        <w:t>除尘系统除尘效率99.9%，</w:t>
      </w:r>
      <w:r>
        <w:rPr>
          <w:rFonts w:hint="default" w:ascii="Times New Roman" w:hAnsi="Times New Roman" w:eastAsia="宋体" w:cs="Times New Roman"/>
          <w:color w:val="auto"/>
          <w:sz w:val="24"/>
          <w:szCs w:val="24"/>
        </w:rPr>
        <w:t>经除尘设施处理后，颗粒物排放浓度均为10mg/m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default" w:ascii="Times New Roman" w:hAnsi="Times New Roman" w:eastAsia="宋体" w:cs="Times New Roman"/>
          <w:bCs/>
          <w:color w:val="auto"/>
          <w:sz w:val="24"/>
          <w:szCs w:val="24"/>
        </w:rPr>
        <w:t>则</w:t>
      </w:r>
      <w:r>
        <w:rPr>
          <w:rFonts w:hint="default" w:ascii="Times New Roman" w:hAnsi="Times New Roman" w:eastAsia="宋体" w:cs="Times New Roman"/>
          <w:color w:val="auto"/>
          <w:sz w:val="24"/>
          <w:szCs w:val="24"/>
          <w:lang w:val="en-US" w:eastAsia="zh-CN"/>
        </w:rPr>
        <w:t>橡胶粉储罐</w:t>
      </w:r>
      <w:r>
        <w:rPr>
          <w:rFonts w:hint="default" w:ascii="Times New Roman" w:hAnsi="Times New Roman" w:eastAsia="宋体" w:cs="Times New Roman"/>
          <w:bCs/>
          <w:color w:val="auto"/>
          <w:sz w:val="24"/>
          <w:szCs w:val="24"/>
        </w:rPr>
        <w:t>排放量为0.00</w:t>
      </w:r>
      <w:r>
        <w:rPr>
          <w:rFonts w:hint="default" w:ascii="Times New Roman" w:hAnsi="Times New Roman" w:eastAsia="宋体" w:cs="Times New Roman"/>
          <w:bCs/>
          <w:color w:val="auto"/>
          <w:sz w:val="24"/>
          <w:szCs w:val="24"/>
          <w:lang w:val="en-US" w:eastAsia="zh-CN"/>
        </w:rPr>
        <w:t>7</w:t>
      </w:r>
      <w:r>
        <w:rPr>
          <w:rFonts w:hint="default" w:ascii="Times New Roman" w:hAnsi="Times New Roman" w:eastAsia="宋体" w:cs="Times New Roman"/>
          <w:bCs/>
          <w:color w:val="auto"/>
          <w:sz w:val="24"/>
          <w:szCs w:val="24"/>
        </w:rPr>
        <w:t>t/a、</w:t>
      </w:r>
      <w:r>
        <w:rPr>
          <w:rFonts w:hint="default" w:ascii="Times New Roman" w:hAnsi="Times New Roman" w:eastAsia="宋体" w:cs="Times New Roman"/>
          <w:color w:val="auto"/>
          <w:sz w:val="24"/>
          <w:szCs w:val="24"/>
          <w:lang w:val="en-US" w:eastAsia="zh-CN"/>
        </w:rPr>
        <w:t>滑石粉储罐</w:t>
      </w:r>
      <w:r>
        <w:rPr>
          <w:rFonts w:hint="default" w:ascii="Times New Roman" w:hAnsi="Times New Roman" w:eastAsia="宋体" w:cs="Times New Roman"/>
          <w:bCs/>
          <w:color w:val="auto"/>
          <w:sz w:val="24"/>
          <w:szCs w:val="24"/>
        </w:rPr>
        <w:t>排放量为0.00</w:t>
      </w:r>
      <w:r>
        <w:rPr>
          <w:rFonts w:hint="default" w:ascii="Times New Roman" w:hAnsi="Times New Roman" w:eastAsia="宋体" w:cs="Times New Roman"/>
          <w:bCs/>
          <w:color w:val="auto"/>
          <w:sz w:val="24"/>
          <w:szCs w:val="24"/>
          <w:lang w:val="en-US" w:eastAsia="zh-CN"/>
        </w:rPr>
        <w:t>6</w:t>
      </w:r>
      <w:r>
        <w:rPr>
          <w:rFonts w:hint="default" w:ascii="Times New Roman" w:hAnsi="Times New Roman" w:eastAsia="宋体" w:cs="Times New Roman"/>
          <w:bCs/>
          <w:color w:val="auto"/>
          <w:sz w:val="24"/>
          <w:szCs w:val="24"/>
        </w:rPr>
        <w:t>t/a</w:t>
      </w:r>
      <w:r>
        <w:rPr>
          <w:rFonts w:hint="default" w:ascii="Times New Roman" w:hAnsi="Times New Roman" w:eastAsia="宋体" w:cs="Times New Roman"/>
          <w:bCs/>
          <w:iCs/>
          <w:color w:val="auto"/>
          <w:sz w:val="24"/>
          <w:szCs w:val="24"/>
        </w:rPr>
        <w:t>。</w:t>
      </w:r>
    </w:p>
    <w:bookmarkEnd w:id="20"/>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cs="Times New Roman"/>
          <w:color w:val="auto"/>
          <w:sz w:val="24"/>
          <w:szCs w:val="24"/>
          <w:highlight w:val="none"/>
          <w:lang w:val="en-US" w:eastAsia="zh-CN"/>
        </w:rPr>
        <w:t>⑸</w:t>
      </w:r>
      <w:r>
        <w:rPr>
          <w:rFonts w:hint="default" w:ascii="Times New Roman" w:hAnsi="Times New Roman" w:eastAsia="宋体" w:cs="Times New Roman"/>
          <w:color w:val="auto"/>
          <w:sz w:val="24"/>
          <w:lang w:val="en-US" w:eastAsia="zh-CN"/>
        </w:rPr>
        <w:t>粉料</w:t>
      </w:r>
      <w:r>
        <w:rPr>
          <w:rFonts w:hint="eastAsia" w:ascii="Times New Roman" w:hAnsi="Times New Roman" w:eastAsia="宋体" w:cs="Times New Roman"/>
          <w:color w:val="auto"/>
          <w:sz w:val="24"/>
          <w:lang w:val="en-US" w:eastAsia="zh-CN"/>
        </w:rPr>
        <w:t>输送</w:t>
      </w:r>
      <w:r>
        <w:rPr>
          <w:rFonts w:hint="default" w:ascii="Times New Roman" w:hAnsi="Times New Roman" w:eastAsia="宋体" w:cs="Times New Roman"/>
          <w:color w:val="auto"/>
          <w:sz w:val="24"/>
        </w:rPr>
        <w:t>粉尘</w:t>
      </w:r>
    </w:p>
    <w:p>
      <w:pPr>
        <w:pStyle w:val="10"/>
        <w:keepNext w:val="0"/>
        <w:keepLines w:val="0"/>
        <w:pageBreakBefore w:val="0"/>
        <w:widowControl w:val="0"/>
        <w:tabs>
          <w:tab w:val="left" w:pos="5130"/>
        </w:tabs>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本项</w:t>
      </w:r>
      <w:r>
        <w:rPr>
          <w:rFonts w:hint="default" w:ascii="Times New Roman" w:hAnsi="Times New Roman" w:cs="Times New Roman"/>
          <w:color w:val="auto"/>
          <w:sz w:val="24"/>
          <w:szCs w:val="24"/>
          <w:highlight w:val="none"/>
          <w:lang w:val="en-US" w:eastAsia="zh-CN"/>
        </w:rPr>
        <w:t>目滑石粉和橡胶粉</w:t>
      </w:r>
      <w:r>
        <w:rPr>
          <w:rFonts w:hint="eastAsia" w:cs="Times New Roman"/>
          <w:color w:val="auto"/>
          <w:sz w:val="24"/>
          <w:szCs w:val="24"/>
          <w:highlight w:val="none"/>
          <w:lang w:val="en-US" w:eastAsia="zh-CN"/>
        </w:rPr>
        <w:t>由各自储罐</w:t>
      </w:r>
      <w:r>
        <w:rPr>
          <w:rFonts w:hint="default" w:ascii="Times New Roman" w:hAnsi="Times New Roman" w:cs="Times New Roman"/>
          <w:color w:val="auto"/>
          <w:sz w:val="24"/>
          <w:szCs w:val="24"/>
          <w:highlight w:val="none"/>
          <w:lang w:val="en-US" w:eastAsia="zh-CN"/>
        </w:rPr>
        <w:t>通过密闭管道由螺旋输送的方式运送至</w:t>
      </w:r>
      <w:r>
        <w:rPr>
          <w:rFonts w:hint="eastAsia" w:cs="Times New Roman"/>
          <w:color w:val="auto"/>
          <w:sz w:val="24"/>
          <w:szCs w:val="24"/>
          <w:highlight w:val="none"/>
          <w:lang w:val="en-US" w:eastAsia="zh-CN"/>
        </w:rPr>
        <w:t>配料罐，</w:t>
      </w:r>
      <w:r>
        <w:rPr>
          <w:rFonts w:hint="default" w:ascii="Times New Roman" w:hAnsi="Times New Roman" w:eastAsia="宋体" w:cs="Times New Roman"/>
          <w:color w:val="auto"/>
          <w:kern w:val="44"/>
          <w:sz w:val="24"/>
          <w:lang w:val="en-US" w:eastAsia="zh-CN"/>
        </w:rPr>
        <w:t>在</w:t>
      </w:r>
      <w:r>
        <w:rPr>
          <w:rFonts w:hint="eastAsia" w:ascii="Times New Roman" w:hAnsi="Times New Roman" w:eastAsia="宋体" w:cs="Times New Roman"/>
          <w:color w:val="auto"/>
          <w:kern w:val="44"/>
          <w:sz w:val="24"/>
          <w:lang w:val="en-US" w:eastAsia="zh-CN"/>
        </w:rPr>
        <w:t>输送</w:t>
      </w:r>
      <w:r>
        <w:rPr>
          <w:rFonts w:hint="default" w:ascii="Times New Roman" w:hAnsi="Times New Roman" w:eastAsia="宋体" w:cs="Times New Roman"/>
          <w:color w:val="auto"/>
          <w:kern w:val="44"/>
          <w:sz w:val="24"/>
          <w:lang w:val="en-US" w:eastAsia="zh-CN"/>
        </w:rPr>
        <w:t>中不会产生</w:t>
      </w:r>
      <w:r>
        <w:rPr>
          <w:rFonts w:hint="eastAsia" w:ascii="Times New Roman" w:hAnsi="Times New Roman" w:eastAsia="宋体" w:cs="Times New Roman"/>
          <w:color w:val="auto"/>
          <w:kern w:val="44"/>
          <w:sz w:val="24"/>
          <w:lang w:val="en-US" w:eastAsia="zh-CN"/>
        </w:rPr>
        <w:t>粉尘。</w:t>
      </w:r>
    </w:p>
    <w:p>
      <w:pPr>
        <w:pStyle w:val="10"/>
        <w:keepNext w:val="0"/>
        <w:keepLines w:val="0"/>
        <w:pageBreakBefore w:val="0"/>
        <w:widowControl w:val="0"/>
        <w:tabs>
          <w:tab w:val="left" w:pos="5130"/>
        </w:tabs>
        <w:kinsoku/>
        <w:wordWrap/>
        <w:overflowPunct/>
        <w:topLinePunct w:val="0"/>
        <w:autoSpaceDE/>
        <w:autoSpaceDN/>
        <w:bidi w:val="0"/>
        <w:adjustRightInd/>
        <w:snapToGrid/>
        <w:spacing w:after="0" w:line="480" w:lineRule="exact"/>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⑹</w:t>
      </w:r>
      <w:r>
        <w:rPr>
          <w:rFonts w:hint="default" w:ascii="Times New Roman" w:hAnsi="Times New Roman" w:cs="Times New Roman"/>
          <w:color w:val="auto"/>
          <w:sz w:val="24"/>
          <w:szCs w:val="24"/>
          <w:highlight w:val="none"/>
          <w:lang w:val="en-US" w:eastAsia="zh-CN"/>
        </w:rPr>
        <w:t>汽车运输</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本项目</w:t>
      </w:r>
      <w:r>
        <w:rPr>
          <w:rFonts w:hint="eastAsia" w:ascii="宋体" w:hAnsi="宋体" w:eastAsia="宋体" w:cs="宋体"/>
          <w:bCs/>
          <w:color w:val="auto"/>
          <w:sz w:val="24"/>
          <w:szCs w:val="24"/>
          <w:highlight w:val="none"/>
        </w:rPr>
        <w:t>原料进厂和产品外运过程中</w:t>
      </w:r>
      <w:r>
        <w:rPr>
          <w:rFonts w:hint="eastAsia" w:ascii="宋体" w:hAnsi="宋体" w:eastAsia="宋体" w:cs="宋体"/>
          <w:color w:val="auto"/>
          <w:sz w:val="24"/>
          <w:szCs w:val="24"/>
          <w:highlight w:val="none"/>
        </w:rPr>
        <w:t>，提出运输扬尘的防控措施如下：</w:t>
      </w:r>
    </w:p>
    <w:p>
      <w:pPr>
        <w:pStyle w:val="91"/>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①厂区内道路全部进行硬化处理，并定期进行清扫和喷洒水，保持厂区道路的清洁和湿度，当路面出现损坏及时修复</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eastAsia="宋体" w:cs="宋体"/>
          <w:color w:val="auto"/>
          <w:sz w:val="24"/>
        </w:rPr>
        <w:t>厂区出入口设置车辆轮胎车身</w:t>
      </w:r>
      <w:r>
        <w:rPr>
          <w:rFonts w:hint="eastAsia" w:ascii="宋体" w:hAnsi="宋体" w:eastAsia="宋体" w:cs="宋体"/>
          <w:color w:val="auto"/>
          <w:sz w:val="24"/>
          <w:lang w:val="en-US" w:eastAsia="zh-CN"/>
        </w:rPr>
        <w:t>冲洗</w:t>
      </w:r>
      <w:r>
        <w:rPr>
          <w:rFonts w:hint="eastAsia" w:ascii="宋体" w:hAnsi="宋体" w:eastAsia="宋体" w:cs="宋体"/>
          <w:color w:val="auto"/>
          <w:sz w:val="24"/>
        </w:rPr>
        <w:t>平台，对出厂车辆轮胎车身等进行清洗</w:t>
      </w:r>
      <w:r>
        <w:rPr>
          <w:rFonts w:hint="eastAsia" w:ascii="宋体" w:hAnsi="宋体" w:eastAsia="宋体" w:cs="宋体"/>
          <w:color w:val="auto"/>
          <w:sz w:val="24"/>
          <w:szCs w:val="24"/>
          <w:highlight w:val="none"/>
        </w:rPr>
        <w:t>，不得带泥上路</w:t>
      </w:r>
      <w:r>
        <w:rPr>
          <w:rFonts w:hint="eastAsia" w:ascii="宋体" w:hAnsi="宋体" w:eastAsia="宋体" w:cs="宋体"/>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③</w:t>
      </w:r>
      <w:r>
        <w:rPr>
          <w:rFonts w:hint="eastAsia" w:ascii="宋体" w:hAnsi="宋体" w:eastAsia="宋体" w:cs="宋体"/>
          <w:color w:val="auto"/>
          <w:sz w:val="24"/>
          <w:szCs w:val="24"/>
          <w:highlight w:val="none"/>
        </w:rPr>
        <w:t>车辆运输时</w:t>
      </w:r>
      <w:r>
        <w:rPr>
          <w:rFonts w:hint="eastAsia" w:ascii="宋体" w:hAnsi="宋体" w:eastAsia="宋体" w:cs="宋体"/>
          <w:color w:val="auto"/>
          <w:sz w:val="24"/>
          <w:szCs w:val="24"/>
          <w:highlight w:val="none"/>
          <w:lang w:val="en-US" w:eastAsia="zh-CN"/>
        </w:rPr>
        <w:t>全部采用国五排放标准及以上标准的汽车，</w:t>
      </w:r>
      <w:r>
        <w:rPr>
          <w:rFonts w:hint="eastAsia" w:ascii="宋体" w:hAnsi="宋体" w:eastAsia="宋体" w:cs="宋体"/>
          <w:color w:val="auto"/>
          <w:sz w:val="24"/>
          <w:szCs w:val="24"/>
          <w:highlight w:val="none"/>
        </w:rPr>
        <w:t>按照国家核定的汽车装载能力，严格控制汽车装载量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限制车速，并在车顶加盖蓬布</w:t>
      </w:r>
      <w:r>
        <w:rPr>
          <w:rFonts w:hint="eastAsia" w:ascii="宋体" w:hAnsi="宋体" w:eastAsia="宋体" w:cs="宋体"/>
          <w:color w:val="auto"/>
          <w:sz w:val="24"/>
          <w:szCs w:val="24"/>
          <w:highlight w:val="none"/>
          <w:lang w:eastAsia="zh-CN"/>
        </w:rPr>
        <w:t>；</w:t>
      </w:r>
    </w:p>
    <w:p>
      <w:pPr>
        <w:pStyle w:val="10"/>
        <w:keepNext w:val="0"/>
        <w:keepLines w:val="0"/>
        <w:pageBreakBefore w:val="0"/>
        <w:widowControl w:val="0"/>
        <w:tabs>
          <w:tab w:val="left" w:pos="5130"/>
        </w:tabs>
        <w:kinsoku/>
        <w:wordWrap/>
        <w:overflowPunct/>
        <w:topLinePunct w:val="0"/>
        <w:autoSpaceDE/>
        <w:autoSpaceDN/>
        <w:bidi w:val="0"/>
        <w:adjustRightInd/>
        <w:snapToGrid/>
        <w:spacing w:after="0" w:line="48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④骨料运输车辆加盖篷布，粉状物料采用罐车运输</w:t>
      </w:r>
      <w:r>
        <w:rPr>
          <w:rFonts w:hint="eastAsia" w:ascii="宋体" w:hAnsi="宋体" w:eastAsia="宋体" w:cs="宋体"/>
          <w:color w:val="auto"/>
          <w:sz w:val="24"/>
        </w:rPr>
        <w:t>，</w:t>
      </w:r>
      <w:r>
        <w:rPr>
          <w:rFonts w:hint="eastAsia" w:ascii="宋体" w:hAnsi="宋体" w:eastAsia="宋体" w:cs="宋体"/>
          <w:color w:val="auto"/>
          <w:sz w:val="24"/>
          <w:szCs w:val="24"/>
          <w:highlight w:val="none"/>
        </w:rPr>
        <w:t>限制车速，</w:t>
      </w:r>
      <w:r>
        <w:rPr>
          <w:rFonts w:hint="eastAsia" w:ascii="宋体" w:hAnsi="宋体" w:eastAsia="宋体" w:cs="宋体"/>
          <w:color w:val="auto"/>
          <w:sz w:val="24"/>
        </w:rPr>
        <w:t>特别是经过村庄时，要低速行驶，最大限度减少运输扬尘。</w:t>
      </w:r>
    </w:p>
    <w:p>
      <w:pPr>
        <w:spacing w:line="500" w:lineRule="exact"/>
        <w:ind w:firstLine="480"/>
        <w:rPr>
          <w:rFonts w:hint="default" w:ascii="Times New Roman" w:hAnsi="Times New Roman" w:eastAsia="宋体" w:cs="Times New Roman"/>
          <w:b/>
          <w:color w:val="auto"/>
          <w:sz w:val="24"/>
        </w:rPr>
      </w:pPr>
      <w:r>
        <w:rPr>
          <w:rFonts w:hint="eastAsia" w:ascii="Times New Roman" w:hAnsi="Times New Roman" w:eastAsia="宋体" w:cs="Times New Roman"/>
          <w:b/>
          <w:color w:val="auto"/>
          <w:sz w:val="24"/>
          <w:lang w:val="en-US" w:eastAsia="zh-CN"/>
        </w:rPr>
        <w:t>二</w:t>
      </w:r>
      <w:r>
        <w:rPr>
          <w:rFonts w:hint="default" w:ascii="Times New Roman" w:hAnsi="Times New Roman" w:eastAsia="宋体" w:cs="Times New Roman"/>
          <w:b/>
          <w:color w:val="auto"/>
          <w:sz w:val="24"/>
        </w:rPr>
        <w:t>、环境空气影响预测</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fldChar w:fldCharType="begin"/>
      </w:r>
      <w:r>
        <w:rPr>
          <w:rFonts w:hint="default" w:ascii="Times New Roman" w:hAnsi="Times New Roman" w:eastAsia="宋体" w:cs="Times New Roman"/>
          <w:color w:val="auto"/>
          <w:sz w:val="24"/>
        </w:rPr>
        <w:instrText xml:space="preserve"> = 1 \* GB2 </w:instrText>
      </w:r>
      <w:r>
        <w:rPr>
          <w:rFonts w:hint="default" w:ascii="Times New Roman" w:hAnsi="Times New Roman" w:eastAsia="宋体" w:cs="Times New Roman"/>
          <w:color w:val="auto"/>
          <w:sz w:val="24"/>
        </w:rPr>
        <w:fldChar w:fldCharType="separate"/>
      </w:r>
      <w:r>
        <w:rPr>
          <w:rFonts w:hint="default" w:ascii="Times New Roman" w:hAnsi="Times New Roman" w:eastAsia="宋体" w:cs="Times New Roman"/>
          <w:color w:val="auto"/>
          <w:sz w:val="24"/>
        </w:rPr>
        <w:t>⑴</w:t>
      </w:r>
      <w:r>
        <w:rPr>
          <w:rFonts w:hint="default" w:ascii="Times New Roman" w:hAnsi="Times New Roman" w:eastAsia="宋体" w:cs="Times New Roman"/>
          <w:color w:val="auto"/>
          <w:sz w:val="24"/>
        </w:rPr>
        <w:fldChar w:fldCharType="end"/>
      </w:r>
      <w:r>
        <w:rPr>
          <w:rFonts w:hint="default" w:ascii="Times New Roman" w:hAnsi="Times New Roman" w:eastAsia="宋体" w:cs="Times New Roman"/>
          <w:color w:val="auto"/>
          <w:sz w:val="24"/>
        </w:rPr>
        <w:t>预测内容</w:t>
      </w:r>
    </w:p>
    <w:p>
      <w:pPr>
        <w:keepNext w:val="0"/>
        <w:keepLines w:val="0"/>
        <w:pageBreakBefore w:val="0"/>
        <w:widowControl w:val="0"/>
        <w:kinsoku/>
        <w:wordWrap/>
        <w:overflowPunct/>
        <w:topLinePunct w:val="0"/>
        <w:autoSpaceDE/>
        <w:autoSpaceDN/>
        <w:bidi w:val="0"/>
        <w:adjustRightInd/>
        <w:snapToGrid/>
        <w:spacing w:line="500" w:lineRule="exact"/>
        <w:ind w:firstLine="456" w:firstLineChars="200"/>
        <w:textAlignment w:val="auto"/>
        <w:rPr>
          <w:rFonts w:hint="default" w:ascii="Times New Roman" w:hAnsi="Times New Roman" w:eastAsia="宋体" w:cs="Times New Roman"/>
          <w:color w:val="auto"/>
          <w:spacing w:val="-6"/>
          <w:sz w:val="24"/>
        </w:rPr>
      </w:pPr>
      <w:r>
        <w:rPr>
          <w:rFonts w:hint="default" w:ascii="Times New Roman" w:hAnsi="Times New Roman" w:eastAsia="宋体" w:cs="Times New Roman"/>
          <w:color w:val="auto"/>
          <w:spacing w:val="-6"/>
          <w:sz w:val="24"/>
        </w:rPr>
        <w:t>根据项目的工程分析结果，</w:t>
      </w:r>
      <w:r>
        <w:rPr>
          <w:rFonts w:hint="eastAsia" w:ascii="Times New Roman" w:hAnsi="Times New Roman" w:eastAsia="宋体" w:cs="Times New Roman"/>
          <w:color w:val="auto"/>
          <w:spacing w:val="-6"/>
          <w:sz w:val="24"/>
          <w:lang w:val="en-US" w:eastAsia="zh-CN"/>
        </w:rPr>
        <w:t>选择PM</w:t>
      </w:r>
      <w:r>
        <w:rPr>
          <w:rFonts w:hint="eastAsia" w:ascii="Times New Roman" w:hAnsi="Times New Roman" w:eastAsia="宋体" w:cs="Times New Roman"/>
          <w:color w:val="auto"/>
          <w:spacing w:val="-6"/>
          <w:sz w:val="24"/>
          <w:vertAlign w:val="subscript"/>
          <w:lang w:val="en-US" w:eastAsia="zh-CN"/>
        </w:rPr>
        <w:t>10</w:t>
      </w:r>
      <w:r>
        <w:rPr>
          <w:rFonts w:hint="default" w:ascii="Times New Roman" w:hAnsi="Times New Roman" w:eastAsia="宋体" w:cs="Times New Roman"/>
          <w:color w:val="auto"/>
          <w:spacing w:val="-6"/>
          <w:sz w:val="24"/>
        </w:rPr>
        <w:t>、SO</w:t>
      </w:r>
      <w:r>
        <w:rPr>
          <w:rFonts w:hint="default" w:ascii="Times New Roman" w:hAnsi="Times New Roman" w:eastAsia="宋体" w:cs="Times New Roman"/>
          <w:color w:val="auto"/>
          <w:spacing w:val="-6"/>
          <w:sz w:val="24"/>
          <w:vertAlign w:val="subscript"/>
        </w:rPr>
        <w:t>2</w:t>
      </w:r>
      <w:r>
        <w:rPr>
          <w:rFonts w:hint="eastAsia" w:ascii="Times New Roman" w:hAnsi="Times New Roman" w:eastAsia="宋体" w:cs="Times New Roman"/>
          <w:color w:val="auto"/>
          <w:spacing w:val="-6"/>
          <w:sz w:val="24"/>
          <w:lang w:eastAsia="zh-CN"/>
        </w:rPr>
        <w:t>、</w:t>
      </w:r>
      <w:r>
        <w:rPr>
          <w:rFonts w:hint="default" w:ascii="Times New Roman" w:hAnsi="Times New Roman" w:eastAsia="宋体" w:cs="Times New Roman"/>
          <w:color w:val="auto"/>
          <w:spacing w:val="-6"/>
          <w:sz w:val="24"/>
        </w:rPr>
        <w:t>NO</w:t>
      </w:r>
      <w:r>
        <w:rPr>
          <w:rFonts w:hint="default" w:ascii="Times New Roman" w:hAnsi="Times New Roman" w:eastAsia="宋体" w:cs="Times New Roman"/>
          <w:color w:val="auto"/>
          <w:spacing w:val="-6"/>
          <w:sz w:val="24"/>
          <w:vertAlign w:val="subscript"/>
        </w:rPr>
        <w:t>X</w:t>
      </w:r>
      <w:r>
        <w:rPr>
          <w:rFonts w:hint="eastAsia" w:ascii="Times New Roman" w:hAnsi="Times New Roman" w:eastAsia="宋体" w:cs="Times New Roman"/>
          <w:color w:val="auto"/>
          <w:spacing w:val="-6"/>
          <w:sz w:val="24"/>
          <w:vertAlign w:val="baseline"/>
          <w:lang w:eastAsia="zh-CN"/>
        </w:rPr>
        <w:t>、</w:t>
      </w:r>
      <w:r>
        <w:rPr>
          <w:rFonts w:hint="eastAsia" w:ascii="Times New Roman" w:hAnsi="Times New Roman" w:eastAsia="宋体" w:cs="Times New Roman"/>
          <w:color w:val="auto"/>
          <w:spacing w:val="-6"/>
          <w:sz w:val="24"/>
          <w:vertAlign w:val="baseline"/>
          <w:lang w:val="en-US" w:eastAsia="zh-CN"/>
        </w:rPr>
        <w:t>沥青烟、苯并[a]芘和非甲烷总烃</w:t>
      </w:r>
      <w:r>
        <w:rPr>
          <w:rFonts w:hint="default" w:ascii="Times New Roman" w:hAnsi="Times New Roman" w:eastAsia="宋体" w:cs="Times New Roman"/>
          <w:color w:val="auto"/>
          <w:spacing w:val="-6"/>
          <w:sz w:val="24"/>
        </w:rPr>
        <w:t>为预测因子，预测内容包括最大落地浓度及占标率，分析工程对评价区环境空气质量造成的影响。</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⑵预测模式</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预测模式采用《环境影响评价技术导则-大气环境》(HJ2.2-2018)中5.3节工作等级的确定方法，结合本项目工程分析结果，选择正常排放的主要污染物及排放参数，采用附录A推荐模型中的AERSCREEN模式计算项目污染源的最大环境影响，然后按评价工作分级判据进行分级。 </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① P</w:t>
      </w:r>
      <w:r>
        <w:rPr>
          <w:rFonts w:hint="default" w:ascii="Times New Roman" w:hAnsi="Times New Roman" w:eastAsia="宋体" w:cs="Times New Roman"/>
          <w:color w:val="auto"/>
          <w:sz w:val="24"/>
          <w:vertAlign w:val="subscript"/>
        </w:rPr>
        <w:t>max</w:t>
      </w:r>
      <w:r>
        <w:rPr>
          <w:rFonts w:hint="default" w:ascii="Times New Roman" w:hAnsi="Times New Roman" w:eastAsia="宋体" w:cs="Times New Roman"/>
          <w:color w:val="auto"/>
          <w:sz w:val="24"/>
        </w:rPr>
        <w:t>及D</w:t>
      </w:r>
      <w:r>
        <w:rPr>
          <w:rFonts w:hint="default" w:ascii="Times New Roman" w:hAnsi="Times New Roman" w:eastAsia="宋体" w:cs="Times New Roman"/>
          <w:color w:val="auto"/>
          <w:sz w:val="24"/>
          <w:vertAlign w:val="subscript"/>
        </w:rPr>
        <w:t>10%</w:t>
      </w:r>
      <w:r>
        <w:rPr>
          <w:rFonts w:hint="default" w:ascii="Times New Roman" w:hAnsi="Times New Roman" w:eastAsia="宋体" w:cs="Times New Roman"/>
          <w:color w:val="auto"/>
          <w:sz w:val="24"/>
        </w:rPr>
        <w:t>的确定</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依据《环境影响评价技术导则 大气环境》(HJ2.2-2018)中最大地面浓度占标率P</w:t>
      </w:r>
      <w:r>
        <w:rPr>
          <w:rFonts w:hint="default" w:ascii="Times New Roman" w:hAnsi="Times New Roman" w:eastAsia="宋体" w:cs="Times New Roman"/>
          <w:i/>
          <w:color w:val="auto"/>
          <w:sz w:val="24"/>
        </w:rPr>
        <w:t>i</w:t>
      </w:r>
      <w:r>
        <w:rPr>
          <w:rFonts w:hint="default" w:ascii="Times New Roman" w:hAnsi="Times New Roman" w:eastAsia="宋体" w:cs="Times New Roman"/>
          <w:color w:val="auto"/>
          <w:sz w:val="24"/>
        </w:rPr>
        <w:t>定义如下：</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anchor distT="0" distB="0" distL="114300" distR="114300" simplePos="0" relativeHeight="251682816" behindDoc="1" locked="0" layoutInCell="1" allowOverlap="1">
            <wp:simplePos x="0" y="0"/>
            <wp:positionH relativeFrom="column">
              <wp:posOffset>278130</wp:posOffset>
            </wp:positionH>
            <wp:positionV relativeFrom="paragraph">
              <wp:posOffset>142240</wp:posOffset>
            </wp:positionV>
            <wp:extent cx="1865630" cy="432435"/>
            <wp:effectExtent l="0" t="0" r="1905" b="10160"/>
            <wp:wrapNone/>
            <wp:docPr id="8"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33"/>
                    <pic:cNvPicPr>
                      <a:picLocks noChangeAspect="1"/>
                    </pic:cNvPicPr>
                  </pic:nvPicPr>
                  <pic:blipFill>
                    <a:blip r:embed="rId38"/>
                    <a:srcRect l="38319" t="49770" r="48833" b="44940"/>
                    <a:stretch>
                      <a:fillRect/>
                    </a:stretch>
                  </pic:blipFill>
                  <pic:spPr>
                    <a:xfrm>
                      <a:off x="0" y="0"/>
                      <a:ext cx="1865630" cy="43243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fldChar w:fldCharType="begin"/>
      </w:r>
      <w:r>
        <w:rPr>
          <w:rFonts w:hint="default" w:ascii="Times New Roman" w:hAnsi="Times New Roman" w:eastAsia="宋体" w:cs="Times New Roman"/>
          <w:color w:val="auto"/>
          <w:sz w:val="24"/>
          <w:szCs w:val="28"/>
        </w:rPr>
        <w:instrText xml:space="preserve"> QUOTE </w:instrText>
      </w:r>
      <w:r>
        <w:rPr>
          <w:rFonts w:hint="default" w:ascii="Times New Roman" w:hAnsi="Times New Roman" w:eastAsia="宋体" w:cs="Times New Roman"/>
          <w:color w:val="auto"/>
          <w:position w:val="-8"/>
          <w:sz w:val="24"/>
          <w:szCs w:val="28"/>
        </w:rPr>
        <w:pict>
          <v:shape id="_x0000_i1025" o:spt="75" type="#_x0000_t75" style="height:15.65pt;width:9.95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0DDE&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E80DDE&quot; wsp:rsidP=&quot;00E80DDE&quot;&gt;&lt;m:oMathPara&gt;&lt;m:oMath&gt;&lt;m:sSub&gt;&lt;m:sSubPr&gt;&lt;m:ctrlPr&gt;&lt;w:rPr&gt;&lt;w:rFonts w:ascii=&quot;Cambria Math&quot; w:h-ansi=&quot;Cambria Math&quot;/&gt;&lt;wx:font wx:val=&quot;Cambria Math&quot;/&gt;&lt;w:sz w:val=&quot;24&quot;/&gt;&lt;/w:rPr&gt;&lt;/m:ctrlPr&gt;&lt;/m:sSubPr&gt;&lt;m:e&gt;&lt;m:r&gt;&lt;w:rPr&gt;&lt;w:rFonts w:ascii=&quot;Cambria Math&quot; w:h-ansi=&quot;Cambria Math&quot;/&gt;&lt;wx:font wx:val=&quot;Cambria Math&quot;/&gt;&lt;w:i/&gt;&lt;w:sz w:val=&quot;24&quot;/&gt;&lt;/w:rPr&gt;&lt;m:t&gt;P&lt;/m:t&gt;&lt;/m:r&gt;&lt;/m:e&gt;&lt;m:sub&gt;&lt;m:r&gt;&lt;w:rPr&gt;&lt;w:rFonts w:ascii=&quot;Cambria Math&quot; w:h-ansi=&quot;Cambria Math&quot;/&gt;&lt;wx:font wx:val=&quot;Cambria Math&quot;/&gt;&lt;w:i/&gt;&lt;w:sz w:val=&quot;24&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39" chromakey="#FFFFFF" o:title=""/>
            <o:lock v:ext="edit" aspectratio="t"/>
            <w10:wrap type="none"/>
            <w10:anchorlock/>
          </v:shape>
        </w:pict>
      </w:r>
      <w:r>
        <w:rPr>
          <w:rFonts w:hint="default" w:ascii="Times New Roman" w:hAnsi="Times New Roman" w:eastAsia="宋体" w:cs="Times New Roman"/>
          <w:color w:val="auto"/>
          <w:sz w:val="24"/>
          <w:szCs w:val="28"/>
        </w:rPr>
        <w:instrText xml:space="preserve"> </w:instrText>
      </w:r>
      <w:r>
        <w:rPr>
          <w:rFonts w:hint="default" w:ascii="Times New Roman" w:hAnsi="Times New Roman" w:eastAsia="宋体" w:cs="Times New Roman"/>
          <w:color w:val="auto"/>
          <w:sz w:val="24"/>
          <w:szCs w:val="28"/>
        </w:rPr>
        <w:fldChar w:fldCharType="separate"/>
      </w:r>
      <w:r>
        <w:rPr>
          <w:rFonts w:hint="default" w:ascii="Times New Roman" w:hAnsi="Times New Roman" w:eastAsia="宋体" w:cs="Times New Roman"/>
          <w:color w:val="auto"/>
          <w:position w:val="-8"/>
          <w:sz w:val="24"/>
          <w:szCs w:val="28"/>
        </w:rPr>
        <w:pict>
          <v:shape id="_x0000_i1026" o:spt="75" type="#_x0000_t75" style="height:15.65pt;width:9.95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0DDE&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E80DDE&quot; wsp:rsidP=&quot;00E80DDE&quot;&gt;&lt;m:oMathPara&gt;&lt;m:oMath&gt;&lt;m:sSub&gt;&lt;m:sSubPr&gt;&lt;m:ctrlPr&gt;&lt;w:rPr&gt;&lt;w:rFonts w:ascii=&quot;Cambria Math&quot; w:h-ansi=&quot;Cambria Math&quot;/&gt;&lt;wx:font wx:val=&quot;Cambria Math&quot;/&gt;&lt;w:sz w:val=&quot;24&quot;/&gt;&lt;/w:rPr&gt;&lt;/m:ctrlPr&gt;&lt;/m:sSubPr&gt;&lt;m:e&gt;&lt;m:r&gt;&lt;w:rPr&gt;&lt;w:rFonts w:ascii=&quot;Cambria Math&quot; w:h-ansi=&quot;Cambria Math&quot;/&gt;&lt;wx:font wx:val=&quot;Cambria Math&quot;/&gt;&lt;w:i/&gt;&lt;w:sz w:val=&quot;24&quot;/&gt;&lt;/w:rPr&gt;&lt;m:t&gt;P&lt;/m:t&gt;&lt;/m:r&gt;&lt;/m:e&gt;&lt;m:sub&gt;&lt;m:r&gt;&lt;w:rPr&gt;&lt;w:rFonts w:ascii=&quot;Cambria Math&quot; w:h-ansi=&quot;Cambria Math&quot;/&gt;&lt;wx:font wx:val=&quot;Cambria Math&quot;/&gt;&lt;w:i/&gt;&lt;w:sz w:val=&quot;24&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39" chromakey="#FFFFFF" o:title=""/>
            <o:lock v:ext="edit" aspectratio="t"/>
            <w10:wrap type="none"/>
            <w10:anchorlock/>
          </v:shape>
        </w:pict>
      </w:r>
      <w:r>
        <w:rPr>
          <w:rFonts w:hint="default" w:ascii="Times New Roman" w:hAnsi="Times New Roman" w:eastAsia="宋体" w:cs="Times New Roman"/>
          <w:color w:val="auto"/>
          <w:sz w:val="24"/>
          <w:szCs w:val="28"/>
        </w:rPr>
        <w:fldChar w:fldCharType="end"/>
      </w:r>
      <w:r>
        <w:rPr>
          <w:rFonts w:hint="default" w:ascii="Times New Roman" w:hAnsi="Times New Roman" w:eastAsia="宋体" w:cs="Times New Roman"/>
          <w:color w:val="auto"/>
          <w:sz w:val="24"/>
          <w:szCs w:val="28"/>
        </w:rPr>
        <w:t xml:space="preserve"> ——第i个污染物的最大地面空气质量浓度 占标率，%；</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fldChar w:fldCharType="begin"/>
      </w:r>
      <w:r>
        <w:rPr>
          <w:rFonts w:hint="default" w:ascii="Times New Roman" w:hAnsi="Times New Roman" w:eastAsia="宋体" w:cs="Times New Roman"/>
          <w:color w:val="auto"/>
          <w:sz w:val="24"/>
          <w:szCs w:val="28"/>
        </w:rPr>
        <w:instrText xml:space="preserve"> QUOTE </w:instrText>
      </w:r>
      <w:r>
        <w:rPr>
          <w:rFonts w:hint="default" w:ascii="Times New Roman" w:hAnsi="Times New Roman" w:eastAsia="宋体" w:cs="Times New Roman"/>
          <w:color w:val="auto"/>
          <w:position w:val="-8"/>
          <w:sz w:val="24"/>
          <w:szCs w:val="28"/>
        </w:rPr>
        <w:pict>
          <v:shape id="_x0000_i1027" o:spt="75" type="#_x0000_t75" style="height:15.65pt;width:10.9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C5144&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8C5144&quot; wsp:rsidP=&quot;008C5144&quot;&gt;&lt;m:oMathPara&gt;&lt;m:oMath&gt;&lt;m:sSub&gt;&lt;m:sSubPr&gt;&lt;m:ctrlPr&gt;&lt;w:rPr&gt;&lt;w:rFonts w:ascii=&quot;Cambria Math&quot; w:h-ansi=&quot;Cambria Math&quot;/&gt;&lt;wx:font wx:val=&quot;Cambria Math&quot;/&gt;&lt;w:i/&gt;&lt;w:sz w:val=&quot;24&quot;/&gt;&lt;/w:rPr&gt;&lt;/m:ctrlPr&gt;&lt;/m:sSubPr&gt;&lt;m:e&gt;&lt;m:r&gt;&lt;w:rPr&gt;&lt;w:rFonts w:ascii=&quot;Cambria Math&quot; w:h-ansi=&quot;Cambria Math&quot;/&gt;&lt;wx:font wx:val=&quot;Cambria Math&quot;/&gt;&lt;w:i/&gt;&lt;w:sz w:val=&quot;24&quot;/&gt;&lt;/w:rPr&gt;&lt;m:t&gt;C&lt;/m:t&gt;&lt;/m:r&gt;&lt;/m:e&gt;&lt;m:sub&gt;&lt;m:r&gt;&lt;w:rPr&gt;&lt;w:rFonts w:ascii=&quot;Cambria Math&quot; w:h-ansi=&quot;Cambria Math&quot;/&gt;&lt;wx:font wx:val=&quot;Cambria Math&quot;/&gt;&lt;w:i/&gt;&lt;w:sz w:val=&quot;24&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40" chromakey="#FFFFFF" o:title=""/>
            <o:lock v:ext="edit" aspectratio="t"/>
            <w10:wrap type="none"/>
            <w10:anchorlock/>
          </v:shape>
        </w:pict>
      </w:r>
      <w:r>
        <w:rPr>
          <w:rFonts w:hint="default" w:ascii="Times New Roman" w:hAnsi="Times New Roman" w:eastAsia="宋体" w:cs="Times New Roman"/>
          <w:color w:val="auto"/>
          <w:sz w:val="24"/>
          <w:szCs w:val="28"/>
        </w:rPr>
        <w:instrText xml:space="preserve"> </w:instrText>
      </w:r>
      <w:r>
        <w:rPr>
          <w:rFonts w:hint="default" w:ascii="Times New Roman" w:hAnsi="Times New Roman" w:eastAsia="宋体" w:cs="Times New Roman"/>
          <w:color w:val="auto"/>
          <w:sz w:val="24"/>
          <w:szCs w:val="28"/>
        </w:rPr>
        <w:fldChar w:fldCharType="separate"/>
      </w:r>
      <w:r>
        <w:rPr>
          <w:rFonts w:hint="default" w:ascii="Times New Roman" w:hAnsi="Times New Roman" w:eastAsia="宋体" w:cs="Times New Roman"/>
          <w:color w:val="auto"/>
          <w:position w:val="-8"/>
          <w:sz w:val="24"/>
          <w:szCs w:val="28"/>
        </w:rPr>
        <w:pict>
          <v:shape id="_x0000_i1028" o:spt="75" type="#_x0000_t75" style="height:15.65pt;width:10.9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C5144&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8C5144&quot; wsp:rsidP=&quot;008C5144&quot;&gt;&lt;m:oMathPara&gt;&lt;m:oMath&gt;&lt;m:sSub&gt;&lt;m:sSubPr&gt;&lt;m:ctrlPr&gt;&lt;w:rPr&gt;&lt;w:rFonts w:ascii=&quot;Cambria Math&quot; w:h-ansi=&quot;Cambria Math&quot;/&gt;&lt;wx:font wx:val=&quot;Cambria Math&quot;/&gt;&lt;w:i/&gt;&lt;w:sz w:val=&quot;24&quot;/&gt;&lt;/w:rPr&gt;&lt;/m:ctrlPr&gt;&lt;/m:sSubPr&gt;&lt;m:e&gt;&lt;m:r&gt;&lt;w:rPr&gt;&lt;w:rFonts w:ascii=&quot;Cambria Math&quot; w:h-ansi=&quot;Cambria Math&quot;/&gt;&lt;wx:font wx:val=&quot;Cambria Math&quot;/&gt;&lt;w:i/&gt;&lt;w:sz w:val=&quot;24&quot;/&gt;&lt;/w:rPr&gt;&lt;m:t&gt;C&lt;/m:t&gt;&lt;/m:r&gt;&lt;/m:e&gt;&lt;m:sub&gt;&lt;m:r&gt;&lt;w:rPr&gt;&lt;w:rFonts w:ascii=&quot;Cambria Math&quot; w:h-ansi=&quot;Cambria Math&quot;/&gt;&lt;wx:font wx:val=&quot;Cambria Math&quot;/&gt;&lt;w:i/&gt;&lt;w:sz w:val=&quot;24&quot;/&gt;&lt;/w:rPr&gt;&lt;m:t&gt;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40" chromakey="#FFFFFF" o:title=""/>
            <o:lock v:ext="edit" aspectratio="t"/>
            <w10:wrap type="none"/>
            <w10:anchorlock/>
          </v:shape>
        </w:pict>
      </w:r>
      <w:r>
        <w:rPr>
          <w:rFonts w:hint="default" w:ascii="Times New Roman" w:hAnsi="Times New Roman" w:eastAsia="宋体" w:cs="Times New Roman"/>
          <w:color w:val="auto"/>
          <w:sz w:val="24"/>
          <w:szCs w:val="28"/>
        </w:rPr>
        <w:fldChar w:fldCharType="end"/>
      </w:r>
      <w:r>
        <w:rPr>
          <w:rFonts w:hint="default" w:ascii="Times New Roman" w:hAnsi="Times New Roman" w:eastAsia="宋体" w:cs="Times New Roman"/>
          <w:color w:val="auto"/>
          <w:sz w:val="24"/>
          <w:szCs w:val="28"/>
        </w:rPr>
        <w:t>——采用估算模型计算出的第i个污染物的最大1h地面空气质量浓度，μg/m</w:t>
      </w:r>
      <w:r>
        <w:rPr>
          <w:rFonts w:hint="default" w:ascii="Times New Roman" w:hAnsi="Times New Roman" w:eastAsia="宋体" w:cs="Times New Roman"/>
          <w:color w:val="auto"/>
          <w:sz w:val="24"/>
          <w:szCs w:val="28"/>
          <w:vertAlign w:val="superscript"/>
        </w:rPr>
        <w:t>3</w:t>
      </w:r>
      <w:r>
        <w:rPr>
          <w:rFonts w:hint="default" w:ascii="Times New Roman" w:hAnsi="Times New Roman" w:eastAsia="宋体" w:cs="Times New Roman"/>
          <w:color w:val="auto"/>
          <w:sz w:val="24"/>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fldChar w:fldCharType="begin"/>
      </w:r>
      <w:r>
        <w:rPr>
          <w:rFonts w:hint="default" w:ascii="Times New Roman" w:hAnsi="Times New Roman" w:eastAsia="宋体" w:cs="Times New Roman"/>
          <w:color w:val="auto"/>
          <w:sz w:val="24"/>
          <w:szCs w:val="28"/>
        </w:rPr>
        <w:instrText xml:space="preserve"> QUOTE </w:instrText>
      </w:r>
      <w:r>
        <w:rPr>
          <w:rFonts w:hint="default" w:ascii="Times New Roman" w:hAnsi="Times New Roman" w:eastAsia="宋体" w:cs="Times New Roman"/>
          <w:color w:val="auto"/>
          <w:position w:val="-8"/>
          <w:sz w:val="24"/>
          <w:szCs w:val="28"/>
        </w:rPr>
        <w:pict>
          <v:shape id="_x0000_i1029" o:spt="75" type="#_x0000_t75" style="height:15.65pt;width:15.15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5C61&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3E5C61&quot; wsp:rsidP=&quot;003E5C61&quot;&gt;&lt;m:oMathPara&gt;&lt;m:oMath&gt;&lt;m:sSub&gt;&lt;m:sSubPr&gt;&lt;m:ctrlPr&gt;&lt;w:rPr&gt;&lt;w:rFonts w:ascii=&quot;Cambria Math&quot; w:h-ansi=&quot;Cambria Math&quot;/&gt;&lt;wx:font wx:val=&quot;Cambria Math&quot;/&gt;&lt;w:i/&gt;&lt;w:sz w:val=&quot;24&quot;/&gt;&lt;/w:rPr&gt;&lt;/m:ctrlPr&gt;&lt;/m:sSubPr&gt;&lt;m:e&gt;&lt;m:r&gt;&lt;w:rPr&gt;&lt;w:rFonts w:ascii=&quot;Cambria Math&quot; w:h-ansi=&quot;Cambria Math&quot;/&gt;&lt;wx:font wx:val=&quot;Cambria Math&quot;/&gt;&lt;w:i/&gt;&lt;w:sz w:val=&quot;24&quot;/&gt;&lt;/w:rPr&gt;&lt;m:t&gt;C&lt;/m:t&gt;&lt;/m:r&gt;&lt;/m:e&gt;&lt;m:sub&gt;&lt;m:r&gt;&lt;w:rPr&gt;&lt;w:rFonts w:ascii=&quot;Cambria Math&quot; w:h-ansi=&quot;Cambria Math&quot;/&gt;&lt;wx:font wx:val=&quot;Cambria Math&quot;/&gt;&lt;w:i/&gt;&lt;w:sz w:val=&quot;24&quot;/&gt;&lt;/w:rPr&gt;&lt;m:t&gt;0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41" chromakey="#FFFFFF" o:title=""/>
            <o:lock v:ext="edit" aspectratio="t"/>
            <w10:wrap type="none"/>
            <w10:anchorlock/>
          </v:shape>
        </w:pict>
      </w:r>
      <w:r>
        <w:rPr>
          <w:rFonts w:hint="default" w:ascii="Times New Roman" w:hAnsi="Times New Roman" w:eastAsia="宋体" w:cs="Times New Roman"/>
          <w:color w:val="auto"/>
          <w:sz w:val="24"/>
          <w:szCs w:val="28"/>
        </w:rPr>
        <w:instrText xml:space="preserve"> </w:instrText>
      </w:r>
      <w:r>
        <w:rPr>
          <w:rFonts w:hint="default" w:ascii="Times New Roman" w:hAnsi="Times New Roman" w:eastAsia="宋体" w:cs="Times New Roman"/>
          <w:color w:val="auto"/>
          <w:sz w:val="24"/>
          <w:szCs w:val="28"/>
        </w:rPr>
        <w:fldChar w:fldCharType="separate"/>
      </w:r>
      <w:r>
        <w:rPr>
          <w:rFonts w:hint="default" w:ascii="Times New Roman" w:hAnsi="Times New Roman" w:eastAsia="宋体" w:cs="Times New Roman"/>
          <w:color w:val="auto"/>
          <w:position w:val="-8"/>
          <w:sz w:val="24"/>
          <w:szCs w:val="28"/>
        </w:rPr>
        <w:pict>
          <v:shape id="_x0000_i1030" o:spt="75" type="#_x0000_t75" style="height:15.65pt;width:15.15pt;" filled="f" o:preferrelative="t" stroked="f" coordsize="21600,21600"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bordersDontSurroundHeader/&gt;&lt;w:bordersDontSurroundFooter/&gt;&lt;w:hideSpellingErrors/&gt;&lt;w:hideGrammaticalErrors/&gt;&lt;w:stylePaneFormatFilter w:val=&quot;3F01&quot;/&gt;&lt;w:defaultTabStop w:val=&quot;420&quot;/&gt;&lt;w:drawingGridHorizontalSpacing w:val=&quot;105&quot;/&gt;&lt;w:drawingGridVerticalSpacing w:val=&quot;156&quot;/&gt;&lt;w:displayHorizontalDrawingGridEvery w:val=&quot;0&quot;/&gt;&lt;w:displayVerticalDrawingGridEvery w:val=&quot;2&quot;/&gt;&lt;w:punctuationKerning/&gt;&lt;w:characterSpacingControl w:val=&quot;CompressPunctuation&quot;/&gt;&lt;w:optimizeForBrowser/&gt;&lt;w:targetScreenSz w:val=&quot;800x600&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dontAllowFieldEndSelect/&gt;&lt;w:useWord2002TableStyleRules/&gt;&lt;w:useFELayout/&gt;&lt;/w:compat&gt;&lt;wsp:rsids&gt;&lt;wsp:rsidRoot wsp:val=&quot;00641D6F&quot;/&gt;&lt;wsp:rsid wsp:val=&quot;000002F8&quot;/&gt;&lt;wsp:rsid wsp:val=&quot;00000A9A&quot;/&gt;&lt;wsp:rsid wsp:val=&quot;00000DCA&quot;/&gt;&lt;wsp:rsid wsp:val=&quot;000019D8&quot;/&gt;&lt;wsp:rsid wsp:val=&quot;00001C2A&quot;/&gt;&lt;wsp:rsid wsp:val=&quot;00003526&quot;/&gt;&lt;wsp:rsid wsp:val=&quot;00004D7A&quot;/&gt;&lt;wsp:rsid wsp:val=&quot;00005793&quot;/&gt;&lt;wsp:rsid wsp:val=&quot;0000598E&quot;/&gt;&lt;wsp:rsid wsp:val=&quot;00010225&quot;/&gt;&lt;wsp:rsid wsp:val=&quot;00010A23&quot;/&gt;&lt;wsp:rsid wsp:val=&quot;0001114E&quot;/&gt;&lt;wsp:rsid wsp:val=&quot;00013A72&quot;/&gt;&lt;wsp:rsid wsp:val=&quot;0001457C&quot;/&gt;&lt;wsp:rsid wsp:val=&quot;00015683&quot;/&gt;&lt;wsp:rsid wsp:val=&quot;000160F2&quot;/&gt;&lt;wsp:rsid wsp:val=&quot;00016ED8&quot;/&gt;&lt;wsp:rsid wsp:val=&quot;00016EE6&quot;/&gt;&lt;wsp:rsid wsp:val=&quot;00017243&quot;/&gt;&lt;wsp:rsid wsp:val=&quot;000173BC&quot;/&gt;&lt;wsp:rsid wsp:val=&quot;00017C71&quot;/&gt;&lt;wsp:rsid wsp:val=&quot;00020831&quot;/&gt;&lt;wsp:rsid wsp:val=&quot;00021B92&quot;/&gt;&lt;wsp:rsid wsp:val=&quot;00021CFD&quot;/&gt;&lt;wsp:rsid wsp:val=&quot;0002257F&quot;/&gt;&lt;wsp:rsid wsp:val=&quot;00022DB1&quot;/&gt;&lt;wsp:rsid wsp:val=&quot;00022DCE&quot;/&gt;&lt;wsp:rsid wsp:val=&quot;00023514&quot;/&gt;&lt;wsp:rsid wsp:val=&quot;000236A1&quot;/&gt;&lt;wsp:rsid wsp:val=&quot;00024A59&quot;/&gt;&lt;wsp:rsid wsp:val=&quot;00025783&quot;/&gt;&lt;wsp:rsid wsp:val=&quot;000262E0&quot;/&gt;&lt;wsp:rsid wsp:val=&quot;0002687B&quot;/&gt;&lt;wsp:rsid wsp:val=&quot;00026F93&quot;/&gt;&lt;wsp:rsid wsp:val=&quot;00027A87&quot;/&gt;&lt;wsp:rsid wsp:val=&quot;00027C2C&quot;/&gt;&lt;wsp:rsid wsp:val=&quot;0003036E&quot;/&gt;&lt;wsp:rsid wsp:val=&quot;00030EC3&quot;/&gt;&lt;wsp:rsid wsp:val=&quot;0003246C&quot;/&gt;&lt;wsp:rsid wsp:val=&quot;00032794&quot;/&gt;&lt;wsp:rsid wsp:val=&quot;00032978&quot;/&gt;&lt;wsp:rsid wsp:val=&quot;00032B51&quot;/&gt;&lt;wsp:rsid wsp:val=&quot;000355E6&quot;/&gt;&lt;wsp:rsid wsp:val=&quot;000368FF&quot;/&gt;&lt;wsp:rsid wsp:val=&quot;00037447&quot;/&gt;&lt;wsp:rsid wsp:val=&quot;00037BF3&quot;/&gt;&lt;wsp:rsid wsp:val=&quot;000410D6&quot;/&gt;&lt;wsp:rsid wsp:val=&quot;00041188&quot;/&gt;&lt;wsp:rsid wsp:val=&quot;00041C60&quot;/&gt;&lt;wsp:rsid wsp:val=&quot;00041CC6&quot;/&gt;&lt;wsp:rsid wsp:val=&quot;000422EB&quot;/&gt;&lt;wsp:rsid wsp:val=&quot;00042552&quot;/&gt;&lt;wsp:rsid wsp:val=&quot;00042B4D&quot;/&gt;&lt;wsp:rsid wsp:val=&quot;0004357A&quot;/&gt;&lt;wsp:rsid wsp:val=&quot;0004485A&quot;/&gt;&lt;wsp:rsid wsp:val=&quot;000450FD&quot;/&gt;&lt;wsp:rsid wsp:val=&quot;0004624B&quot;/&gt;&lt;wsp:rsid wsp:val=&quot;00047583&quot;/&gt;&lt;wsp:rsid wsp:val=&quot;000510A9&quot;/&gt;&lt;wsp:rsid wsp:val=&quot;000511D2&quot;/&gt;&lt;wsp:rsid wsp:val=&quot;000512CF&quot;/&gt;&lt;wsp:rsid wsp:val=&quot;00055C55&quot;/&gt;&lt;wsp:rsid wsp:val=&quot;00055D16&quot;/&gt;&lt;wsp:rsid wsp:val=&quot;00056A94&quot;/&gt;&lt;wsp:rsid wsp:val=&quot;00056F27&quot;/&gt;&lt;wsp:rsid wsp:val=&quot;0005703D&quot;/&gt;&lt;wsp:rsid wsp:val=&quot;0005769C&quot;/&gt;&lt;wsp:rsid wsp:val=&quot;000579A9&quot;/&gt;&lt;wsp:rsid wsp:val=&quot;000603EF&quot;/&gt;&lt;wsp:rsid wsp:val=&quot;00061009&quot;/&gt;&lt;wsp:rsid wsp:val=&quot;000615B2&quot;/&gt;&lt;wsp:rsid wsp:val=&quot;00061A42&quot;/&gt;&lt;wsp:rsid wsp:val=&quot;00062D53&quot;/&gt;&lt;wsp:rsid wsp:val=&quot;00064E29&quot;/&gt;&lt;wsp:rsid wsp:val=&quot;00066207&quot;/&gt;&lt;wsp:rsid wsp:val=&quot;00067884&quot;/&gt;&lt;wsp:rsid wsp:val=&quot;00067FDD&quot;/&gt;&lt;wsp:rsid wsp:val=&quot;00070133&quot;/&gt;&lt;wsp:rsid wsp:val=&quot;000705FC&quot;/&gt;&lt;wsp:rsid wsp:val=&quot;00070E13&quot;/&gt;&lt;wsp:rsid wsp:val=&quot;00071352&quot;/&gt;&lt;wsp:rsid wsp:val=&quot;0007136B&quot;/&gt;&lt;wsp:rsid wsp:val=&quot;000716B1&quot;/&gt;&lt;wsp:rsid wsp:val=&quot;00075AE4&quot;/&gt;&lt;wsp:rsid wsp:val=&quot;0007745F&quot;/&gt;&lt;wsp:rsid wsp:val=&quot;00077BBB&quot;/&gt;&lt;wsp:rsid wsp:val=&quot;00077EA4&quot;/&gt;&lt;wsp:rsid wsp:val=&quot;00080716&quot;/&gt;&lt;wsp:rsid wsp:val=&quot;00080DB3&quot;/&gt;&lt;wsp:rsid wsp:val=&quot;000812BF&quot;/&gt;&lt;wsp:rsid wsp:val=&quot;000812D5&quot;/&gt;&lt;wsp:rsid wsp:val=&quot;000816E0&quot;/&gt;&lt;wsp:rsid wsp:val=&quot;00082C2D&quot;/&gt;&lt;wsp:rsid wsp:val=&quot;00082D54&quot;/&gt;&lt;wsp:rsid wsp:val=&quot;00084039&quot;/&gt;&lt;wsp:rsid wsp:val=&quot;00084E84&quot;/&gt;&lt;wsp:rsid wsp:val=&quot;0008577B&quot;/&gt;&lt;wsp:rsid wsp:val=&quot;000857F7&quot;/&gt;&lt;wsp:rsid wsp:val=&quot;00085A28&quot;/&gt;&lt;wsp:rsid wsp:val=&quot;00086BA1&quot;/&gt;&lt;wsp:rsid wsp:val=&quot;000875AB&quot;/&gt;&lt;wsp:rsid wsp:val=&quot;00087D4E&quot;/&gt;&lt;wsp:rsid wsp:val=&quot;00090FEA&quot;/&gt;&lt;wsp:rsid wsp:val=&quot;0009140D&quot;/&gt;&lt;wsp:rsid wsp:val=&quot;00091674&quot;/&gt;&lt;wsp:rsid wsp:val=&quot;000916C0&quot;/&gt;&lt;wsp:rsid wsp:val=&quot;0009359E&quot;/&gt;&lt;wsp:rsid wsp:val=&quot;0009616C&quot;/&gt;&lt;wsp:rsid wsp:val=&quot;00096B44&quot;/&gt;&lt;wsp:rsid wsp:val=&quot;000A2071&quot;/&gt;&lt;wsp:rsid wsp:val=&quot;000A3109&quot;/&gt;&lt;wsp:rsid wsp:val=&quot;000A33D0&quot;/&gt;&lt;wsp:rsid wsp:val=&quot;000A3572&quot;/&gt;&lt;wsp:rsid wsp:val=&quot;000A3D3C&quot;/&gt;&lt;wsp:rsid wsp:val=&quot;000A4EEC&quot;/&gt;&lt;wsp:rsid wsp:val=&quot;000A5124&quot;/&gt;&lt;wsp:rsid wsp:val=&quot;000A55C5&quot;/&gt;&lt;wsp:rsid wsp:val=&quot;000A57F8&quot;/&gt;&lt;wsp:rsid wsp:val=&quot;000A6E52&quot;/&gt;&lt;wsp:rsid wsp:val=&quot;000A7679&quot;/&gt;&lt;wsp:rsid wsp:val=&quot;000B0A19&quot;/&gt;&lt;wsp:rsid wsp:val=&quot;000B1019&quot;/&gt;&lt;wsp:rsid wsp:val=&quot;000B1724&quot;/&gt;&lt;wsp:rsid wsp:val=&quot;000B2976&quot;/&gt;&lt;wsp:rsid wsp:val=&quot;000B2ABD&quot;/&gt;&lt;wsp:rsid wsp:val=&quot;000B41F5&quot;/&gt;&lt;wsp:rsid wsp:val=&quot;000B420D&quot;/&gt;&lt;wsp:rsid wsp:val=&quot;000B4507&quot;/&gt;&lt;wsp:rsid wsp:val=&quot;000B45E2&quot;/&gt;&lt;wsp:rsid wsp:val=&quot;000B50F0&quot;/&gt;&lt;wsp:rsid wsp:val=&quot;000B5C00&quot;/&gt;&lt;wsp:rsid wsp:val=&quot;000B6C0F&quot;/&gt;&lt;wsp:rsid wsp:val=&quot;000B6D67&quot;/&gt;&lt;wsp:rsid wsp:val=&quot;000B79AB&quot;/&gt;&lt;wsp:rsid wsp:val=&quot;000C071A&quot;/&gt;&lt;wsp:rsid wsp:val=&quot;000C07D6&quot;/&gt;&lt;wsp:rsid wsp:val=&quot;000C07EE&quot;/&gt;&lt;wsp:rsid wsp:val=&quot;000C08E1&quot;/&gt;&lt;wsp:rsid wsp:val=&quot;000C0C93&quot;/&gt;&lt;wsp:rsid wsp:val=&quot;000C0D07&quot;/&gt;&lt;wsp:rsid wsp:val=&quot;000C0E9B&quot;/&gt;&lt;wsp:rsid wsp:val=&quot;000C0F46&quot;/&gt;&lt;wsp:rsid wsp:val=&quot;000C1F2A&quot;/&gt;&lt;wsp:rsid wsp:val=&quot;000C445F&quot;/&gt;&lt;wsp:rsid wsp:val=&quot;000C4465&quot;/&gt;&lt;wsp:rsid wsp:val=&quot;000C4594&quot;/&gt;&lt;wsp:rsid wsp:val=&quot;000C521F&quot;/&gt;&lt;wsp:rsid wsp:val=&quot;000C547C&quot;/&gt;&lt;wsp:rsid wsp:val=&quot;000C60D7&quot;/&gt;&lt;wsp:rsid wsp:val=&quot;000C6E19&quot;/&gt;&lt;wsp:rsid wsp:val=&quot;000C7B91&quot;/&gt;&lt;wsp:rsid wsp:val=&quot;000D00A8&quot;/&gt;&lt;wsp:rsid wsp:val=&quot;000D129B&quot;/&gt;&lt;wsp:rsid wsp:val=&quot;000D1AB1&quot;/&gt;&lt;wsp:rsid wsp:val=&quot;000D1C29&quot;/&gt;&lt;wsp:rsid wsp:val=&quot;000D3C85&quot;/&gt;&lt;wsp:rsid wsp:val=&quot;000D436C&quot;/&gt;&lt;wsp:rsid wsp:val=&quot;000D44CB&quot;/&gt;&lt;wsp:rsid wsp:val=&quot;000D487F&quot;/&gt;&lt;wsp:rsid wsp:val=&quot;000D4D9E&quot;/&gt;&lt;wsp:rsid wsp:val=&quot;000D5F1C&quot;/&gt;&lt;wsp:rsid wsp:val=&quot;000D6846&quot;/&gt;&lt;wsp:rsid wsp:val=&quot;000D684D&quot;/&gt;&lt;wsp:rsid wsp:val=&quot;000D6C4C&quot;/&gt;&lt;wsp:rsid wsp:val=&quot;000D719C&quot;/&gt;&lt;wsp:rsid wsp:val=&quot;000D7BFE&quot;/&gt;&lt;wsp:rsid wsp:val=&quot;000D7E5B&quot;/&gt;&lt;wsp:rsid wsp:val=&quot;000E069E&quot;/&gt;&lt;wsp:rsid wsp:val=&quot;000E11F6&quot;/&gt;&lt;wsp:rsid wsp:val=&quot;000E147C&quot;/&gt;&lt;wsp:rsid wsp:val=&quot;000E2656&quot;/&gt;&lt;wsp:rsid wsp:val=&quot;000E2A1E&quot;/&gt;&lt;wsp:rsid wsp:val=&quot;000E3443&quot;/&gt;&lt;wsp:rsid wsp:val=&quot;000E3490&quot;/&gt;&lt;wsp:rsid wsp:val=&quot;000E49B2&quot;/&gt;&lt;wsp:rsid wsp:val=&quot;000E54C2&quot;/&gt;&lt;wsp:rsid wsp:val=&quot;000E659F&quot;/&gt;&lt;wsp:rsid wsp:val=&quot;000E6661&quot;/&gt;&lt;wsp:rsid wsp:val=&quot;000E6BFD&quot;/&gt;&lt;wsp:rsid wsp:val=&quot;000E7E34&quot;/&gt;&lt;wsp:rsid wsp:val=&quot;000F015F&quot;/&gt;&lt;wsp:rsid wsp:val=&quot;000F087E&quot;/&gt;&lt;wsp:rsid wsp:val=&quot;000F092F&quot;/&gt;&lt;wsp:rsid wsp:val=&quot;000F0C66&quot;/&gt;&lt;wsp:rsid wsp:val=&quot;000F1365&quot;/&gt;&lt;wsp:rsid wsp:val=&quot;000F2434&quot;/&gt;&lt;wsp:rsid wsp:val=&quot;000F28AB&quot;/&gt;&lt;wsp:rsid wsp:val=&quot;000F39D0&quot;/&gt;&lt;wsp:rsid wsp:val=&quot;000F3C52&quot;/&gt;&lt;wsp:rsid wsp:val=&quot;000F4603&quot;/&gt;&lt;wsp:rsid wsp:val=&quot;000F461C&quot;/&gt;&lt;wsp:rsid wsp:val=&quot;000F5393&quot;/&gt;&lt;wsp:rsid wsp:val=&quot;000F5A29&quot;/&gt;&lt;wsp:rsid wsp:val=&quot;000F6863&quot;/&gt;&lt;wsp:rsid wsp:val=&quot;000F7302&quot;/&gt;&lt;wsp:rsid wsp:val=&quot;00100C80&quot;/&gt;&lt;wsp:rsid wsp:val=&quot;00101231&quot;/&gt;&lt;wsp:rsid wsp:val=&quot;00101924&quot;/&gt;&lt;wsp:rsid wsp:val=&quot;00101B26&quot;/&gt;&lt;wsp:rsid wsp:val=&quot;00102892&quot;/&gt;&lt;wsp:rsid wsp:val=&quot;00102C60&quot;/&gt;&lt;wsp:rsid wsp:val=&quot;00102D52&quot;/&gt;&lt;wsp:rsid wsp:val=&quot;00104E5E&quot;/&gt;&lt;wsp:rsid wsp:val=&quot;00104F4F&quot;/&gt;&lt;wsp:rsid wsp:val=&quot;001052F5&quot;/&gt;&lt;wsp:rsid wsp:val=&quot;0010597E&quot;/&gt;&lt;wsp:rsid wsp:val=&quot;00106B1C&quot;/&gt;&lt;wsp:rsid wsp:val=&quot;00107081&quot;/&gt;&lt;wsp:rsid wsp:val=&quot;00107C35&quot;/&gt;&lt;wsp:rsid wsp:val=&quot;00110018&quot;/&gt;&lt;wsp:rsid wsp:val=&quot;00111795&quot;/&gt;&lt;wsp:rsid wsp:val=&quot;0011263A&quot;/&gt;&lt;wsp:rsid wsp:val=&quot;001126AA&quot;/&gt;&lt;wsp:rsid wsp:val=&quot;00112883&quot;/&gt;&lt;wsp:rsid wsp:val=&quot;001128C2&quot;/&gt;&lt;wsp:rsid wsp:val=&quot;00113C30&quot;/&gt;&lt;wsp:rsid wsp:val=&quot;0011452B&quot;/&gt;&lt;wsp:rsid wsp:val=&quot;00115229&quot;/&gt;&lt;wsp:rsid wsp:val=&quot;0011763B&quot;/&gt;&lt;wsp:rsid wsp:val=&quot;001177C3&quot;/&gt;&lt;wsp:rsid wsp:val=&quot;00121066&quot;/&gt;&lt;wsp:rsid wsp:val=&quot;001212B9&quot;/&gt;&lt;wsp:rsid wsp:val=&quot;001216C0&quot;/&gt;&lt;wsp:rsid wsp:val=&quot;00121F3F&quot;/&gt;&lt;wsp:rsid wsp:val=&quot;00122283&quot;/&gt;&lt;wsp:rsid wsp:val=&quot;00122B8D&quot;/&gt;&lt;wsp:rsid wsp:val=&quot;00123165&quot;/&gt;&lt;wsp:rsid wsp:val=&quot;001233C5&quot;/&gt;&lt;wsp:rsid wsp:val=&quot;00123EAD&quot;/&gt;&lt;wsp:rsid wsp:val=&quot;00124C57&quot;/&gt;&lt;wsp:rsid wsp:val=&quot;00125CD1&quot;/&gt;&lt;wsp:rsid wsp:val=&quot;0012763B&quot;/&gt;&lt;wsp:rsid wsp:val=&quot;00127BB7&quot;/&gt;&lt;wsp:rsid wsp:val=&quot;00130238&quot;/&gt;&lt;wsp:rsid wsp:val=&quot;0013136C&quot;/&gt;&lt;wsp:rsid wsp:val=&quot;0013389E&quot;/&gt;&lt;wsp:rsid wsp:val=&quot;00133D9F&quot;/&gt;&lt;wsp:rsid wsp:val=&quot;00134690&quot;/&gt;&lt;wsp:rsid wsp:val=&quot;00134DB5&quot;/&gt;&lt;wsp:rsid wsp:val=&quot;00134EE9&quot;/&gt;&lt;wsp:rsid wsp:val=&quot;00134FF1&quot;/&gt;&lt;wsp:rsid wsp:val=&quot;00136CB8&quot;/&gt;&lt;wsp:rsid wsp:val=&quot;00136E3C&quot;/&gt;&lt;wsp:rsid wsp:val=&quot;001403CD&quot;/&gt;&lt;wsp:rsid wsp:val=&quot;001411A8&quot;/&gt;&lt;wsp:rsid wsp:val=&quot;00141EFD&quot;/&gt;&lt;wsp:rsid wsp:val=&quot;001459C8&quot;/&gt;&lt;wsp:rsid wsp:val=&quot;00146AAA&quot;/&gt;&lt;wsp:rsid wsp:val=&quot;00146BAA&quot;/&gt;&lt;wsp:rsid wsp:val=&quot;00146F14&quot;/&gt;&lt;wsp:rsid wsp:val=&quot;001476DC&quot;/&gt;&lt;wsp:rsid wsp:val=&quot;0015166B&quot;/&gt;&lt;wsp:rsid wsp:val=&quot;0015235F&quot;/&gt;&lt;wsp:rsid wsp:val=&quot;001531A5&quot;/&gt;&lt;wsp:rsid wsp:val=&quot;001538A8&quot;/&gt;&lt;wsp:rsid wsp:val=&quot;00153951&quot;/&gt;&lt;wsp:rsid wsp:val=&quot;00154AF8&quot;/&gt;&lt;wsp:rsid wsp:val=&quot;00155520&quot;/&gt;&lt;wsp:rsid wsp:val=&quot;001559A8&quot;/&gt;&lt;wsp:rsid wsp:val=&quot;001565C1&quot;/&gt;&lt;wsp:rsid wsp:val=&quot;00156FEA&quot;/&gt;&lt;wsp:rsid wsp:val=&quot;00160B7E&quot;/&gt;&lt;wsp:rsid wsp:val=&quot;00163B69&quot;/&gt;&lt;wsp:rsid wsp:val=&quot;00165361&quot;/&gt;&lt;wsp:rsid wsp:val=&quot;0016587E&quot;/&gt;&lt;wsp:rsid wsp:val=&quot;00166FF9&quot;/&gt;&lt;wsp:rsid wsp:val=&quot;00167695&quot;/&gt;&lt;wsp:rsid wsp:val=&quot;00167ACC&quot;/&gt;&lt;wsp:rsid wsp:val=&quot;00167E2D&quot;/&gt;&lt;wsp:rsid wsp:val=&quot;001707E1&quot;/&gt;&lt;wsp:rsid wsp:val=&quot;001708CF&quot;/&gt;&lt;wsp:rsid wsp:val=&quot;00170F10&quot;/&gt;&lt;wsp:rsid wsp:val=&quot;0017115A&quot;/&gt;&lt;wsp:rsid wsp:val=&quot;0017135B&quot;/&gt;&lt;wsp:rsid wsp:val=&quot;0017216B&quot;/&gt;&lt;wsp:rsid wsp:val=&quot;001722D2&quot;/&gt;&lt;wsp:rsid wsp:val=&quot;00173E4A&quot;/&gt;&lt;wsp:rsid wsp:val=&quot;001742EA&quot;/&gt;&lt;wsp:rsid wsp:val=&quot;00175353&quot;/&gt;&lt;wsp:rsid wsp:val=&quot;00175C03&quot;/&gt;&lt;wsp:rsid wsp:val=&quot;001766A3&quot;/&gt;&lt;wsp:rsid wsp:val=&quot;00176818&quot;/&gt;&lt;wsp:rsid wsp:val=&quot;001775FB&quot;/&gt;&lt;wsp:rsid wsp:val=&quot;00177738&quot;/&gt;&lt;wsp:rsid wsp:val=&quot;00177C1E&quot;/&gt;&lt;wsp:rsid wsp:val=&quot;00181BB8&quot;/&gt;&lt;wsp:rsid wsp:val=&quot;001822E1&quot;/&gt;&lt;wsp:rsid wsp:val=&quot;00182D71&quot;/&gt;&lt;wsp:rsid wsp:val=&quot;0018321A&quot;/&gt;&lt;wsp:rsid wsp:val=&quot;001832FF&quot;/&gt;&lt;wsp:rsid wsp:val=&quot;00183FC9&quot;/&gt;&lt;wsp:rsid wsp:val=&quot;001860E1&quot;/&gt;&lt;wsp:rsid wsp:val=&quot;0018624D&quot;/&gt;&lt;wsp:rsid wsp:val=&quot;0018630E&quot;/&gt;&lt;wsp:rsid wsp:val=&quot;001869AE&quot;/&gt;&lt;wsp:rsid wsp:val=&quot;001879DE&quot;/&gt;&lt;wsp:rsid wsp:val=&quot;00190879&quot;/&gt;&lt;wsp:rsid wsp:val=&quot;00190C3A&quot;/&gt;&lt;wsp:rsid wsp:val=&quot;00192510&quot;/&gt;&lt;wsp:rsid wsp:val=&quot;00192CA7&quot;/&gt;&lt;wsp:rsid wsp:val=&quot;00192CBE&quot;/&gt;&lt;wsp:rsid wsp:val=&quot;00192FE7&quot;/&gt;&lt;wsp:rsid wsp:val=&quot;001936B6&quot;/&gt;&lt;wsp:rsid wsp:val=&quot;00193918&quot;/&gt;&lt;wsp:rsid wsp:val=&quot;00193975&quot;/&gt;&lt;wsp:rsid wsp:val=&quot;001942D6&quot;/&gt;&lt;wsp:rsid wsp:val=&quot;00195376&quot;/&gt;&lt;wsp:rsid wsp:val=&quot;001968A0&quot;/&gt;&lt;wsp:rsid wsp:val=&quot;00197195&quot;/&gt;&lt;wsp:rsid wsp:val=&quot;001A0009&quot;/&gt;&lt;wsp:rsid wsp:val=&quot;001A00F9&quot;/&gt;&lt;wsp:rsid wsp:val=&quot;001A0EB0&quot;/&gt;&lt;wsp:rsid wsp:val=&quot;001A1185&quot;/&gt;&lt;wsp:rsid wsp:val=&quot;001A121F&quot;/&gt;&lt;wsp:rsid wsp:val=&quot;001A1FDD&quot;/&gt;&lt;wsp:rsid wsp:val=&quot;001A25E6&quot;/&gt;&lt;wsp:rsid wsp:val=&quot;001A26C1&quot;/&gt;&lt;wsp:rsid wsp:val=&quot;001A282C&quot;/&gt;&lt;wsp:rsid wsp:val=&quot;001A4096&quot;/&gt;&lt;wsp:rsid wsp:val=&quot;001A5287&quot;/&gt;&lt;wsp:rsid wsp:val=&quot;001A5620&quot;/&gt;&lt;wsp:rsid wsp:val=&quot;001A5C1B&quot;/&gt;&lt;wsp:rsid wsp:val=&quot;001A61ED&quot;/&gt;&lt;wsp:rsid wsp:val=&quot;001A7282&quot;/&gt;&lt;wsp:rsid wsp:val=&quot;001A74C7&quot;/&gt;&lt;wsp:rsid wsp:val=&quot;001B0E20&quot;/&gt;&lt;wsp:rsid wsp:val=&quot;001B0F1D&quot;/&gt;&lt;wsp:rsid wsp:val=&quot;001B2217&quot;/&gt;&lt;wsp:rsid wsp:val=&quot;001B2B34&quot;/&gt;&lt;wsp:rsid wsp:val=&quot;001B3426&quot;/&gt;&lt;wsp:rsid wsp:val=&quot;001B4107&quot;/&gt;&lt;wsp:rsid wsp:val=&quot;001B49F2&quot;/&gt;&lt;wsp:rsid wsp:val=&quot;001B4E9F&quot;/&gt;&lt;wsp:rsid wsp:val=&quot;001B5777&quot;/&gt;&lt;wsp:rsid wsp:val=&quot;001B60F5&quot;/&gt;&lt;wsp:rsid wsp:val=&quot;001B6DD2&quot;/&gt;&lt;wsp:rsid wsp:val=&quot;001C19D5&quot;/&gt;&lt;wsp:rsid wsp:val=&quot;001C1C4B&quot;/&gt;&lt;wsp:rsid wsp:val=&quot;001C2B69&quot;/&gt;&lt;wsp:rsid wsp:val=&quot;001C4976&quot;/&gt;&lt;wsp:rsid wsp:val=&quot;001C5891&quot;/&gt;&lt;wsp:rsid wsp:val=&quot;001C610A&quot;/&gt;&lt;wsp:rsid wsp:val=&quot;001C6BCA&quot;/&gt;&lt;wsp:rsid wsp:val=&quot;001C7C3F&quot;/&gt;&lt;wsp:rsid wsp:val=&quot;001D25DD&quot;/&gt;&lt;wsp:rsid wsp:val=&quot;001D2FB9&quot;/&gt;&lt;wsp:rsid wsp:val=&quot;001D3C1E&quot;/&gt;&lt;wsp:rsid wsp:val=&quot;001D4EE8&quot;/&gt;&lt;wsp:rsid wsp:val=&quot;001D54EE&quot;/&gt;&lt;wsp:rsid wsp:val=&quot;001D569D&quot;/&gt;&lt;wsp:rsid wsp:val=&quot;001D6353&quot;/&gt;&lt;wsp:rsid wsp:val=&quot;001D7BD2&quot;/&gt;&lt;wsp:rsid wsp:val=&quot;001E17BC&quot;/&gt;&lt;wsp:rsid wsp:val=&quot;001E236F&quot;/&gt;&lt;wsp:rsid wsp:val=&quot;001E306A&quot;/&gt;&lt;wsp:rsid wsp:val=&quot;001E30F7&quot;/&gt;&lt;wsp:rsid wsp:val=&quot;001E31A1&quot;/&gt;&lt;wsp:rsid wsp:val=&quot;001E37D7&quot;/&gt;&lt;wsp:rsid wsp:val=&quot;001E390C&quot;/&gt;&lt;wsp:rsid wsp:val=&quot;001E4CE7&quot;/&gt;&lt;wsp:rsid wsp:val=&quot;001E6364&quot;/&gt;&lt;wsp:rsid wsp:val=&quot;001F1B5B&quot;/&gt;&lt;wsp:rsid wsp:val=&quot;001F27B2&quot;/&gt;&lt;wsp:rsid wsp:val=&quot;001F38BA&quot;/&gt;&lt;wsp:rsid wsp:val=&quot;001F5A42&quot;/&gt;&lt;wsp:rsid wsp:val=&quot;001F5BFB&quot;/&gt;&lt;wsp:rsid wsp:val=&quot;001F6406&quot;/&gt;&lt;wsp:rsid wsp:val=&quot;001F6A6A&quot;/&gt;&lt;wsp:rsid wsp:val=&quot;001F6EAB&quot;/&gt;&lt;wsp:rsid wsp:val=&quot;00200D31&quot;/&gt;&lt;wsp:rsid wsp:val=&quot;002015E2&quot;/&gt;&lt;wsp:rsid wsp:val=&quot;00202934&quot;/&gt;&lt;wsp:rsid wsp:val=&quot;002032DF&quot;/&gt;&lt;wsp:rsid wsp:val=&quot;00203D37&quot;/&gt;&lt;wsp:rsid wsp:val=&quot;002044DE&quot;/&gt;&lt;wsp:rsid wsp:val=&quot;00204C55&quot;/&gt;&lt;wsp:rsid wsp:val=&quot;00204D7B&quot;/&gt;&lt;wsp:rsid wsp:val=&quot;00205082&quot;/&gt;&lt;wsp:rsid wsp:val=&quot;002057E9&quot;/&gt;&lt;wsp:rsid wsp:val=&quot;0020599E&quot;/&gt;&lt;wsp:rsid wsp:val=&quot;00206574&quot;/&gt;&lt;wsp:rsid wsp:val=&quot;002067DC&quot;/&gt;&lt;wsp:rsid wsp:val=&quot;0020710F&quot;/&gt;&lt;wsp:rsid wsp:val=&quot;0020734D&quot;/&gt;&lt;wsp:rsid wsp:val=&quot;00207B64&quot;/&gt;&lt;wsp:rsid wsp:val=&quot;002102D3&quot;/&gt;&lt;wsp:rsid wsp:val=&quot;00212020&quot;/&gt;&lt;wsp:rsid wsp:val=&quot;002120C2&quot;/&gt;&lt;wsp:rsid wsp:val=&quot;00212114&quot;/&gt;&lt;wsp:rsid wsp:val=&quot;00214AE7&quot;/&gt;&lt;wsp:rsid wsp:val=&quot;00214B09&quot;/&gt;&lt;wsp:rsid wsp:val=&quot;00215232&quot;/&gt;&lt;wsp:rsid wsp:val=&quot;002154BF&quot;/&gt;&lt;wsp:rsid wsp:val=&quot;00215C1B&quot;/&gt;&lt;wsp:rsid wsp:val=&quot;00215E53&quot;/&gt;&lt;wsp:rsid wsp:val=&quot;00216382&quot;/&gt;&lt;wsp:rsid wsp:val=&quot;002164B1&quot;/&gt;&lt;wsp:rsid wsp:val=&quot;0021656B&quot;/&gt;&lt;wsp:rsid wsp:val=&quot;00216612&quot;/&gt;&lt;wsp:rsid wsp:val=&quot;00217628&quot;/&gt;&lt;wsp:rsid wsp:val=&quot;00220EA9&quot;/&gt;&lt;wsp:rsid wsp:val=&quot;00220FDA&quot;/&gt;&lt;wsp:rsid wsp:val=&quot;002217D8&quot;/&gt;&lt;wsp:rsid wsp:val=&quot;00221A4B&quot;/&gt;&lt;wsp:rsid wsp:val=&quot;00221A77&quot;/&gt;&lt;wsp:rsid wsp:val=&quot;00222764&quot;/&gt;&lt;wsp:rsid wsp:val=&quot;00222E83&quot;/&gt;&lt;wsp:rsid wsp:val=&quot;002232B0&quot;/&gt;&lt;wsp:rsid wsp:val=&quot;00224400&quot;/&gt;&lt;wsp:rsid wsp:val=&quot;00224662&quot;/&gt;&lt;wsp:rsid wsp:val=&quot;00225717&quot;/&gt;&lt;wsp:rsid wsp:val=&quot;00226706&quot;/&gt;&lt;wsp:rsid wsp:val=&quot;00227404&quot;/&gt;&lt;wsp:rsid wsp:val=&quot;00230E5A&quot;/&gt;&lt;wsp:rsid wsp:val=&quot;0023110B&quot;/&gt;&lt;wsp:rsid wsp:val=&quot;0023180C&quot;/&gt;&lt;wsp:rsid wsp:val=&quot;00231938&quot;/&gt;&lt;wsp:rsid wsp:val=&quot;0023405B&quot;/&gt;&lt;wsp:rsid wsp:val=&quot;00234449&quot;/&gt;&lt;wsp:rsid wsp:val=&quot;00235052&quot;/&gt;&lt;wsp:rsid wsp:val=&quot;00237141&quot;/&gt;&lt;wsp:rsid wsp:val=&quot;002402B3&quot;/&gt;&lt;wsp:rsid wsp:val=&quot;00240554&quot;/&gt;&lt;wsp:rsid wsp:val=&quot;002416E3&quot;/&gt;&lt;wsp:rsid wsp:val=&quot;002437E4&quot;/&gt;&lt;wsp:rsid wsp:val=&quot;00243DE2&quot;/&gt;&lt;wsp:rsid wsp:val=&quot;00244D38&quot;/&gt;&lt;wsp:rsid wsp:val=&quot;00245948&quot;/&gt;&lt;wsp:rsid wsp:val=&quot;00246566&quot;/&gt;&lt;wsp:rsid wsp:val=&quot;00247456&quot;/&gt;&lt;wsp:rsid wsp:val=&quot;00247BDC&quot;/&gt;&lt;wsp:rsid wsp:val=&quot;002501B9&quot;/&gt;&lt;wsp:rsid wsp:val=&quot;00250983&quot;/&gt;&lt;wsp:rsid wsp:val=&quot;002519A1&quot;/&gt;&lt;wsp:rsid wsp:val=&quot;002519E8&quot;/&gt;&lt;wsp:rsid wsp:val=&quot;00252018&quot;/&gt;&lt;wsp:rsid wsp:val=&quot;00252D35&quot;/&gt;&lt;wsp:rsid wsp:val=&quot;00252F69&quot;/&gt;&lt;wsp:rsid wsp:val=&quot;002535EE&quot;/&gt;&lt;wsp:rsid wsp:val=&quot;00253A7C&quot;/&gt;&lt;wsp:rsid wsp:val=&quot;00255BA8&quot;/&gt;&lt;wsp:rsid wsp:val=&quot;00256AA3&quot;/&gt;&lt;wsp:rsid wsp:val=&quot;002574A9&quot;/&gt;&lt;wsp:rsid wsp:val=&quot;00260D3D&quot;/&gt;&lt;wsp:rsid wsp:val=&quot;00261995&quot;/&gt;&lt;wsp:rsid wsp:val=&quot;00262288&quot;/&gt;&lt;wsp:rsid wsp:val=&quot;00262347&quot;/&gt;&lt;wsp:rsid wsp:val=&quot;0026499A&quot;/&gt;&lt;wsp:rsid wsp:val=&quot;00264DCA&quot;/&gt;&lt;wsp:rsid wsp:val=&quot;002654FE&quot;/&gt;&lt;wsp:rsid wsp:val=&quot;00265878&quot;/&gt;&lt;wsp:rsid wsp:val=&quot;00265F36&quot;/&gt;&lt;wsp:rsid wsp:val=&quot;00267158&quot;/&gt;&lt;wsp:rsid wsp:val=&quot;00270E38&quot;/&gt;&lt;wsp:rsid wsp:val=&quot;002712D8&quot;/&gt;&lt;wsp:rsid wsp:val=&quot;00271FE0&quot;/&gt;&lt;wsp:rsid wsp:val=&quot;002725B4&quot;/&gt;&lt;wsp:rsid wsp:val=&quot;00272949&quot;/&gt;&lt;wsp:rsid wsp:val=&quot;002729D4&quot;/&gt;&lt;wsp:rsid wsp:val=&quot;00274322&quot;/&gt;&lt;wsp:rsid wsp:val=&quot;0027643D&quot;/&gt;&lt;wsp:rsid wsp:val=&quot;00276B37&quot;/&gt;&lt;wsp:rsid wsp:val=&quot;002773CF&quot;/&gt;&lt;wsp:rsid wsp:val=&quot;002775C6&quot;/&gt;&lt;wsp:rsid wsp:val=&quot;002805D9&quot;/&gt;&lt;wsp:rsid wsp:val=&quot;0028071F&quot;/&gt;&lt;wsp:rsid wsp:val=&quot;00280FFA&quot;/&gt;&lt;wsp:rsid wsp:val=&quot;0028197C&quot;/&gt;&lt;wsp:rsid wsp:val=&quot;00283734&quot;/&gt;&lt;wsp:rsid wsp:val=&quot;002843AD&quot;/&gt;&lt;wsp:rsid wsp:val=&quot;00285B95&quot;/&gt;&lt;wsp:rsid wsp:val=&quot;0028683E&quot;/&gt;&lt;wsp:rsid wsp:val=&quot;002873A2&quot;/&gt;&lt;wsp:rsid wsp:val=&quot;002878EF&quot;/&gt;&lt;wsp:rsid wsp:val=&quot;00287DDE&quot;/&gt;&lt;wsp:rsid wsp:val=&quot;002908EA&quot;/&gt;&lt;wsp:rsid wsp:val=&quot;00290EBA&quot;/&gt;&lt;wsp:rsid wsp:val=&quot;002936B8&quot;/&gt;&lt;wsp:rsid wsp:val=&quot;00293E59&quot;/&gt;&lt;wsp:rsid wsp:val=&quot;002945A9&quot;/&gt;&lt;wsp:rsid wsp:val=&quot;002953B4&quot;/&gt;&lt;wsp:rsid wsp:val=&quot;00296A5C&quot;/&gt;&lt;wsp:rsid wsp:val=&quot;00296D93&quot;/&gt;&lt;wsp:rsid wsp:val=&quot;0029778A&quot;/&gt;&lt;wsp:rsid wsp:val=&quot;002A1012&quot;/&gt;&lt;wsp:rsid wsp:val=&quot;002A1D75&quot;/&gt;&lt;wsp:rsid wsp:val=&quot;002A32FD&quot;/&gt;&lt;wsp:rsid wsp:val=&quot;002A3773&quot;/&gt;&lt;wsp:rsid wsp:val=&quot;002A3EB0&quot;/&gt;&lt;wsp:rsid wsp:val=&quot;002A4847&quot;/&gt;&lt;wsp:rsid wsp:val=&quot;002A4A87&quot;/&gt;&lt;wsp:rsid wsp:val=&quot;002A5642&quot;/&gt;&lt;wsp:rsid wsp:val=&quot;002A5F90&quot;/&gt;&lt;wsp:rsid wsp:val=&quot;002A61A1&quot;/&gt;&lt;wsp:rsid wsp:val=&quot;002A658A&quot;/&gt;&lt;wsp:rsid wsp:val=&quot;002A7B14&quot;/&gt;&lt;wsp:rsid wsp:val=&quot;002A7F3E&quot;/&gt;&lt;wsp:rsid wsp:val=&quot;002B0415&quot;/&gt;&lt;wsp:rsid wsp:val=&quot;002B0627&quot;/&gt;&lt;wsp:rsid wsp:val=&quot;002B0C55&quot;/&gt;&lt;wsp:rsid wsp:val=&quot;002B1B8A&quot;/&gt;&lt;wsp:rsid wsp:val=&quot;002B2A8E&quot;/&gt;&lt;wsp:rsid wsp:val=&quot;002B3209&quot;/&gt;&lt;wsp:rsid wsp:val=&quot;002B3A7E&quot;/&gt;&lt;wsp:rsid wsp:val=&quot;002B3F59&quot;/&gt;&lt;wsp:rsid wsp:val=&quot;002B4D2A&quot;/&gt;&lt;wsp:rsid wsp:val=&quot;002B572C&quot;/&gt;&lt;wsp:rsid wsp:val=&quot;002B6049&quot;/&gt;&lt;wsp:rsid wsp:val=&quot;002B63D7&quot;/&gt;&lt;wsp:rsid wsp:val=&quot;002B645A&quot;/&gt;&lt;wsp:rsid wsp:val=&quot;002B6CEF&quot;/&gt;&lt;wsp:rsid wsp:val=&quot;002B7955&quot;/&gt;&lt;wsp:rsid wsp:val=&quot;002B7D0E&quot;/&gt;&lt;wsp:rsid wsp:val=&quot;002B7D40&quot;/&gt;&lt;wsp:rsid wsp:val=&quot;002B7F8B&quot;/&gt;&lt;wsp:rsid wsp:val=&quot;002B7FBB&quot;/&gt;&lt;wsp:rsid wsp:val=&quot;002C2322&quot;/&gt;&lt;wsp:rsid wsp:val=&quot;002C39B1&quot;/&gt;&lt;wsp:rsid wsp:val=&quot;002C3F3E&quot;/&gt;&lt;wsp:rsid wsp:val=&quot;002C485C&quot;/&gt;&lt;wsp:rsid wsp:val=&quot;002C4A6B&quot;/&gt;&lt;wsp:rsid wsp:val=&quot;002C5E32&quot;/&gt;&lt;wsp:rsid wsp:val=&quot;002C6FE9&quot;/&gt;&lt;wsp:rsid wsp:val=&quot;002C723E&quot;/&gt;&lt;wsp:rsid wsp:val=&quot;002D0665&quot;/&gt;&lt;wsp:rsid wsp:val=&quot;002D0E9D&quot;/&gt;&lt;wsp:rsid wsp:val=&quot;002D1237&quot;/&gt;&lt;wsp:rsid wsp:val=&quot;002D2CEC&quot;/&gt;&lt;wsp:rsid wsp:val=&quot;002D34BC&quot;/&gt;&lt;wsp:rsid wsp:val=&quot;002D3631&quot;/&gt;&lt;wsp:rsid wsp:val=&quot;002D4297&quot;/&gt;&lt;wsp:rsid wsp:val=&quot;002D55A9&quot;/&gt;&lt;wsp:rsid wsp:val=&quot;002D5909&quot;/&gt;&lt;wsp:rsid wsp:val=&quot;002D68C9&quot;/&gt;&lt;wsp:rsid wsp:val=&quot;002D692E&quot;/&gt;&lt;wsp:rsid wsp:val=&quot;002E03FB&quot;/&gt;&lt;wsp:rsid wsp:val=&quot;002E0A73&quot;/&gt;&lt;wsp:rsid wsp:val=&quot;002E0B36&quot;/&gt;&lt;wsp:rsid wsp:val=&quot;002E205F&quot;/&gt;&lt;wsp:rsid wsp:val=&quot;002E287B&quot;/&gt;&lt;wsp:rsid wsp:val=&quot;002E4C80&quot;/&gt;&lt;wsp:rsid wsp:val=&quot;002E5D72&quot;/&gt;&lt;wsp:rsid wsp:val=&quot;002E63FC&quot;/&gt;&lt;wsp:rsid wsp:val=&quot;002E65B1&quot;/&gt;&lt;wsp:rsid wsp:val=&quot;002E6E5D&quot;/&gt;&lt;wsp:rsid wsp:val=&quot;002E7087&quot;/&gt;&lt;wsp:rsid wsp:val=&quot;002E7938&quot;/&gt;&lt;wsp:rsid wsp:val=&quot;002E7952&quot;/&gt;&lt;wsp:rsid wsp:val=&quot;002F1577&quot;/&gt;&lt;wsp:rsid wsp:val=&quot;002F27BE&quot;/&gt;&lt;wsp:rsid wsp:val=&quot;002F2C47&quot;/&gt;&lt;wsp:rsid wsp:val=&quot;002F43C9&quot;/&gt;&lt;wsp:rsid wsp:val=&quot;002F4AD0&quot;/&gt;&lt;wsp:rsid wsp:val=&quot;002F4BAE&quot;/&gt;&lt;wsp:rsid wsp:val=&quot;002F5200&quot;/&gt;&lt;wsp:rsid wsp:val=&quot;002F72ED&quot;/&gt;&lt;wsp:rsid wsp:val=&quot;002F78A0&quot;/&gt;&lt;wsp:rsid wsp:val=&quot;002F7A69&quot;/&gt;&lt;wsp:rsid wsp:val=&quot;002F7B0C&quot;/&gt;&lt;wsp:rsid wsp:val=&quot;002F7C98&quot;/&gt;&lt;wsp:rsid wsp:val=&quot;00300802&quot;/&gt;&lt;wsp:rsid wsp:val=&quot;003013BF&quot;/&gt;&lt;wsp:rsid wsp:val=&quot;003028C7&quot;/&gt;&lt;wsp:rsid wsp:val=&quot;00302F60&quot;/&gt;&lt;wsp:rsid wsp:val=&quot;00303488&quot;/&gt;&lt;wsp:rsid wsp:val=&quot;0030355F&quot;/&gt;&lt;wsp:rsid wsp:val=&quot;00303A79&quot;/&gt;&lt;wsp:rsid wsp:val=&quot;00303BBB&quot;/&gt;&lt;wsp:rsid wsp:val=&quot;00303ECB&quot;/&gt;&lt;wsp:rsid wsp:val=&quot;00303F0A&quot;/&gt;&lt;wsp:rsid wsp:val=&quot;00304E89&quot;/&gt;&lt;wsp:rsid wsp:val=&quot;003056CA&quot;/&gt;&lt;wsp:rsid wsp:val=&quot;00305827&quot;/&gt;&lt;wsp:rsid wsp:val=&quot;0030719D&quot;/&gt;&lt;wsp:rsid wsp:val=&quot;00307F39&quot;/&gt;&lt;wsp:rsid wsp:val=&quot;003105B9&quot;/&gt;&lt;wsp:rsid wsp:val=&quot;00311F60&quot;/&gt;&lt;wsp:rsid wsp:val=&quot;00312506&quot;/&gt;&lt;wsp:rsid wsp:val=&quot;00312627&quot;/&gt;&lt;wsp:rsid wsp:val=&quot;003129E0&quot;/&gt;&lt;wsp:rsid wsp:val=&quot;00312B86&quot;/&gt;&lt;wsp:rsid wsp:val=&quot;00313C17&quot;/&gt;&lt;wsp:rsid wsp:val=&quot;003150BB&quot;/&gt;&lt;wsp:rsid wsp:val=&quot;00315C64&quot;/&gt;&lt;wsp:rsid wsp:val=&quot;00315FD4&quot;/&gt;&lt;wsp:rsid wsp:val=&quot;00316005&quot;/&gt;&lt;wsp:rsid wsp:val=&quot;00316261&quot;/&gt;&lt;wsp:rsid wsp:val=&quot;00320680&quot;/&gt;&lt;wsp:rsid wsp:val=&quot;00320883&quot;/&gt;&lt;wsp:rsid wsp:val=&quot;003213C9&quot;/&gt;&lt;wsp:rsid wsp:val=&quot;00322279&quot;/&gt;&lt;wsp:rsid wsp:val=&quot;00323646&quot;/&gt;&lt;wsp:rsid wsp:val=&quot;003239FD&quot;/&gt;&lt;wsp:rsid wsp:val=&quot;00325AD8&quot;/&gt;&lt;wsp:rsid wsp:val=&quot;00325F91&quot;/&gt;&lt;wsp:rsid wsp:val=&quot;003264CF&quot;/&gt;&lt;wsp:rsid wsp:val=&quot;00326DBB&quot;/&gt;&lt;wsp:rsid wsp:val=&quot;00326FA4&quot;/&gt;&lt;wsp:rsid wsp:val=&quot;00327699&quot;/&gt;&lt;wsp:rsid wsp:val=&quot;0032774D&quot;/&gt;&lt;wsp:rsid wsp:val=&quot;00327934&quot;/&gt;&lt;wsp:rsid wsp:val=&quot;00327CBE&quot;/&gt;&lt;wsp:rsid wsp:val=&quot;00330FFB&quot;/&gt;&lt;wsp:rsid wsp:val=&quot;00331446&quot;/&gt;&lt;wsp:rsid wsp:val=&quot;00331633&quot;/&gt;&lt;wsp:rsid wsp:val=&quot;003317D3&quot;/&gt;&lt;wsp:rsid wsp:val=&quot;003327C0&quot;/&gt;&lt;wsp:rsid wsp:val=&quot;0033302B&quot;/&gt;&lt;wsp:rsid wsp:val=&quot;00333500&quot;/&gt;&lt;wsp:rsid wsp:val=&quot;003340CE&quot;/&gt;&lt;wsp:rsid wsp:val=&quot;00335B9D&quot;/&gt;&lt;wsp:rsid wsp:val=&quot;00336285&quot;/&gt;&lt;wsp:rsid wsp:val=&quot;00336C38&quot;/&gt;&lt;wsp:rsid wsp:val=&quot;00337805&quot;/&gt;&lt;wsp:rsid wsp:val=&quot;00337AC0&quot;/&gt;&lt;wsp:rsid wsp:val=&quot;00337B42&quot;/&gt;&lt;wsp:rsid wsp:val=&quot;00341396&quot;/&gt;&lt;wsp:rsid wsp:val=&quot;0034190E&quot;/&gt;&lt;wsp:rsid wsp:val=&quot;003426A6&quot;/&gt;&lt;wsp:rsid wsp:val=&quot;00343181&quot;/&gt;&lt;wsp:rsid wsp:val=&quot;00343CD6&quot;/&gt;&lt;wsp:rsid wsp:val=&quot;00344353&quot;/&gt;&lt;wsp:rsid wsp:val=&quot;00344799&quot;/&gt;&lt;wsp:rsid wsp:val=&quot;00345187&quot;/&gt;&lt;wsp:rsid wsp:val=&quot;00345707&quot;/&gt;&lt;wsp:rsid wsp:val=&quot;00345C0A&quot;/&gt;&lt;wsp:rsid wsp:val=&quot;003463F9&quot;/&gt;&lt;wsp:rsid wsp:val=&quot;00346B26&quot;/&gt;&lt;wsp:rsid wsp:val=&quot;003476BF&quot;/&gt;&lt;wsp:rsid wsp:val=&quot;00347A4F&quot;/&gt;&lt;wsp:rsid wsp:val=&quot;0035087A&quot;/&gt;&lt;wsp:rsid wsp:val=&quot;003535DF&quot;/&gt;&lt;wsp:rsid wsp:val=&quot;00353F64&quot;/&gt;&lt;wsp:rsid wsp:val=&quot;00354F2B&quot;/&gt;&lt;wsp:rsid wsp:val=&quot;0035576C&quot;/&gt;&lt;wsp:rsid wsp:val=&quot;0035580E&quot;/&gt;&lt;wsp:rsid wsp:val=&quot;00355CCC&quot;/&gt;&lt;wsp:rsid wsp:val=&quot;00356550&quot;/&gt;&lt;wsp:rsid wsp:val=&quot;00356F31&quot;/&gt;&lt;wsp:rsid wsp:val=&quot;003573A5&quot;/&gt;&lt;wsp:rsid wsp:val=&quot;0036004D&quot;/&gt;&lt;wsp:rsid wsp:val=&quot;00360963&quot;/&gt;&lt;wsp:rsid wsp:val=&quot;00360C44&quot;/&gt;&lt;wsp:rsid wsp:val=&quot;0036101C&quot;/&gt;&lt;wsp:rsid wsp:val=&quot;003615FB&quot;/&gt;&lt;wsp:rsid wsp:val=&quot;00361BE0&quot;/&gt;&lt;wsp:rsid wsp:val=&quot;003626B2&quot;/&gt;&lt;wsp:rsid wsp:val=&quot;003626DE&quot;/&gt;&lt;wsp:rsid wsp:val=&quot;003629E1&quot;/&gt;&lt;wsp:rsid wsp:val=&quot;0036327E&quot;/&gt;&lt;wsp:rsid wsp:val=&quot;003646E2&quot;/&gt;&lt;wsp:rsid wsp:val=&quot;00365217&quot;/&gt;&lt;wsp:rsid wsp:val=&quot;003654B9&quot;/&gt;&lt;wsp:rsid wsp:val=&quot;0036561E&quot;/&gt;&lt;wsp:rsid wsp:val=&quot;00366097&quot;/&gt;&lt;wsp:rsid wsp:val=&quot;003668B2&quot;/&gt;&lt;wsp:rsid wsp:val=&quot;00367061&quot;/&gt;&lt;wsp:rsid wsp:val=&quot;0036709A&quot;/&gt;&lt;wsp:rsid wsp:val=&quot;003672A6&quot;/&gt;&lt;wsp:rsid wsp:val=&quot;00367616&quot;/&gt;&lt;wsp:rsid wsp:val=&quot;00367A03&quot;/&gt;&lt;wsp:rsid wsp:val=&quot;00367CAF&quot;/&gt;&lt;wsp:rsid wsp:val=&quot;0037023F&quot;/&gt;&lt;wsp:rsid wsp:val=&quot;00370EF2&quot;/&gt;&lt;wsp:rsid wsp:val=&quot;0037192C&quot;/&gt;&lt;wsp:rsid wsp:val=&quot;00371A39&quot;/&gt;&lt;wsp:rsid wsp:val=&quot;00371CBE&quot;/&gt;&lt;wsp:rsid wsp:val=&quot;0037265B&quot;/&gt;&lt;wsp:rsid wsp:val=&quot;003729AA&quot;/&gt;&lt;wsp:rsid wsp:val=&quot;003732E3&quot;/&gt;&lt;wsp:rsid wsp:val=&quot;003737F3&quot;/&gt;&lt;wsp:rsid wsp:val=&quot;00373D6B&quot;/&gt;&lt;wsp:rsid wsp:val=&quot;0037420D&quot;/&gt;&lt;wsp:rsid wsp:val=&quot;003755E3&quot;/&gt;&lt;wsp:rsid wsp:val=&quot;003756C2&quot;/&gt;&lt;wsp:rsid wsp:val=&quot;00376806&quot;/&gt;&lt;wsp:rsid wsp:val=&quot;00376E78&quot;/&gt;&lt;wsp:rsid wsp:val=&quot;003807EA&quot;/&gt;&lt;wsp:rsid wsp:val=&quot;00381A6D&quot;/&gt;&lt;wsp:rsid wsp:val=&quot;003833DB&quot;/&gt;&lt;wsp:rsid wsp:val=&quot;00383F47&quot;/&gt;&lt;wsp:rsid wsp:val=&quot;003846F6&quot;/&gt;&lt;wsp:rsid wsp:val=&quot;00384D05&quot;/&gt;&lt;wsp:rsid wsp:val=&quot;00384F9B&quot;/&gt;&lt;wsp:rsid wsp:val=&quot;003852B9&quot;/&gt;&lt;wsp:rsid wsp:val=&quot;00385996&quot;/&gt;&lt;wsp:rsid wsp:val=&quot;00385CAF&quot;/&gt;&lt;wsp:rsid wsp:val=&quot;00386006&quot;/&gt;&lt;wsp:rsid wsp:val=&quot;00387363&quot;/&gt;&lt;wsp:rsid wsp:val=&quot;00391365&quot;/&gt;&lt;wsp:rsid wsp:val=&quot;00392DB3&quot;/&gt;&lt;wsp:rsid wsp:val=&quot;00393174&quot;/&gt;&lt;wsp:rsid wsp:val=&quot;003944BF&quot;/&gt;&lt;wsp:rsid wsp:val=&quot;00395763&quot;/&gt;&lt;wsp:rsid wsp:val=&quot;00395CF7&quot;/&gt;&lt;wsp:rsid wsp:val=&quot;00395E5E&quot;/&gt;&lt;wsp:rsid wsp:val=&quot;0039626C&quot;/&gt;&lt;wsp:rsid wsp:val=&quot;00397EBD&quot;/&gt;&lt;wsp:rsid wsp:val=&quot;003A06CE&quot;/&gt;&lt;wsp:rsid wsp:val=&quot;003A0814&quot;/&gt;&lt;wsp:rsid wsp:val=&quot;003A0F05&quot;/&gt;&lt;wsp:rsid wsp:val=&quot;003A257D&quot;/&gt;&lt;wsp:rsid wsp:val=&quot;003A422C&quot;/&gt;&lt;wsp:rsid wsp:val=&quot;003A5EA5&quot;/&gt;&lt;wsp:rsid wsp:val=&quot;003A634D&quot;/&gt;&lt;wsp:rsid wsp:val=&quot;003A6457&quot;/&gt;&lt;wsp:rsid wsp:val=&quot;003A6A72&quot;/&gt;&lt;wsp:rsid wsp:val=&quot;003A710A&quot;/&gt;&lt;wsp:rsid wsp:val=&quot;003A79BF&quot;/&gt;&lt;wsp:rsid wsp:val=&quot;003A7CF2&quot;/&gt;&lt;wsp:rsid wsp:val=&quot;003B102C&quot;/&gt;&lt;wsp:rsid wsp:val=&quot;003B1B35&quot;/&gt;&lt;wsp:rsid wsp:val=&quot;003B24D5&quot;/&gt;&lt;wsp:rsid wsp:val=&quot;003B27F0&quot;/&gt;&lt;wsp:rsid wsp:val=&quot;003B28A4&quot;/&gt;&lt;wsp:rsid wsp:val=&quot;003B3762&quot;/&gt;&lt;wsp:rsid wsp:val=&quot;003B4A56&quot;/&gt;&lt;wsp:rsid wsp:val=&quot;003B4B0B&quot;/&gt;&lt;wsp:rsid wsp:val=&quot;003B6055&quot;/&gt;&lt;wsp:rsid wsp:val=&quot;003B67EA&quot;/&gt;&lt;wsp:rsid wsp:val=&quot;003B755A&quot;/&gt;&lt;wsp:rsid wsp:val=&quot;003C0A55&quot;/&gt;&lt;wsp:rsid wsp:val=&quot;003C15B1&quot;/&gt;&lt;wsp:rsid wsp:val=&quot;003C18C6&quot;/&gt;&lt;wsp:rsid wsp:val=&quot;003C23AF&quot;/&gt;&lt;wsp:rsid wsp:val=&quot;003C3ED5&quot;/&gt;&lt;wsp:rsid wsp:val=&quot;003C471F&quot;/&gt;&lt;wsp:rsid wsp:val=&quot;003C6434&quot;/&gt;&lt;wsp:rsid wsp:val=&quot;003C769E&quot;/&gt;&lt;wsp:rsid wsp:val=&quot;003C78CF&quot;/&gt;&lt;wsp:rsid wsp:val=&quot;003C7B5B&quot;/&gt;&lt;wsp:rsid wsp:val=&quot;003D15AA&quot;/&gt;&lt;wsp:rsid wsp:val=&quot;003D1727&quot;/&gt;&lt;wsp:rsid wsp:val=&quot;003D2556&quot;/&gt;&lt;wsp:rsid wsp:val=&quot;003D273C&quot;/&gt;&lt;wsp:rsid wsp:val=&quot;003D33FA&quot;/&gt;&lt;wsp:rsid wsp:val=&quot;003D358E&quot;/&gt;&lt;wsp:rsid wsp:val=&quot;003D35B2&quot;/&gt;&lt;wsp:rsid wsp:val=&quot;003D4F68&quot;/&gt;&lt;wsp:rsid wsp:val=&quot;003D6472&quot;/&gt;&lt;wsp:rsid wsp:val=&quot;003D74D1&quot;/&gt;&lt;wsp:rsid wsp:val=&quot;003D7A0F&quot;/&gt;&lt;wsp:rsid wsp:val=&quot;003D7AF2&quot;/&gt;&lt;wsp:rsid wsp:val=&quot;003D7D5E&quot;/&gt;&lt;wsp:rsid wsp:val=&quot;003E0AF1&quot;/&gt;&lt;wsp:rsid wsp:val=&quot;003E186F&quot;/&gt;&lt;wsp:rsid wsp:val=&quot;003E1C2F&quot;/&gt;&lt;wsp:rsid wsp:val=&quot;003E1EEE&quot;/&gt;&lt;wsp:rsid wsp:val=&quot;003E2448&quot;/&gt;&lt;wsp:rsid wsp:val=&quot;003E2D9C&quot;/&gt;&lt;wsp:rsid wsp:val=&quot;003E3754&quot;/&gt;&lt;wsp:rsid wsp:val=&quot;003E3B61&quot;/&gt;&lt;wsp:rsid wsp:val=&quot;003E4749&quot;/&gt;&lt;wsp:rsid wsp:val=&quot;003E513F&quot;/&gt;&lt;wsp:rsid wsp:val=&quot;003E580A&quot;/&gt;&lt;wsp:rsid wsp:val=&quot;003E5C61&quot;/&gt;&lt;wsp:rsid wsp:val=&quot;003E6F7F&quot;/&gt;&lt;wsp:rsid wsp:val=&quot;003E7A4F&quot;/&gt;&lt;wsp:rsid wsp:val=&quot;003E7BB0&quot;/&gt;&lt;wsp:rsid wsp:val=&quot;003F0231&quot;/&gt;&lt;wsp:rsid wsp:val=&quot;003F0A3C&quot;/&gt;&lt;wsp:rsid wsp:val=&quot;003F15EC&quot;/&gt;&lt;wsp:rsid wsp:val=&quot;003F1E26&quot;/&gt;&lt;wsp:rsid wsp:val=&quot;003F2C48&quot;/&gt;&lt;wsp:rsid wsp:val=&quot;003F4771&quot;/&gt;&lt;wsp:rsid wsp:val=&quot;003F572C&quot;/&gt;&lt;wsp:rsid wsp:val=&quot;003F5E79&quot;/&gt;&lt;wsp:rsid wsp:val=&quot;003F5FDA&quot;/&gt;&lt;wsp:rsid wsp:val=&quot;004008B5&quot;/&gt;&lt;wsp:rsid wsp:val=&quot;004014EF&quot;/&gt;&lt;wsp:rsid wsp:val=&quot;004018B1&quot;/&gt;&lt;wsp:rsid wsp:val=&quot;00402112&quot;/&gt;&lt;wsp:rsid wsp:val=&quot;0040287B&quot;/&gt;&lt;wsp:rsid wsp:val=&quot;00402E8D&quot;/&gt;&lt;wsp:rsid wsp:val=&quot;004044D1&quot;/&gt;&lt;wsp:rsid wsp:val=&quot;00405C2D&quot;/&gt;&lt;wsp:rsid wsp:val=&quot;0040662C&quot;/&gt;&lt;wsp:rsid wsp:val=&quot;00406E9F&quot;/&gt;&lt;wsp:rsid wsp:val=&quot;004102D3&quot;/&gt;&lt;wsp:rsid wsp:val=&quot;00410913&quot;/&gt;&lt;wsp:rsid wsp:val=&quot;00411604&quot;/&gt;&lt;wsp:rsid wsp:val=&quot;00413291&quot;/&gt;&lt;wsp:rsid wsp:val=&quot;00413B0F&quot;/&gt;&lt;wsp:rsid wsp:val=&quot;004147BC&quot;/&gt;&lt;wsp:rsid wsp:val=&quot;00414F86&quot;/&gt;&lt;wsp:rsid wsp:val=&quot;0041513D&quot;/&gt;&lt;wsp:rsid wsp:val=&quot;004153AB&quot;/&gt;&lt;wsp:rsid wsp:val=&quot;004157C3&quot;/&gt;&lt;wsp:rsid wsp:val=&quot;0041618A&quot;/&gt;&lt;wsp:rsid wsp:val=&quot;004161F5&quot;/&gt;&lt;wsp:rsid wsp:val=&quot;00416A6C&quot;/&gt;&lt;wsp:rsid wsp:val=&quot;00416C22&quot;/&gt;&lt;wsp:rsid wsp:val=&quot;00417CDF&quot;/&gt;&lt;wsp:rsid wsp:val=&quot;00417DA3&quot;/&gt;&lt;wsp:rsid wsp:val=&quot;0042066F&quot;/&gt;&lt;wsp:rsid wsp:val=&quot;00420AB1&quot;/&gt;&lt;wsp:rsid wsp:val=&quot;00421DB5&quot;/&gt;&lt;wsp:rsid wsp:val=&quot;00421F56&quot;/&gt;&lt;wsp:rsid wsp:val=&quot;004233A6&quot;/&gt;&lt;wsp:rsid wsp:val=&quot;00424B02&quot;/&gt;&lt;wsp:rsid wsp:val=&quot;00424DD8&quot;/&gt;&lt;wsp:rsid wsp:val=&quot;004256C5&quot;/&gt;&lt;wsp:rsid wsp:val=&quot;00426420&quot;/&gt;&lt;wsp:rsid wsp:val=&quot;00426AB1&quot;/&gt;&lt;wsp:rsid wsp:val=&quot;004272DA&quot;/&gt;&lt;wsp:rsid wsp:val=&quot;00430657&quot;/&gt;&lt;wsp:rsid wsp:val=&quot;00430875&quot;/&gt;&lt;wsp:rsid wsp:val=&quot;00431D8B&quot;/&gt;&lt;wsp:rsid wsp:val=&quot;00431DA4&quot;/&gt;&lt;wsp:rsid wsp:val=&quot;00431FBB&quot;/&gt;&lt;wsp:rsid wsp:val=&quot;00432922&quot;/&gt;&lt;wsp:rsid wsp:val=&quot;00432D2A&quot;/&gt;&lt;wsp:rsid wsp:val=&quot;00433684&quot;/&gt;&lt;wsp:rsid wsp:val=&quot;00433BD5&quot;/&gt;&lt;wsp:rsid wsp:val=&quot;0043410F&quot;/&gt;&lt;wsp:rsid wsp:val=&quot;004352F1&quot;/&gt;&lt;wsp:rsid wsp:val=&quot;00435448&quot;/&gt;&lt;wsp:rsid wsp:val=&quot;00437522&quot;/&gt;&lt;wsp:rsid wsp:val=&quot;00440BD7&quot;/&gt;&lt;wsp:rsid wsp:val=&quot;004412D5&quot;/&gt;&lt;wsp:rsid wsp:val=&quot;0044325B&quot;/&gt;&lt;wsp:rsid wsp:val=&quot;0044371E&quot;/&gt;&lt;wsp:rsid wsp:val=&quot;00443A4E&quot;/&gt;&lt;wsp:rsid wsp:val=&quot;00446949&quot;/&gt;&lt;wsp:rsid wsp:val=&quot;00447E36&quot;/&gt;&lt;wsp:rsid wsp:val=&quot;0045049A&quot;/&gt;&lt;wsp:rsid wsp:val=&quot;00450532&quot;/&gt;&lt;wsp:rsid wsp:val=&quot;00450788&quot;/&gt;&lt;wsp:rsid wsp:val=&quot;00450E08&quot;/&gt;&lt;wsp:rsid wsp:val=&quot;0045122D&quot;/&gt;&lt;wsp:rsid wsp:val=&quot;004517A0&quot;/&gt;&lt;wsp:rsid wsp:val=&quot;00451994&quot;/&gt;&lt;wsp:rsid wsp:val=&quot;00451B00&quot;/&gt;&lt;wsp:rsid wsp:val=&quot;00451E79&quot;/&gt;&lt;wsp:rsid wsp:val=&quot;00452106&quot;/&gt;&lt;wsp:rsid wsp:val=&quot;00452117&quot;/&gt;&lt;wsp:rsid wsp:val=&quot;00453EC0&quot;/&gt;&lt;wsp:rsid wsp:val=&quot;0045404A&quot;/&gt;&lt;wsp:rsid wsp:val=&quot;004548C4&quot;/&gt;&lt;wsp:rsid wsp:val=&quot;0045569E&quot;/&gt;&lt;wsp:rsid wsp:val=&quot;00457328&quot;/&gt;&lt;wsp:rsid wsp:val=&quot;0045788D&quot;/&gt;&lt;wsp:rsid wsp:val=&quot;00457F0C&quot;/&gt;&lt;wsp:rsid wsp:val=&quot;00460D65&quot;/&gt;&lt;wsp:rsid wsp:val=&quot;00461263&quot;/&gt;&lt;wsp:rsid wsp:val=&quot;00461392&quot;/&gt;&lt;wsp:rsid wsp:val=&quot;00461438&quot;/&gt;&lt;wsp:rsid wsp:val=&quot;00461477&quot;/&gt;&lt;wsp:rsid wsp:val=&quot;00462F73&quot;/&gt;&lt;wsp:rsid wsp:val=&quot;00463D0B&quot;/&gt;&lt;wsp:rsid wsp:val=&quot;00464645&quot;/&gt;&lt;wsp:rsid wsp:val=&quot;00464E58&quot;/&gt;&lt;wsp:rsid wsp:val=&quot;004651BE&quot;/&gt;&lt;wsp:rsid wsp:val=&quot;00465444&quot;/&gt;&lt;wsp:rsid wsp:val=&quot;004655D4&quot;/&gt;&lt;wsp:rsid wsp:val=&quot;0046594F&quot;/&gt;&lt;wsp:rsid wsp:val=&quot;0046680D&quot;/&gt;&lt;wsp:rsid wsp:val=&quot;00467172&quot;/&gt;&lt;wsp:rsid wsp:val=&quot;00467326&quot;/&gt;&lt;wsp:rsid wsp:val=&quot;00467C4C&quot;/&gt;&lt;wsp:rsid wsp:val=&quot;00470E16&quot;/&gt;&lt;wsp:rsid wsp:val=&quot;00472508&quot;/&gt;&lt;wsp:rsid wsp:val=&quot;004726DC&quot;/&gt;&lt;wsp:rsid wsp:val=&quot;004732D7&quot;/&gt;&lt;wsp:rsid wsp:val=&quot;004738FA&quot;/&gt;&lt;wsp:rsid wsp:val=&quot;004739F7&quot;/&gt;&lt;wsp:rsid wsp:val=&quot;004740F8&quot;/&gt;&lt;wsp:rsid wsp:val=&quot;00474374&quot;/&gt;&lt;wsp:rsid wsp:val=&quot;00475508&quot;/&gt;&lt;wsp:rsid wsp:val=&quot;00475A7E&quot;/&gt;&lt;wsp:rsid wsp:val=&quot;00475D83&quot;/&gt;&lt;wsp:rsid wsp:val=&quot;00476368&quot;/&gt;&lt;wsp:rsid wsp:val=&quot;00476CA5&quot;/&gt;&lt;wsp:rsid wsp:val=&quot;00476D8A&quot;/&gt;&lt;wsp:rsid wsp:val=&quot;00476FEC&quot;/&gt;&lt;wsp:rsid wsp:val=&quot;00477F21&quot;/&gt;&lt;wsp:rsid wsp:val=&quot;00477F63&quot;/&gt;&lt;wsp:rsid wsp:val=&quot;00480587&quot;/&gt;&lt;wsp:rsid wsp:val=&quot;00480B50&quot;/&gt;&lt;wsp:rsid wsp:val=&quot;00480E69&quot;/&gt;&lt;wsp:rsid wsp:val=&quot;00481064&quot;/&gt;&lt;wsp:rsid wsp:val=&quot;0048281F&quot;/&gt;&lt;wsp:rsid wsp:val=&quot;00483F63&quot;/&gt;&lt;wsp:rsid wsp:val=&quot;00484B41&quot;/&gt;&lt;wsp:rsid wsp:val=&quot;00485487&quot;/&gt;&lt;wsp:rsid wsp:val=&quot;00485D5A&quot;/&gt;&lt;wsp:rsid wsp:val=&quot;00486144&quot;/&gt;&lt;wsp:rsid wsp:val=&quot;00486D01&quot;/&gt;&lt;wsp:rsid wsp:val=&quot;004904D7&quot;/&gt;&lt;wsp:rsid wsp:val=&quot;00490B77&quot;/&gt;&lt;wsp:rsid wsp:val=&quot;00490DFF&quot;/&gt;&lt;wsp:rsid wsp:val=&quot;00491884&quot;/&gt;&lt;wsp:rsid wsp:val=&quot;00492511&quot;/&gt;&lt;wsp:rsid wsp:val=&quot;00492D1A&quot;/&gt;&lt;wsp:rsid wsp:val=&quot;00492F54&quot;/&gt;&lt;wsp:rsid wsp:val=&quot;0049303B&quot;/&gt;&lt;wsp:rsid wsp:val=&quot;0049362C&quot;/&gt;&lt;wsp:rsid wsp:val=&quot;00494CD0&quot;/&gt;&lt;wsp:rsid wsp:val=&quot;004963F7&quot;/&gt;&lt;wsp:rsid wsp:val=&quot;004966EE&quot;/&gt;&lt;wsp:rsid wsp:val=&quot;00497FAF&quot;/&gt;&lt;wsp:rsid wsp:val=&quot;004A0F14&quot;/&gt;&lt;wsp:rsid wsp:val=&quot;004A1020&quot;/&gt;&lt;wsp:rsid wsp:val=&quot;004A1557&quot;/&gt;&lt;wsp:rsid wsp:val=&quot;004A1619&quot;/&gt;&lt;wsp:rsid wsp:val=&quot;004A2467&quot;/&gt;&lt;wsp:rsid wsp:val=&quot;004A2B6E&quot;/&gt;&lt;wsp:rsid wsp:val=&quot;004A3FE7&quot;/&gt;&lt;wsp:rsid wsp:val=&quot;004A4D91&quot;/&gt;&lt;wsp:rsid wsp:val=&quot;004A4F23&quot;/&gt;&lt;wsp:rsid wsp:val=&quot;004A5491&quot;/&gt;&lt;wsp:rsid wsp:val=&quot;004A5A5E&quot;/&gt;&lt;wsp:rsid wsp:val=&quot;004A6889&quot;/&gt;&lt;wsp:rsid wsp:val=&quot;004A6ACF&quot;/&gt;&lt;wsp:rsid wsp:val=&quot;004A73F1&quot;/&gt;&lt;wsp:rsid wsp:val=&quot;004A7544&quot;/&gt;&lt;wsp:rsid wsp:val=&quot;004A770E&quot;/&gt;&lt;wsp:rsid wsp:val=&quot;004A7EAF&quot;/&gt;&lt;wsp:rsid wsp:val=&quot;004B0FAF&quot;/&gt;&lt;wsp:rsid wsp:val=&quot;004B139B&quot;/&gt;&lt;wsp:rsid wsp:val=&quot;004B160E&quot;/&gt;&lt;wsp:rsid wsp:val=&quot;004B1CC0&quot;/&gt;&lt;wsp:rsid wsp:val=&quot;004B27F5&quot;/&gt;&lt;wsp:rsid wsp:val=&quot;004B5900&quot;/&gt;&lt;wsp:rsid wsp:val=&quot;004B6F55&quot;/&gt;&lt;wsp:rsid wsp:val=&quot;004C002D&quot;/&gt;&lt;wsp:rsid wsp:val=&quot;004C0720&quot;/&gt;&lt;wsp:rsid wsp:val=&quot;004C0853&quot;/&gt;&lt;wsp:rsid wsp:val=&quot;004C25AF&quot;/&gt;&lt;wsp:rsid wsp:val=&quot;004C405D&quot;/&gt;&lt;wsp:rsid wsp:val=&quot;004C44B0&quot;/&gt;&lt;wsp:rsid wsp:val=&quot;004C4B96&quot;/&gt;&lt;wsp:rsid wsp:val=&quot;004C6C1E&quot;/&gt;&lt;wsp:rsid wsp:val=&quot;004C7131&quot;/&gt;&lt;wsp:rsid wsp:val=&quot;004C74B9&quot;/&gt;&lt;wsp:rsid wsp:val=&quot;004D0A53&quot;/&gt;&lt;wsp:rsid wsp:val=&quot;004D15F2&quot;/&gt;&lt;wsp:rsid wsp:val=&quot;004D1BE6&quot;/&gt;&lt;wsp:rsid wsp:val=&quot;004D1F27&quot;/&gt;&lt;wsp:rsid wsp:val=&quot;004D2061&quot;/&gt;&lt;wsp:rsid wsp:val=&quot;004D21BE&quot;/&gt;&lt;wsp:rsid wsp:val=&quot;004D3064&quot;/&gt;&lt;wsp:rsid wsp:val=&quot;004D3F5B&quot;/&gt;&lt;wsp:rsid wsp:val=&quot;004D456B&quot;/&gt;&lt;wsp:rsid wsp:val=&quot;004D5429&quot;/&gt;&lt;wsp:rsid wsp:val=&quot;004D5C47&quot;/&gt;&lt;wsp:rsid wsp:val=&quot;004E4232&quot;/&gt;&lt;wsp:rsid wsp:val=&quot;004E6BA2&quot;/&gt;&lt;wsp:rsid wsp:val=&quot;004E7C34&quot;/&gt;&lt;wsp:rsid wsp:val=&quot;004F0EC4&quot;/&gt;&lt;wsp:rsid wsp:val=&quot;004F1896&quot;/&gt;&lt;wsp:rsid wsp:val=&quot;004F1CC1&quot;/&gt;&lt;wsp:rsid wsp:val=&quot;004F2011&quot;/&gt;&lt;wsp:rsid wsp:val=&quot;004F32E5&quot;/&gt;&lt;wsp:rsid wsp:val=&quot;004F34DD&quot;/&gt;&lt;wsp:rsid wsp:val=&quot;004F375B&quot;/&gt;&lt;wsp:rsid wsp:val=&quot;004F3A6B&quot;/&gt;&lt;wsp:rsid wsp:val=&quot;004F425D&quot;/&gt;&lt;wsp:rsid wsp:val=&quot;004F6292&quot;/&gt;&lt;wsp:rsid wsp:val=&quot;004F6ECA&quot;/&gt;&lt;wsp:rsid wsp:val=&quot;0050155F&quot;/&gt;&lt;wsp:rsid wsp:val=&quot;00502901&quot;/&gt;&lt;wsp:rsid wsp:val=&quot;00503352&quot;/&gt;&lt;wsp:rsid wsp:val=&quot;0050376C&quot;/&gt;&lt;wsp:rsid wsp:val=&quot;005043CC&quot;/&gt;&lt;wsp:rsid wsp:val=&quot;00505896&quot;/&gt;&lt;wsp:rsid wsp:val=&quot;005077B5&quot;/&gt;&lt;wsp:rsid wsp:val=&quot;00507855&quot;/&gt;&lt;wsp:rsid wsp:val=&quot;0051209E&quot;/&gt;&lt;wsp:rsid wsp:val=&quot;00512D35&quot;/&gt;&lt;wsp:rsid wsp:val=&quot;00512EDB&quot;/&gt;&lt;wsp:rsid wsp:val=&quot;00514538&quot;/&gt;&lt;wsp:rsid wsp:val=&quot;005145A1&quot;/&gt;&lt;wsp:rsid wsp:val=&quot;00514712&quot;/&gt;&lt;wsp:rsid wsp:val=&quot;00514C2B&quot;/&gt;&lt;wsp:rsid wsp:val=&quot;00514E1F&quot;/&gt;&lt;wsp:rsid wsp:val=&quot;00516737&quot;/&gt;&lt;wsp:rsid wsp:val=&quot;00516D8E&quot;/&gt;&lt;wsp:rsid wsp:val=&quot;00516F64&quot;/&gt;&lt;wsp:rsid wsp:val=&quot;00520C1A&quot;/&gt;&lt;wsp:rsid wsp:val=&quot;00520D7A&quot;/&gt;&lt;wsp:rsid wsp:val=&quot;00520F5F&quot;/&gt;&lt;wsp:rsid wsp:val=&quot;0052328C&quot;/&gt;&lt;wsp:rsid wsp:val=&quot;0052339F&quot;/&gt;&lt;wsp:rsid wsp:val=&quot;005237DB&quot;/&gt;&lt;wsp:rsid wsp:val=&quot;0052569E&quot;/&gt;&lt;wsp:rsid wsp:val=&quot;005260B3&quot;/&gt;&lt;wsp:rsid wsp:val=&quot;0052641C&quot;/&gt;&lt;wsp:rsid wsp:val=&quot;00527668&quot;/&gt;&lt;wsp:rsid wsp:val=&quot;00530C8C&quot;/&gt;&lt;wsp:rsid wsp:val=&quot;00531FD2&quot;/&gt;&lt;wsp:rsid wsp:val=&quot;00533E25&quot;/&gt;&lt;wsp:rsid wsp:val=&quot;005341AB&quot;/&gt;&lt;wsp:rsid wsp:val=&quot;00534AD4&quot;/&gt;&lt;wsp:rsid wsp:val=&quot;00535C43&quot;/&gt;&lt;wsp:rsid wsp:val=&quot;005400BB&quot;/&gt;&lt;wsp:rsid wsp:val=&quot;0054128E&quot;/&gt;&lt;wsp:rsid wsp:val=&quot;00541A99&quot;/&gt;&lt;wsp:rsid wsp:val=&quot;005424E9&quot;/&gt;&lt;wsp:rsid wsp:val=&quot;00542FCB&quot;/&gt;&lt;wsp:rsid wsp:val=&quot;0054391C&quot;/&gt;&lt;wsp:rsid wsp:val=&quot;00543A15&quot;/&gt;&lt;wsp:rsid wsp:val=&quot;00544BD3&quot;/&gt;&lt;wsp:rsid wsp:val=&quot;00545033&quot;/&gt;&lt;wsp:rsid wsp:val=&quot;005464E7&quot;/&gt;&lt;wsp:rsid wsp:val=&quot;0054660A&quot;/&gt;&lt;wsp:rsid wsp:val=&quot;0054696E&quot;/&gt;&lt;wsp:rsid wsp:val=&quot;00546E76&quot;/&gt;&lt;wsp:rsid wsp:val=&quot;005476DA&quot;/&gt;&lt;wsp:rsid wsp:val=&quot;00550952&quot;/&gt;&lt;wsp:rsid wsp:val=&quot;005510FA&quot;/&gt;&lt;wsp:rsid wsp:val=&quot;005524A1&quot;/&gt;&lt;wsp:rsid wsp:val=&quot;00553C5A&quot;/&gt;&lt;wsp:rsid wsp:val=&quot;00553D18&quot;/&gt;&lt;wsp:rsid wsp:val=&quot;00554426&quot;/&gt;&lt;wsp:rsid wsp:val=&quot;0055539C&quot;/&gt;&lt;wsp:rsid wsp:val=&quot;00555DC8&quot;/&gt;&lt;wsp:rsid wsp:val=&quot;00556C47&quot;/&gt;&lt;wsp:rsid wsp:val=&quot;00556E9E&quot;/&gt;&lt;wsp:rsid wsp:val=&quot;00557760&quot;/&gt;&lt;wsp:rsid wsp:val=&quot;00557FA7&quot;/&gt;&lt;wsp:rsid wsp:val=&quot;00560168&quot;/&gt;&lt;wsp:rsid wsp:val=&quot;00561A73&quot;/&gt;&lt;wsp:rsid wsp:val=&quot;00561E2C&quot;/&gt;&lt;wsp:rsid wsp:val=&quot;00563B10&quot;/&gt;&lt;wsp:rsid wsp:val=&quot;0056459A&quot;/&gt;&lt;wsp:rsid wsp:val=&quot;0056461B&quot;/&gt;&lt;wsp:rsid wsp:val=&quot;0056474D&quot;/&gt;&lt;wsp:rsid wsp:val=&quot;00566DDA&quot;/&gt;&lt;wsp:rsid wsp:val=&quot;0056709F&quot;/&gt;&lt;wsp:rsid wsp:val=&quot;005679FE&quot;/&gt;&lt;wsp:rsid wsp:val=&quot;00572794&quot;/&gt;&lt;wsp:rsid wsp:val=&quot;00572999&quot;/&gt;&lt;wsp:rsid wsp:val=&quot;00573363&quot;/&gt;&lt;wsp:rsid wsp:val=&quot;005746D8&quot;/&gt;&lt;wsp:rsid wsp:val=&quot;00574C33&quot;/&gt;&lt;wsp:rsid wsp:val=&quot;005756F3&quot;/&gt;&lt;wsp:rsid wsp:val=&quot;00575BBC&quot;/&gt;&lt;wsp:rsid wsp:val=&quot;00576B42&quot;/&gt;&lt;wsp:rsid wsp:val=&quot;00576BFC&quot;/&gt;&lt;wsp:rsid wsp:val=&quot;00576EFE&quot;/&gt;&lt;wsp:rsid wsp:val=&quot;005778AD&quot;/&gt;&lt;wsp:rsid wsp:val=&quot;00577A6E&quot;/&gt;&lt;wsp:rsid wsp:val=&quot;005806AB&quot;/&gt;&lt;wsp:rsid wsp:val=&quot;0058356F&quot;/&gt;&lt;wsp:rsid wsp:val=&quot;00583E6F&quot;/&gt;&lt;wsp:rsid wsp:val=&quot;005844AC&quot;/&gt;&lt;wsp:rsid wsp:val=&quot;00584768&quot;/&gt;&lt;wsp:rsid wsp:val=&quot;00585B20&quot;/&gt;&lt;wsp:rsid wsp:val=&quot;00586115&quot;/&gt;&lt;wsp:rsid wsp:val=&quot;005863A4&quot;/&gt;&lt;wsp:rsid wsp:val=&quot;005867E5&quot;/&gt;&lt;wsp:rsid wsp:val=&quot;005904C1&quot;/&gt;&lt;wsp:rsid wsp:val=&quot;005909D0&quot;/&gt;&lt;wsp:rsid wsp:val=&quot;00590E14&quot;/&gt;&lt;wsp:rsid wsp:val=&quot;0059183B&quot;/&gt;&lt;wsp:rsid wsp:val=&quot;00591FA2&quot;/&gt;&lt;wsp:rsid wsp:val=&quot;005923EC&quot;/&gt;&lt;wsp:rsid wsp:val=&quot;00592FE6&quot;/&gt;&lt;wsp:rsid wsp:val=&quot;005930BA&quot;/&gt;&lt;wsp:rsid wsp:val=&quot;005948FC&quot;/&gt;&lt;wsp:rsid wsp:val=&quot;0059627A&quot;/&gt;&lt;wsp:rsid wsp:val=&quot;005978CD&quot;/&gt;&lt;wsp:rsid wsp:val=&quot;005A2484&quot;/&gt;&lt;wsp:rsid wsp:val=&quot;005A3542&quot;/&gt;&lt;wsp:rsid wsp:val=&quot;005A46EF&quot;/&gt;&lt;wsp:rsid wsp:val=&quot;005A48E7&quot;/&gt;&lt;wsp:rsid wsp:val=&quot;005A5A54&quot;/&gt;&lt;wsp:rsid wsp:val=&quot;005A5EC8&quot;/&gt;&lt;wsp:rsid wsp:val=&quot;005A65F1&quot;/&gt;&lt;wsp:rsid wsp:val=&quot;005A6749&quot;/&gt;&lt;wsp:rsid wsp:val=&quot;005A6B9A&quot;/&gt;&lt;wsp:rsid wsp:val=&quot;005B0350&quot;/&gt;&lt;wsp:rsid wsp:val=&quot;005B08FC&quot;/&gt;&lt;wsp:rsid wsp:val=&quot;005B1EC2&quot;/&gt;&lt;wsp:rsid wsp:val=&quot;005B208E&quot;/&gt;&lt;wsp:rsid wsp:val=&quot;005B21E1&quot;/&gt;&lt;wsp:rsid wsp:val=&quot;005B32A9&quot;/&gt;&lt;wsp:rsid wsp:val=&quot;005B404B&quot;/&gt;&lt;wsp:rsid wsp:val=&quot;005B410D&quot;/&gt;&lt;wsp:rsid wsp:val=&quot;005B46F2&quot;/&gt;&lt;wsp:rsid wsp:val=&quot;005B5D82&quot;/&gt;&lt;wsp:rsid wsp:val=&quot;005B601F&quot;/&gt;&lt;wsp:rsid wsp:val=&quot;005B6091&quot;/&gt;&lt;wsp:rsid wsp:val=&quot;005B6199&quot;/&gt;&lt;wsp:rsid wsp:val=&quot;005B6F93&quot;/&gt;&lt;wsp:rsid wsp:val=&quot;005B797B&quot;/&gt;&lt;wsp:rsid wsp:val=&quot;005C0762&quot;/&gt;&lt;wsp:rsid wsp:val=&quot;005C11A4&quot;/&gt;&lt;wsp:rsid wsp:val=&quot;005C22DA&quot;/&gt;&lt;wsp:rsid wsp:val=&quot;005C29D5&quot;/&gt;&lt;wsp:rsid wsp:val=&quot;005C30FA&quot;/&gt;&lt;wsp:rsid wsp:val=&quot;005C3153&quot;/&gt;&lt;wsp:rsid wsp:val=&quot;005C3D93&quot;/&gt;&lt;wsp:rsid wsp:val=&quot;005C41B7&quot;/&gt;&lt;wsp:rsid wsp:val=&quot;005C427B&quot;/&gt;&lt;wsp:rsid wsp:val=&quot;005C5A28&quot;/&gt;&lt;wsp:rsid wsp:val=&quot;005C5CBE&quot;/&gt;&lt;wsp:rsid wsp:val=&quot;005C5E97&quot;/&gt;&lt;wsp:rsid wsp:val=&quot;005C69FF&quot;/&gt;&lt;wsp:rsid wsp:val=&quot;005C7075&quot;/&gt;&lt;wsp:rsid wsp:val=&quot;005C73A8&quot;/&gt;&lt;wsp:rsid wsp:val=&quot;005D0235&quot;/&gt;&lt;wsp:rsid wsp:val=&quot;005D0E03&quot;/&gt;&lt;wsp:rsid wsp:val=&quot;005D1AAF&quot;/&gt;&lt;wsp:rsid wsp:val=&quot;005D1FF8&quot;/&gt;&lt;wsp:rsid wsp:val=&quot;005D4548&quot;/&gt;&lt;wsp:rsid wsp:val=&quot;005D78EF&quot;/&gt;&lt;wsp:rsid wsp:val=&quot;005E03A3&quot;/&gt;&lt;wsp:rsid wsp:val=&quot;005E0EBF&quot;/&gt;&lt;wsp:rsid wsp:val=&quot;005E2EAD&quot;/&gt;&lt;wsp:rsid wsp:val=&quot;005E3564&quot;/&gt;&lt;wsp:rsid wsp:val=&quot;005E3BAB&quot;/&gt;&lt;wsp:rsid wsp:val=&quot;005E40DB&quot;/&gt;&lt;wsp:rsid wsp:val=&quot;005E430D&quot;/&gt;&lt;wsp:rsid wsp:val=&quot;005E4469&quot;/&gt;&lt;wsp:rsid wsp:val=&quot;005E536D&quot;/&gt;&lt;wsp:rsid wsp:val=&quot;005E6C90&quot;/&gt;&lt;wsp:rsid wsp:val=&quot;005E773F&quot;/&gt;&lt;wsp:rsid wsp:val=&quot;005F0E43&quot;/&gt;&lt;wsp:rsid wsp:val=&quot;005F0F99&quot;/&gt;&lt;wsp:rsid wsp:val=&quot;005F217F&quot;/&gt;&lt;wsp:rsid wsp:val=&quot;005F5950&quot;/&gt;&lt;wsp:rsid wsp:val=&quot;005F63D4&quot;/&gt;&lt;wsp:rsid wsp:val=&quot;005F65EB&quot;/&gt;&lt;wsp:rsid wsp:val=&quot;005F6ABB&quot;/&gt;&lt;wsp:rsid wsp:val=&quot;005F716A&quot;/&gt;&lt;wsp:rsid wsp:val=&quot;005F71EF&quot;/&gt;&lt;wsp:rsid wsp:val=&quot;00600DED&quot;/&gt;&lt;wsp:rsid wsp:val=&quot;00600EA6&quot;/&gt;&lt;wsp:rsid wsp:val=&quot;00600F6B&quot;/&gt;&lt;wsp:rsid wsp:val=&quot;00601418&quot;/&gt;&lt;wsp:rsid wsp:val=&quot;006047AB&quot;/&gt;&lt;wsp:rsid wsp:val=&quot;00604955&quot;/&gt;&lt;wsp:rsid wsp:val=&quot;00604A7C&quot;/&gt;&lt;wsp:rsid wsp:val=&quot;00604FB4&quot;/&gt;&lt;wsp:rsid wsp:val=&quot;00605938&quot;/&gt;&lt;wsp:rsid wsp:val=&quot;00605CC8&quot;/&gt;&lt;wsp:rsid wsp:val=&quot;00605D05&quot;/&gt;&lt;wsp:rsid wsp:val=&quot;00607685&quot;/&gt;&lt;wsp:rsid wsp:val=&quot;006100AD&quot;/&gt;&lt;wsp:rsid wsp:val=&quot;006107D2&quot;/&gt;&lt;wsp:rsid wsp:val=&quot;00610ADF&quot;/&gt;&lt;wsp:rsid wsp:val=&quot;00610AFF&quot;/&gt;&lt;wsp:rsid wsp:val=&quot;00611503&quot;/&gt;&lt;wsp:rsid wsp:val=&quot;00611C59&quot;/&gt;&lt;wsp:rsid wsp:val=&quot;00612EA3&quot;/&gt;&lt;wsp:rsid wsp:val=&quot;00612ECE&quot;/&gt;&lt;wsp:rsid wsp:val=&quot;0061328A&quot;/&gt;&lt;wsp:rsid wsp:val=&quot;006133F0&quot;/&gt;&lt;wsp:rsid wsp:val=&quot;00613F3B&quot;/&gt;&lt;wsp:rsid wsp:val=&quot;0061465A&quot;/&gt;&lt;wsp:rsid wsp:val=&quot;00614CB2&quot;/&gt;&lt;wsp:rsid wsp:val=&quot;006169D9&quot;/&gt;&lt;wsp:rsid wsp:val=&quot;006172C0&quot;/&gt;&lt;wsp:rsid wsp:val=&quot;006172F0&quot;/&gt;&lt;wsp:rsid wsp:val=&quot;006207AF&quot;/&gt;&lt;wsp:rsid wsp:val=&quot;0062100D&quot;/&gt;&lt;wsp:rsid wsp:val=&quot;006213B8&quot;/&gt;&lt;wsp:rsid wsp:val=&quot;00621E3F&quot;/&gt;&lt;wsp:rsid wsp:val=&quot;00622764&quot;/&gt;&lt;wsp:rsid wsp:val=&quot;00623463&quot;/&gt;&lt;wsp:rsid wsp:val=&quot;00624136&quot;/&gt;&lt;wsp:rsid wsp:val=&quot;00624568&quot;/&gt;&lt;wsp:rsid wsp:val=&quot;00625CB8&quot;/&gt;&lt;wsp:rsid wsp:val=&quot;0062626E&quot;/&gt;&lt;wsp:rsid wsp:val=&quot;0062661F&quot;/&gt;&lt;wsp:rsid wsp:val=&quot;00626702&quot;/&gt;&lt;wsp:rsid wsp:val=&quot;00626C1B&quot;/&gt;&lt;wsp:rsid wsp:val=&quot;006272C9&quot;/&gt;&lt;wsp:rsid wsp:val=&quot;006303E7&quot;/&gt;&lt;wsp:rsid wsp:val=&quot;00630E8B&quot;/&gt;&lt;wsp:rsid wsp:val=&quot;00631795&quot;/&gt;&lt;wsp:rsid wsp:val=&quot;006341D5&quot;/&gt;&lt;wsp:rsid wsp:val=&quot;00634662&quot;/&gt;&lt;wsp:rsid wsp:val=&quot;006351EC&quot;/&gt;&lt;wsp:rsid wsp:val=&quot;006351FC&quot;/&gt;&lt;wsp:rsid wsp:val=&quot;00635470&quot;/&gt;&lt;wsp:rsid wsp:val=&quot;006379A5&quot;/&gt;&lt;wsp:rsid wsp:val=&quot;006400A6&quot;/&gt;&lt;wsp:rsid wsp:val=&quot;006413FF&quot;/&gt;&lt;wsp:rsid wsp:val=&quot;006414E1&quot;/&gt;&lt;wsp:rsid wsp:val=&quot;00641D6F&quot;/&gt;&lt;wsp:rsid wsp:val=&quot;0064271C&quot;/&gt;&lt;wsp:rsid wsp:val=&quot;00643B12&quot;/&gt;&lt;wsp:rsid wsp:val=&quot;00644250&quot;/&gt;&lt;wsp:rsid wsp:val=&quot;00645E82&quot;/&gt;&lt;wsp:rsid wsp:val=&quot;00646721&quot;/&gt;&lt;wsp:rsid wsp:val=&quot;006467F1&quot;/&gt;&lt;wsp:rsid wsp:val=&quot;00646AA7&quot;/&gt;&lt;wsp:rsid wsp:val=&quot;0065074C&quot;/&gt;&lt;wsp:rsid wsp:val=&quot;00650B86&quot;/&gt;&lt;wsp:rsid wsp:val=&quot;00651482&quot;/&gt;&lt;wsp:rsid wsp:val=&quot;006515E2&quot;/&gt;&lt;wsp:rsid wsp:val=&quot;00651DF0&quot;/&gt;&lt;wsp:rsid wsp:val=&quot;006525EB&quot;/&gt;&lt;wsp:rsid wsp:val=&quot;00652E0E&quot;/&gt;&lt;wsp:rsid wsp:val=&quot;006541E4&quot;/&gt;&lt;wsp:rsid wsp:val=&quot;00655B6B&quot;/&gt;&lt;wsp:rsid wsp:val=&quot;00655DAD&quot;/&gt;&lt;wsp:rsid wsp:val=&quot;006561AD&quot;/&gt;&lt;wsp:rsid wsp:val=&quot;0065654C&quot;/&gt;&lt;wsp:rsid wsp:val=&quot;006575C4&quot;/&gt;&lt;wsp:rsid wsp:val=&quot;00657A9A&quot;/&gt;&lt;wsp:rsid wsp:val=&quot;00657BCD&quot;/&gt;&lt;wsp:rsid wsp:val=&quot;006602D3&quot;/&gt;&lt;wsp:rsid wsp:val=&quot;006603AF&quot;/&gt;&lt;wsp:rsid wsp:val=&quot;006604F7&quot;/&gt;&lt;wsp:rsid wsp:val=&quot;0066051B&quot;/&gt;&lt;wsp:rsid wsp:val=&quot;0066069E&quot;/&gt;&lt;wsp:rsid wsp:val=&quot;006639CD&quot;/&gt;&lt;wsp:rsid wsp:val=&quot;00663B42&quot;/&gt;&lt;wsp:rsid wsp:val=&quot;00664B6A&quot;/&gt;&lt;wsp:rsid wsp:val=&quot;00664E34&quot;/&gt;&lt;wsp:rsid wsp:val=&quot;006668A8&quot;/&gt;&lt;wsp:rsid wsp:val=&quot;00666E2F&quot;/&gt;&lt;wsp:rsid wsp:val=&quot;006676D6&quot;/&gt;&lt;wsp:rsid wsp:val=&quot;00670DF9&quot;/&gt;&lt;wsp:rsid wsp:val=&quot;00670F14&quot;/&gt;&lt;wsp:rsid wsp:val=&quot;00671B18&quot;/&gt;&lt;wsp:rsid wsp:val=&quot;0067200E&quot;/&gt;&lt;wsp:rsid wsp:val=&quot;00672431&quot;/&gt;&lt;wsp:rsid wsp:val=&quot;006725D1&quot;/&gt;&lt;wsp:rsid wsp:val=&quot;006729A8&quot;/&gt;&lt;wsp:rsid wsp:val=&quot;00672FD5&quot;/&gt;&lt;wsp:rsid wsp:val=&quot;006735BF&quot;/&gt;&lt;wsp:rsid wsp:val=&quot;00674497&quot;/&gt;&lt;wsp:rsid wsp:val=&quot;00674A62&quot;/&gt;&lt;wsp:rsid wsp:val=&quot;00674C96&quot;/&gt;&lt;wsp:rsid wsp:val=&quot;00674DF8&quot;/&gt;&lt;wsp:rsid wsp:val=&quot;00674F9D&quot;/&gt;&lt;wsp:rsid wsp:val=&quot;00675D59&quot;/&gt;&lt;wsp:rsid wsp:val=&quot;00675EF3&quot;/&gt;&lt;wsp:rsid wsp:val=&quot;00675FAD&quot;/&gt;&lt;wsp:rsid wsp:val=&quot;00676122&quot;/&gt;&lt;wsp:rsid wsp:val=&quot;006809C0&quot;/&gt;&lt;wsp:rsid wsp:val=&quot;00681489&quot;/&gt;&lt;wsp:rsid wsp:val=&quot;006818D4&quot;/&gt;&lt;wsp:rsid wsp:val=&quot;006820F3&quot;/&gt;&lt;wsp:rsid wsp:val=&quot;00682481&quot;/&gt;&lt;wsp:rsid wsp:val=&quot;00683438&quot;/&gt;&lt;wsp:rsid wsp:val=&quot;0068398B&quot;/&gt;&lt;wsp:rsid wsp:val=&quot;00684D25&quot;/&gt;&lt;wsp:rsid wsp:val=&quot;00685362&quot;/&gt;&lt;wsp:rsid wsp:val=&quot;00686F5E&quot;/&gt;&lt;wsp:rsid wsp:val=&quot;0068747B&quot;/&gt;&lt;wsp:rsid wsp:val=&quot;00687953&quot;/&gt;&lt;wsp:rsid wsp:val=&quot;00687EBC&quot;/&gt;&lt;wsp:rsid wsp:val=&quot;006904D0&quot;/&gt;&lt;wsp:rsid wsp:val=&quot;0069225E&quot;/&gt;&lt;wsp:rsid wsp:val=&quot;0069288D&quot;/&gt;&lt;wsp:rsid wsp:val=&quot;00692926&quot;/&gt;&lt;wsp:rsid wsp:val=&quot;00692AA1&quot;/&gt;&lt;wsp:rsid wsp:val=&quot;00693677&quot;/&gt;&lt;wsp:rsid wsp:val=&quot;006941A4&quot;/&gt;&lt;wsp:rsid wsp:val=&quot;0069467F&quot;/&gt;&lt;wsp:rsid wsp:val=&quot;00694C33&quot;/&gt;&lt;wsp:rsid wsp:val=&quot;00694D3A&quot;/&gt;&lt;wsp:rsid wsp:val=&quot;006957C8&quot;/&gt;&lt;wsp:rsid wsp:val=&quot;006957D0&quot;/&gt;&lt;wsp:rsid wsp:val=&quot;00697002&quot;/&gt;&lt;wsp:rsid wsp:val=&quot;0069721C&quot;/&gt;&lt;wsp:rsid wsp:val=&quot;006976C9&quot;/&gt;&lt;wsp:rsid wsp:val=&quot;006976FE&quot;/&gt;&lt;wsp:rsid wsp:val=&quot;00697FB9&quot;/&gt;&lt;wsp:rsid wsp:val=&quot;006A0401&quot;/&gt;&lt;wsp:rsid wsp:val=&quot;006A0A1B&quot;/&gt;&lt;wsp:rsid wsp:val=&quot;006A0D7F&quot;/&gt;&lt;wsp:rsid wsp:val=&quot;006A1A75&quot;/&gt;&lt;wsp:rsid wsp:val=&quot;006A22F6&quot;/&gt;&lt;wsp:rsid wsp:val=&quot;006A2322&quot;/&gt;&lt;wsp:rsid wsp:val=&quot;006A3169&quot;/&gt;&lt;wsp:rsid wsp:val=&quot;006A33AC&quot;/&gt;&lt;wsp:rsid wsp:val=&quot;006A4358&quot;/&gt;&lt;wsp:rsid wsp:val=&quot;006A45EB&quot;/&gt;&lt;wsp:rsid wsp:val=&quot;006A518E&quot;/&gt;&lt;wsp:rsid wsp:val=&quot;006A54DA&quot;/&gt;&lt;wsp:rsid wsp:val=&quot;006A63A5&quot;/&gt;&lt;wsp:rsid wsp:val=&quot;006A6517&quot;/&gt;&lt;wsp:rsid wsp:val=&quot;006A719D&quot;/&gt;&lt;wsp:rsid wsp:val=&quot;006A78F2&quot;/&gt;&lt;wsp:rsid wsp:val=&quot;006A7995&quot;/&gt;&lt;wsp:rsid wsp:val=&quot;006A7BB2&quot;/&gt;&lt;wsp:rsid wsp:val=&quot;006B0C29&quot;/&gt;&lt;wsp:rsid wsp:val=&quot;006B1C5B&quot;/&gt;&lt;wsp:rsid wsp:val=&quot;006B3447&quot;/&gt;&lt;wsp:rsid wsp:val=&quot;006B4259&quot;/&gt;&lt;wsp:rsid wsp:val=&quot;006B43A8&quot;/&gt;&lt;wsp:rsid wsp:val=&quot;006B5C80&quot;/&gt;&lt;wsp:rsid wsp:val=&quot;006B6448&quot;/&gt;&lt;wsp:rsid wsp:val=&quot;006B6562&quot;/&gt;&lt;wsp:rsid wsp:val=&quot;006B6B7A&quot;/&gt;&lt;wsp:rsid wsp:val=&quot;006B7678&quot;/&gt;&lt;wsp:rsid wsp:val=&quot;006B77DD&quot;/&gt;&lt;wsp:rsid wsp:val=&quot;006B7BF6&quot;/&gt;&lt;wsp:rsid wsp:val=&quot;006C1A2A&quot;/&gt;&lt;wsp:rsid wsp:val=&quot;006C1AEF&quot;/&gt;&lt;wsp:rsid wsp:val=&quot;006C1CB2&quot;/&gt;&lt;wsp:rsid wsp:val=&quot;006C21EA&quot;/&gt;&lt;wsp:rsid wsp:val=&quot;006C2558&quot;/&gt;&lt;wsp:rsid wsp:val=&quot;006C313C&quot;/&gt;&lt;wsp:rsid wsp:val=&quot;006C37D6&quot;/&gt;&lt;wsp:rsid wsp:val=&quot;006C4486&quot;/&gt;&lt;wsp:rsid wsp:val=&quot;006C46AE&quot;/&gt;&lt;wsp:rsid wsp:val=&quot;006C5C20&quot;/&gt;&lt;wsp:rsid wsp:val=&quot;006C5FCD&quot;/&gt;&lt;wsp:rsid wsp:val=&quot;006C7965&quot;/&gt;&lt;wsp:rsid wsp:val=&quot;006C7D0B&quot;/&gt;&lt;wsp:rsid wsp:val=&quot;006D0046&quot;/&gt;&lt;wsp:rsid wsp:val=&quot;006D0098&quot;/&gt;&lt;wsp:rsid wsp:val=&quot;006D09A8&quot;/&gt;&lt;wsp:rsid wsp:val=&quot;006D0D7C&quot;/&gt;&lt;wsp:rsid wsp:val=&quot;006D1580&quot;/&gt;&lt;wsp:rsid wsp:val=&quot;006D20C9&quot;/&gt;&lt;wsp:rsid wsp:val=&quot;006D2445&quot;/&gt;&lt;wsp:rsid wsp:val=&quot;006D2571&quot;/&gt;&lt;wsp:rsid wsp:val=&quot;006D2AE2&quot;/&gt;&lt;wsp:rsid wsp:val=&quot;006D444A&quot;/&gt;&lt;wsp:rsid wsp:val=&quot;006D48DC&quot;/&gt;&lt;wsp:rsid wsp:val=&quot;006D5264&quot;/&gt;&lt;wsp:rsid wsp:val=&quot;006D5631&quot;/&gt;&lt;wsp:rsid wsp:val=&quot;006D6040&quot;/&gt;&lt;wsp:rsid wsp:val=&quot;006D79EB&quot;/&gt;&lt;wsp:rsid wsp:val=&quot;006E0403&quot;/&gt;&lt;wsp:rsid wsp:val=&quot;006E0BEE&quot;/&gt;&lt;wsp:rsid wsp:val=&quot;006E115D&quot;/&gt;&lt;wsp:rsid wsp:val=&quot;006E1F2F&quot;/&gt;&lt;wsp:rsid wsp:val=&quot;006E2AF0&quot;/&gt;&lt;wsp:rsid wsp:val=&quot;006E4E54&quot;/&gt;&lt;wsp:rsid wsp:val=&quot;006E53F0&quot;/&gt;&lt;wsp:rsid wsp:val=&quot;006E57A3&quot;/&gt;&lt;wsp:rsid wsp:val=&quot;006E5D55&quot;/&gt;&lt;wsp:rsid wsp:val=&quot;006E6660&quot;/&gt;&lt;wsp:rsid wsp:val=&quot;006E6A85&quot;/&gt;&lt;wsp:rsid wsp:val=&quot;006E735B&quot;/&gt;&lt;wsp:rsid wsp:val=&quot;006F0FF4&quot;/&gt;&lt;wsp:rsid wsp:val=&quot;006F1BF7&quot;/&gt;&lt;wsp:rsid wsp:val=&quot;006F2D52&quot;/&gt;&lt;wsp:rsid wsp:val=&quot;006F3FCF&quot;/&gt;&lt;wsp:rsid wsp:val=&quot;006F47A0&quot;/&gt;&lt;wsp:rsid wsp:val=&quot;006F47A2&quot;/&gt;&lt;wsp:rsid wsp:val=&quot;006F6120&quot;/&gt;&lt;wsp:rsid wsp:val=&quot;006F653F&quot;/&gt;&lt;wsp:rsid wsp:val=&quot;006F6638&quot;/&gt;&lt;wsp:rsid wsp:val=&quot;006F69C7&quot;/&gt;&lt;wsp:rsid wsp:val=&quot;006F6D9F&quot;/&gt;&lt;wsp:rsid wsp:val=&quot;0070076E&quot;/&gt;&lt;wsp:rsid wsp:val=&quot;00700D48&quot;/&gt;&lt;wsp:rsid wsp:val=&quot;0070106D&quot;/&gt;&lt;wsp:rsid wsp:val=&quot;00701C61&quot;/&gt;&lt;wsp:rsid wsp:val=&quot;00701DDE&quot;/&gt;&lt;wsp:rsid wsp:val=&quot;00702178&quot;/&gt;&lt;wsp:rsid wsp:val=&quot;007024A5&quot;/&gt;&lt;wsp:rsid wsp:val=&quot;0070280D&quot;/&gt;&lt;wsp:rsid wsp:val=&quot;00703C82&quot;/&gt;&lt;wsp:rsid wsp:val=&quot;007042E6&quot;/&gt;&lt;wsp:rsid wsp:val=&quot;00705ADC&quot;/&gt;&lt;wsp:rsid wsp:val=&quot;00705F4B&quot;/&gt;&lt;wsp:rsid wsp:val=&quot;00710160&quot;/&gt;&lt;wsp:rsid wsp:val=&quot;0071056C&quot;/&gt;&lt;wsp:rsid wsp:val=&quot;007105F2&quot;/&gt;&lt;wsp:rsid wsp:val=&quot;007109CB&quot;/&gt;&lt;wsp:rsid wsp:val=&quot;00710D49&quot;/&gt;&lt;wsp:rsid wsp:val=&quot;00713B06&quot;/&gt;&lt;wsp:rsid wsp:val=&quot;00714A54&quot;/&gt;&lt;wsp:rsid wsp:val=&quot;007154F8&quot;/&gt;&lt;wsp:rsid wsp:val=&quot;00716168&quot;/&gt;&lt;wsp:rsid wsp:val=&quot;007166D2&quot;/&gt;&lt;wsp:rsid wsp:val=&quot;0071676F&quot;/&gt;&lt;wsp:rsid wsp:val=&quot;00716D2C&quot;/&gt;&lt;wsp:rsid wsp:val=&quot;00717286&quot;/&gt;&lt;wsp:rsid wsp:val=&quot;00717C89&quot;/&gt;&lt;wsp:rsid wsp:val=&quot;00717D23&quot;/&gt;&lt;wsp:rsid wsp:val=&quot;00720CE4&quot;/&gt;&lt;wsp:rsid wsp:val=&quot;0072146C&quot;/&gt;&lt;wsp:rsid wsp:val=&quot;007216F5&quot;/&gt;&lt;wsp:rsid wsp:val=&quot;00723B25&quot;/&gt;&lt;wsp:rsid wsp:val=&quot;007242BF&quot;/&gt;&lt;wsp:rsid wsp:val=&quot;00724430&quot;/&gt;&lt;wsp:rsid wsp:val=&quot;00724786&quot;/&gt;&lt;wsp:rsid wsp:val=&quot;00725D12&quot;/&gt;&lt;wsp:rsid wsp:val=&quot;00726104&quot;/&gt;&lt;wsp:rsid wsp:val=&quot;00726956&quot;/&gt;&lt;wsp:rsid wsp:val=&quot;00727FDA&quot;/&gt;&lt;wsp:rsid wsp:val=&quot;007302B7&quot;/&gt;&lt;wsp:rsid wsp:val=&quot;007306E7&quot;/&gt;&lt;wsp:rsid wsp:val=&quot;007307FD&quot;/&gt;&lt;wsp:rsid wsp:val=&quot;00730A5D&quot;/&gt;&lt;wsp:rsid wsp:val=&quot;007326CD&quot;/&gt;&lt;wsp:rsid wsp:val=&quot;007336E5&quot;/&gt;&lt;wsp:rsid wsp:val=&quot;00733C1A&quot;/&gt;&lt;wsp:rsid wsp:val=&quot;00734242&quot;/&gt;&lt;wsp:rsid wsp:val=&quot;0073464C&quot;/&gt;&lt;wsp:rsid wsp:val=&quot;00734684&quot;/&gt;&lt;wsp:rsid wsp:val=&quot;00734A07&quot;/&gt;&lt;wsp:rsid wsp:val=&quot;00734A9B&quot;/&gt;&lt;wsp:rsid wsp:val=&quot;0073565E&quot;/&gt;&lt;wsp:rsid wsp:val=&quot;007366E4&quot;/&gt;&lt;wsp:rsid wsp:val=&quot;007367B0&quot;/&gt;&lt;wsp:rsid wsp:val=&quot;0073732E&quot;/&gt;&lt;wsp:rsid wsp:val=&quot;007377E5&quot;/&gt;&lt;wsp:rsid wsp:val=&quot;007402BC&quot;/&gt;&lt;wsp:rsid wsp:val=&quot;00740403&quot;/&gt;&lt;wsp:rsid wsp:val=&quot;007424DD&quot;/&gt;&lt;wsp:rsid wsp:val=&quot;0074371B&quot;/&gt;&lt;wsp:rsid wsp:val=&quot;0074392D&quot;/&gt;&lt;wsp:rsid wsp:val=&quot;00743F75&quot;/&gt;&lt;wsp:rsid wsp:val=&quot;0074440B&quot;/&gt;&lt;wsp:rsid wsp:val=&quot;00746137&quot;/&gt;&lt;wsp:rsid wsp:val=&quot;007467DD&quot;/&gt;&lt;wsp:rsid wsp:val=&quot;00746EF1&quot;/&gt;&lt;wsp:rsid wsp:val=&quot;00747FF1&quot;/&gt;&lt;wsp:rsid wsp:val=&quot;0075200B&quot;/&gt;&lt;wsp:rsid wsp:val=&quot;007522DD&quot;/&gt;&lt;wsp:rsid wsp:val=&quot;0075411F&quot;/&gt;&lt;wsp:rsid wsp:val=&quot;00754960&quot;/&gt;&lt;wsp:rsid wsp:val=&quot;00756790&quot;/&gt;&lt;wsp:rsid wsp:val=&quot;00761441&quot;/&gt;&lt;wsp:rsid wsp:val=&quot;00761483&quot;/&gt;&lt;wsp:rsid wsp:val=&quot;00761636&quot;/&gt;&lt;wsp:rsid wsp:val=&quot;0076368D&quot;/&gt;&lt;wsp:rsid wsp:val=&quot;00763A78&quot;/&gt;&lt;wsp:rsid wsp:val=&quot;00763E9A&quot;/&gt;&lt;wsp:rsid wsp:val=&quot;00765025&quot;/&gt;&lt;wsp:rsid wsp:val=&quot;00765039&quot;/&gt;&lt;wsp:rsid wsp:val=&quot;007651EA&quot;/&gt;&lt;wsp:rsid wsp:val=&quot;00765C6C&quot;/&gt;&lt;wsp:rsid wsp:val=&quot;00765DE1&quot;/&gt;&lt;wsp:rsid wsp:val=&quot;007704E9&quot;/&gt;&lt;wsp:rsid wsp:val=&quot;00770B76&quot;/&gt;&lt;wsp:rsid wsp:val=&quot;007716BE&quot;/&gt;&lt;wsp:rsid wsp:val=&quot;00771AC0&quot;/&gt;&lt;wsp:rsid wsp:val=&quot;00772851&quot;/&gt;&lt;wsp:rsid wsp:val=&quot;00772A08&quot;/&gt;&lt;wsp:rsid wsp:val=&quot;0077372E&quot;/&gt;&lt;wsp:rsid wsp:val=&quot;0077375A&quot;/&gt;&lt;wsp:rsid wsp:val=&quot;00774002&quot;/&gt;&lt;wsp:rsid wsp:val=&quot;0077438D&quot;/&gt;&lt;wsp:rsid wsp:val=&quot;00775524&quot;/&gt;&lt;wsp:rsid wsp:val=&quot;007758B1&quot;/&gt;&lt;wsp:rsid wsp:val=&quot;00775A84&quot;/&gt;&lt;wsp:rsid wsp:val=&quot;00776F73&quot;/&gt;&lt;wsp:rsid wsp:val=&quot;00777032&quot;/&gt;&lt;wsp:rsid wsp:val=&quot;00777A25&quot;/&gt;&lt;wsp:rsid wsp:val=&quot;007803C8&quot;/&gt;&lt;wsp:rsid wsp:val=&quot;00780635&quot;/&gt;&lt;wsp:rsid wsp:val=&quot;00780B7D&quot;/&gt;&lt;wsp:rsid wsp:val=&quot;00781299&quot;/&gt;&lt;wsp:rsid wsp:val=&quot;007816C8&quot;/&gt;&lt;wsp:rsid wsp:val=&quot;00782401&quot;/&gt;&lt;wsp:rsid wsp:val=&quot;007826A8&quot;/&gt;&lt;wsp:rsid wsp:val=&quot;00782C6D&quot;/&gt;&lt;wsp:rsid wsp:val=&quot;00782F0C&quot;/&gt;&lt;wsp:rsid wsp:val=&quot;007838CF&quot;/&gt;&lt;wsp:rsid wsp:val=&quot;00783E8B&quot;/&gt;&lt;wsp:rsid wsp:val=&quot;007844F9&quot;/&gt;&lt;wsp:rsid wsp:val=&quot;0078479A&quot;/&gt;&lt;wsp:rsid wsp:val=&quot;00784E4D&quot;/&gt;&lt;wsp:rsid wsp:val=&quot;00785334&quot;/&gt;&lt;wsp:rsid wsp:val=&quot;00785498&quot;/&gt;&lt;wsp:rsid wsp:val=&quot;0078592B&quot;/&gt;&lt;wsp:rsid wsp:val=&quot;00786498&quot;/&gt;&lt;wsp:rsid wsp:val=&quot;00786C98&quot;/&gt;&lt;wsp:rsid wsp:val=&quot;007875F9&quot;/&gt;&lt;wsp:rsid wsp:val=&quot;00787C48&quot;/&gt;&lt;wsp:rsid wsp:val=&quot;0079007A&quot;/&gt;&lt;wsp:rsid wsp:val=&quot;00791B74&quot;/&gt;&lt;wsp:rsid wsp:val=&quot;00791BA8&quot;/&gt;&lt;wsp:rsid wsp:val=&quot;00791EC7&quot;/&gt;&lt;wsp:rsid wsp:val=&quot;0079234F&quot;/&gt;&lt;wsp:rsid wsp:val=&quot;00792834&quot;/&gt;&lt;wsp:rsid wsp:val=&quot;00792E52&quot;/&gt;&lt;wsp:rsid wsp:val=&quot;00792FC8&quot;/&gt;&lt;wsp:rsid wsp:val=&quot;00793019&quot;/&gt;&lt;wsp:rsid wsp:val=&quot;007938AB&quot;/&gt;&lt;wsp:rsid wsp:val=&quot;00794843&quot;/&gt;&lt;wsp:rsid wsp:val=&quot;00794AD4&quot;/&gt;&lt;wsp:rsid wsp:val=&quot;00794EA6&quot;/&gt;&lt;wsp:rsid wsp:val=&quot;00795642&quot;/&gt;&lt;wsp:rsid wsp:val=&quot;00795EFF&quot;/&gt;&lt;wsp:rsid wsp:val=&quot;0079664A&quot;/&gt;&lt;wsp:rsid wsp:val=&quot;007967D1&quot;/&gt;&lt;wsp:rsid wsp:val=&quot;00796DAA&quot;/&gt;&lt;wsp:rsid wsp:val=&quot;00796F80&quot;/&gt;&lt;wsp:rsid wsp:val=&quot;007A04A2&quot;/&gt;&lt;wsp:rsid wsp:val=&quot;007A074B&quot;/&gt;&lt;wsp:rsid wsp:val=&quot;007A0943&quot;/&gt;&lt;wsp:rsid wsp:val=&quot;007A0BF0&quot;/&gt;&lt;wsp:rsid wsp:val=&quot;007A0E5F&quot;/&gt;&lt;wsp:rsid wsp:val=&quot;007A0EBC&quot;/&gt;&lt;wsp:rsid wsp:val=&quot;007A1EFF&quot;/&gt;&lt;wsp:rsid wsp:val=&quot;007A2EE6&quot;/&gt;&lt;wsp:rsid wsp:val=&quot;007A30B1&quot;/&gt;&lt;wsp:rsid wsp:val=&quot;007A31B7&quot;/&gt;&lt;wsp:rsid wsp:val=&quot;007A3CB9&quot;/&gt;&lt;wsp:rsid wsp:val=&quot;007A41DD&quot;/&gt;&lt;wsp:rsid wsp:val=&quot;007A6C6E&quot;/&gt;&lt;wsp:rsid wsp:val=&quot;007A6FA9&quot;/&gt;&lt;wsp:rsid wsp:val=&quot;007A720D&quot;/&gt;&lt;wsp:rsid wsp:val=&quot;007A79CA&quot;/&gt;&lt;wsp:rsid wsp:val=&quot;007A7A74&quot;/&gt;&lt;wsp:rsid wsp:val=&quot;007A7D34&quot;/&gt;&lt;wsp:rsid wsp:val=&quot;007B04AD&quot;/&gt;&lt;wsp:rsid wsp:val=&quot;007B1A72&quot;/&gt;&lt;wsp:rsid wsp:val=&quot;007B1E4D&quot;/&gt;&lt;wsp:rsid wsp:val=&quot;007B295D&quot;/&gt;&lt;wsp:rsid wsp:val=&quot;007B403E&quot;/&gt;&lt;wsp:rsid wsp:val=&quot;007B5230&quot;/&gt;&lt;wsp:rsid wsp:val=&quot;007B66A2&quot;/&gt;&lt;wsp:rsid wsp:val=&quot;007B675D&quot;/&gt;&lt;wsp:rsid wsp:val=&quot;007B6D90&quot;/&gt;&lt;wsp:rsid wsp:val=&quot;007B7209&quot;/&gt;&lt;wsp:rsid wsp:val=&quot;007B7828&quot;/&gt;&lt;wsp:rsid wsp:val=&quot;007C0B9C&quot;/&gt;&lt;wsp:rsid wsp:val=&quot;007C0C55&quot;/&gt;&lt;wsp:rsid wsp:val=&quot;007C1784&quot;/&gt;&lt;wsp:rsid wsp:val=&quot;007C22E6&quot;/&gt;&lt;wsp:rsid wsp:val=&quot;007C2FA0&quot;/&gt;&lt;wsp:rsid wsp:val=&quot;007C3CA1&quot;/&gt;&lt;wsp:rsid wsp:val=&quot;007C63DE&quot;/&gt;&lt;wsp:rsid wsp:val=&quot;007C64C8&quot;/&gt;&lt;wsp:rsid wsp:val=&quot;007C6DEF&quot;/&gt;&lt;wsp:rsid wsp:val=&quot;007C78CF&quot;/&gt;&lt;wsp:rsid wsp:val=&quot;007C7F98&quot;/&gt;&lt;wsp:rsid wsp:val=&quot;007D1068&quot;/&gt;&lt;wsp:rsid wsp:val=&quot;007D13DF&quot;/&gt;&lt;wsp:rsid wsp:val=&quot;007D1617&quot;/&gt;&lt;wsp:rsid wsp:val=&quot;007D2B2C&quot;/&gt;&lt;wsp:rsid wsp:val=&quot;007D3507&quot;/&gt;&lt;wsp:rsid wsp:val=&quot;007D3942&quot;/&gt;&lt;wsp:rsid wsp:val=&quot;007D3A72&quot;/&gt;&lt;wsp:rsid wsp:val=&quot;007D3ADE&quot;/&gt;&lt;wsp:rsid wsp:val=&quot;007D4156&quot;/&gt;&lt;wsp:rsid wsp:val=&quot;007D4E76&quot;/&gt;&lt;wsp:rsid wsp:val=&quot;007D4F36&quot;/&gt;&lt;wsp:rsid wsp:val=&quot;007D5898&quot;/&gt;&lt;wsp:rsid wsp:val=&quot;007D5935&quot;/&gt;&lt;wsp:rsid wsp:val=&quot;007D5E97&quot;/&gt;&lt;wsp:rsid wsp:val=&quot;007D6237&quot;/&gt;&lt;wsp:rsid wsp:val=&quot;007D62E4&quot;/&gt;&lt;wsp:rsid wsp:val=&quot;007D6AA7&quot;/&gt;&lt;wsp:rsid wsp:val=&quot;007D6B2D&quot;/&gt;&lt;wsp:rsid wsp:val=&quot;007D70E0&quot;/&gt;&lt;wsp:rsid wsp:val=&quot;007D7AFC&quot;/&gt;&lt;wsp:rsid wsp:val=&quot;007E1C0A&quot;/&gt;&lt;wsp:rsid wsp:val=&quot;007E2098&quot;/&gt;&lt;wsp:rsid wsp:val=&quot;007E265A&quot;/&gt;&lt;wsp:rsid wsp:val=&quot;007E2C4E&quot;/&gt;&lt;wsp:rsid wsp:val=&quot;007E4031&quot;/&gt;&lt;wsp:rsid wsp:val=&quot;007E4C7B&quot;/&gt;&lt;wsp:rsid wsp:val=&quot;007E5982&quot;/&gt;&lt;wsp:rsid wsp:val=&quot;007E5F0E&quot;/&gt;&lt;wsp:rsid wsp:val=&quot;007E63E6&quot;/&gt;&lt;wsp:rsid wsp:val=&quot;007E6691&quot;/&gt;&lt;wsp:rsid wsp:val=&quot;007E687F&quot;/&gt;&lt;wsp:rsid wsp:val=&quot;007E68F5&quot;/&gt;&lt;wsp:rsid wsp:val=&quot;007F03F3&quot;/&gt;&lt;wsp:rsid wsp:val=&quot;007F0483&quot;/&gt;&lt;wsp:rsid wsp:val=&quot;007F12F2&quot;/&gt;&lt;wsp:rsid wsp:val=&quot;007F164A&quot;/&gt;&lt;wsp:rsid wsp:val=&quot;007F1769&quot;/&gt;&lt;wsp:rsid wsp:val=&quot;007F1F0A&quot;/&gt;&lt;wsp:rsid wsp:val=&quot;007F2630&quot;/&gt;&lt;wsp:rsid wsp:val=&quot;007F2CCF&quot;/&gt;&lt;wsp:rsid wsp:val=&quot;007F2FF1&quot;/&gt;&lt;wsp:rsid wsp:val=&quot;007F3801&quot;/&gt;&lt;wsp:rsid wsp:val=&quot;007F3DAE&quot;/&gt;&lt;wsp:rsid wsp:val=&quot;007F423B&quot;/&gt;&lt;wsp:rsid wsp:val=&quot;007F424D&quot;/&gt;&lt;wsp:rsid wsp:val=&quot;007F4A0C&quot;/&gt;&lt;wsp:rsid wsp:val=&quot;007F560F&quot;/&gt;&lt;wsp:rsid wsp:val=&quot;007F6AF8&quot;/&gt;&lt;wsp:rsid wsp:val=&quot;007F77E6&quot;/&gt;&lt;wsp:rsid wsp:val=&quot;007F7A1F&quot;/&gt;&lt;wsp:rsid wsp:val=&quot;0080031C&quot;/&gt;&lt;wsp:rsid wsp:val=&quot;0080071D&quot;/&gt;&lt;wsp:rsid wsp:val=&quot;008007D6&quot;/&gt;&lt;wsp:rsid wsp:val=&quot;00801CFC&quot;/&gt;&lt;wsp:rsid wsp:val=&quot;00802BAB&quot;/&gt;&lt;wsp:rsid wsp:val=&quot;008037E7&quot;/&gt;&lt;wsp:rsid wsp:val=&quot;0080589B&quot;/&gt;&lt;wsp:rsid wsp:val=&quot;00806101&quot;/&gt;&lt;wsp:rsid wsp:val=&quot;00806555&quot;/&gt;&lt;wsp:rsid wsp:val=&quot;0080696B&quot;/&gt;&lt;wsp:rsid wsp:val=&quot;00806E34&quot;/&gt;&lt;wsp:rsid wsp:val=&quot;0081087D&quot;/&gt;&lt;wsp:rsid wsp:val=&quot;00811876&quot;/&gt;&lt;wsp:rsid wsp:val=&quot;00812428&quot;/&gt;&lt;wsp:rsid wsp:val=&quot;00814017&quot;/&gt;&lt;wsp:rsid wsp:val=&quot;0081450D&quot;/&gt;&lt;wsp:rsid wsp:val=&quot;00814C4A&quot;/&gt;&lt;wsp:rsid wsp:val=&quot;00815D37&quot;/&gt;&lt;wsp:rsid wsp:val=&quot;008179BB&quot;/&gt;&lt;wsp:rsid wsp:val=&quot;008206BA&quot;/&gt;&lt;wsp:rsid wsp:val=&quot;00821C5B&quot;/&gt;&lt;wsp:rsid wsp:val=&quot;00822B6E&quot;/&gt;&lt;wsp:rsid wsp:val=&quot;00822CAF&quot;/&gt;&lt;wsp:rsid wsp:val=&quot;00822F2D&quot;/&gt;&lt;wsp:rsid wsp:val=&quot;00823784&quot;/&gt;&lt;wsp:rsid wsp:val=&quot;0082499A&quot;/&gt;&lt;wsp:rsid wsp:val=&quot;008249D1&quot;/&gt;&lt;wsp:rsid wsp:val=&quot;00824D63&quot;/&gt;&lt;wsp:rsid wsp:val=&quot;00824F05&quot;/&gt;&lt;wsp:rsid wsp:val=&quot;00825385&quot;/&gt;&lt;wsp:rsid wsp:val=&quot;008255CB&quot;/&gt;&lt;wsp:rsid wsp:val=&quot;00825823&quot;/&gt;&lt;wsp:rsid wsp:val=&quot;008263B1&quot;/&gt;&lt;wsp:rsid wsp:val=&quot;00826629&quot;/&gt;&lt;wsp:rsid wsp:val=&quot;00827381&quot;/&gt;&lt;wsp:rsid wsp:val=&quot;00827DA8&quot;/&gt;&lt;wsp:rsid wsp:val=&quot;0083022F&quot;/&gt;&lt;wsp:rsid wsp:val=&quot;0083360C&quot;/&gt;&lt;wsp:rsid wsp:val=&quot;008364EE&quot;/&gt;&lt;wsp:rsid wsp:val=&quot;00836A87&quot;/&gt;&lt;wsp:rsid wsp:val=&quot;008378E4&quot;/&gt;&lt;wsp:rsid wsp:val=&quot;00840B37&quot;/&gt;&lt;wsp:rsid wsp:val=&quot;008418D7&quot;/&gt;&lt;wsp:rsid wsp:val=&quot;00841B58&quot;/&gt;&lt;wsp:rsid wsp:val=&quot;00842598&quot;/&gt;&lt;wsp:rsid wsp:val=&quot;008431DB&quot;/&gt;&lt;wsp:rsid wsp:val=&quot;008434E4&quot;/&gt;&lt;wsp:rsid wsp:val=&quot;0084442F&quot;/&gt;&lt;wsp:rsid wsp:val=&quot;00844666&quot;/&gt;&lt;wsp:rsid wsp:val=&quot;00845661&quot;/&gt;&lt;wsp:rsid wsp:val=&quot;008456B7&quot;/&gt;&lt;wsp:rsid wsp:val=&quot;00845727&quot;/&gt;&lt;wsp:rsid wsp:val=&quot;008460A5&quot;/&gt;&lt;wsp:rsid wsp:val=&quot;0084617E&quot;/&gt;&lt;wsp:rsid wsp:val=&quot;008463A4&quot;/&gt;&lt;wsp:rsid wsp:val=&quot;00846B14&quot;/&gt;&lt;wsp:rsid wsp:val=&quot;008471FE&quot;/&gt;&lt;wsp:rsid wsp:val=&quot;00847789&quot;/&gt;&lt;wsp:rsid wsp:val=&quot;00847E2B&quot;/&gt;&lt;wsp:rsid wsp:val=&quot;00847E4F&quot;/&gt;&lt;wsp:rsid wsp:val=&quot;00847F8D&quot;/&gt;&lt;wsp:rsid wsp:val=&quot;00852A2B&quot;/&gt;&lt;wsp:rsid wsp:val=&quot;00853306&quot;/&gt;&lt;wsp:rsid wsp:val=&quot;00853907&quot;/&gt;&lt;wsp:rsid wsp:val=&quot;00855338&quot;/&gt;&lt;wsp:rsid wsp:val=&quot;00855BDC&quot;/&gt;&lt;wsp:rsid wsp:val=&quot;00857747&quot;/&gt;&lt;wsp:rsid wsp:val=&quot;00857F57&quot;/&gt;&lt;wsp:rsid wsp:val=&quot;0086035C&quot;/&gt;&lt;wsp:rsid wsp:val=&quot;00860E4F&quot;/&gt;&lt;wsp:rsid wsp:val=&quot;00861DEF&quot;/&gt;&lt;wsp:rsid wsp:val=&quot;00863A32&quot;/&gt;&lt;wsp:rsid wsp:val=&quot;008662A5&quot;/&gt;&lt;wsp:rsid wsp:val=&quot;00866E37&quot;/&gt;&lt;wsp:rsid wsp:val=&quot;008671A0&quot;/&gt;&lt;wsp:rsid wsp:val=&quot;00870607&quot;/&gt;&lt;wsp:rsid wsp:val=&quot;008716CA&quot;/&gt;&lt;wsp:rsid wsp:val=&quot;008720F6&quot;/&gt;&lt;wsp:rsid wsp:val=&quot;00872916&quot;/&gt;&lt;wsp:rsid wsp:val=&quot;0087388D&quot;/&gt;&lt;wsp:rsid wsp:val=&quot;00873AEE&quot;/&gt;&lt;wsp:rsid wsp:val=&quot;00874615&quot;/&gt;&lt;wsp:rsid wsp:val=&quot;0087537C&quot;/&gt;&lt;wsp:rsid wsp:val=&quot;00875729&quot;/&gt;&lt;wsp:rsid wsp:val=&quot;00876234&quot;/&gt;&lt;wsp:rsid wsp:val=&quot;008765CC&quot;/&gt;&lt;wsp:rsid wsp:val=&quot;00876C5C&quot;/&gt;&lt;wsp:rsid wsp:val=&quot;008770CB&quot;/&gt;&lt;wsp:rsid wsp:val=&quot;0088035B&quot;/&gt;&lt;wsp:rsid wsp:val=&quot;00880808&quot;/&gt;&lt;wsp:rsid wsp:val=&quot;00880B28&quot;/&gt;&lt;wsp:rsid wsp:val=&quot;0088101E&quot;/&gt;&lt;wsp:rsid wsp:val=&quot;00881531&quot;/&gt;&lt;wsp:rsid wsp:val=&quot;008815D4&quot;/&gt;&lt;wsp:rsid wsp:val=&quot;008836B5&quot;/&gt;&lt;wsp:rsid wsp:val=&quot;008837A3&quot;/&gt;&lt;wsp:rsid wsp:val=&quot;0088543D&quot;/&gt;&lt;wsp:rsid wsp:val=&quot;00886196&quot;/&gt;&lt;wsp:rsid wsp:val=&quot;00886AD9&quot;/&gt;&lt;wsp:rsid wsp:val=&quot;00886E01&quot;/&gt;&lt;wsp:rsid wsp:val=&quot;00890656&quot;/&gt;&lt;wsp:rsid wsp:val=&quot;00890AB2&quot;/&gt;&lt;wsp:rsid wsp:val=&quot;00890AF5&quot;/&gt;&lt;wsp:rsid wsp:val=&quot;008917A4&quot;/&gt;&lt;wsp:rsid wsp:val=&quot;008918DF&quot;/&gt;&lt;wsp:rsid wsp:val=&quot;0089192C&quot;/&gt;&lt;wsp:rsid wsp:val=&quot;00894A10&quot;/&gt;&lt;wsp:rsid wsp:val=&quot;00894E76&quot;/&gt;&lt;wsp:rsid wsp:val=&quot;00894F57&quot;/&gt;&lt;wsp:rsid wsp:val=&quot;00895E24&quot;/&gt;&lt;wsp:rsid wsp:val=&quot;008A0506&quot;/&gt;&lt;wsp:rsid wsp:val=&quot;008A0536&quot;/&gt;&lt;wsp:rsid wsp:val=&quot;008A089E&quot;/&gt;&lt;wsp:rsid wsp:val=&quot;008A09FC&quot;/&gt;&lt;wsp:rsid wsp:val=&quot;008A1316&quot;/&gt;&lt;wsp:rsid wsp:val=&quot;008A3355&quot;/&gt;&lt;wsp:rsid wsp:val=&quot;008A56EE&quot;/&gt;&lt;wsp:rsid wsp:val=&quot;008A5A14&quot;/&gt;&lt;wsp:rsid wsp:val=&quot;008A5A95&quot;/&gt;&lt;wsp:rsid wsp:val=&quot;008A604B&quot;/&gt;&lt;wsp:rsid wsp:val=&quot;008A60AC&quot;/&gt;&lt;wsp:rsid wsp:val=&quot;008A651D&quot;/&gt;&lt;wsp:rsid wsp:val=&quot;008A7213&quot;/&gt;&lt;wsp:rsid wsp:val=&quot;008A78B1&quot;/&gt;&lt;wsp:rsid wsp:val=&quot;008B0335&quot;/&gt;&lt;wsp:rsid wsp:val=&quot;008B1076&quot;/&gt;&lt;wsp:rsid wsp:val=&quot;008B2672&quot;/&gt;&lt;wsp:rsid wsp:val=&quot;008B2D7C&quot;/&gt;&lt;wsp:rsid wsp:val=&quot;008B3B9E&quot;/&gt;&lt;wsp:rsid wsp:val=&quot;008B3D57&quot;/&gt;&lt;wsp:rsid wsp:val=&quot;008C02B0&quot;/&gt;&lt;wsp:rsid wsp:val=&quot;008C1568&quot;/&gt;&lt;wsp:rsid wsp:val=&quot;008C15B8&quot;/&gt;&lt;wsp:rsid wsp:val=&quot;008C1D5C&quot;/&gt;&lt;wsp:rsid wsp:val=&quot;008C22E2&quot;/&gt;&lt;wsp:rsid wsp:val=&quot;008C2735&quot;/&gt;&lt;wsp:rsid wsp:val=&quot;008C364E&quot;/&gt;&lt;wsp:rsid wsp:val=&quot;008C42BF&quot;/&gt;&lt;wsp:rsid wsp:val=&quot;008C4765&quot;/&gt;&lt;wsp:rsid wsp:val=&quot;008D0FA3&quot;/&gt;&lt;wsp:rsid wsp:val=&quot;008D16C6&quot;/&gt;&lt;wsp:rsid wsp:val=&quot;008D1D00&quot;/&gt;&lt;wsp:rsid wsp:val=&quot;008D3EE5&quot;/&gt;&lt;wsp:rsid wsp:val=&quot;008D5214&quot;/&gt;&lt;wsp:rsid wsp:val=&quot;008D5508&quot;/&gt;&lt;wsp:rsid wsp:val=&quot;008D7D99&quot;/&gt;&lt;wsp:rsid wsp:val=&quot;008E03B8&quot;/&gt;&lt;wsp:rsid wsp:val=&quot;008E0576&quot;/&gt;&lt;wsp:rsid wsp:val=&quot;008E19B1&quot;/&gt;&lt;wsp:rsid wsp:val=&quot;008E28D6&quot;/&gt;&lt;wsp:rsid wsp:val=&quot;008E2F62&quot;/&gt;&lt;wsp:rsid wsp:val=&quot;008E35A1&quot;/&gt;&lt;wsp:rsid wsp:val=&quot;008E40C0&quot;/&gt;&lt;wsp:rsid wsp:val=&quot;008E43F8&quot;/&gt;&lt;wsp:rsid wsp:val=&quot;008E441E&quot;/&gt;&lt;wsp:rsid wsp:val=&quot;008E4E4A&quot;/&gt;&lt;wsp:rsid wsp:val=&quot;008E5A13&quot;/&gt;&lt;wsp:rsid wsp:val=&quot;008E5F16&quot;/&gt;&lt;wsp:rsid wsp:val=&quot;008E68C3&quot;/&gt;&lt;wsp:rsid wsp:val=&quot;008E6F6C&quot;/&gt;&lt;wsp:rsid wsp:val=&quot;008E76EF&quot;/&gt;&lt;wsp:rsid wsp:val=&quot;008F08BB&quot;/&gt;&lt;wsp:rsid wsp:val=&quot;008F1123&quot;/&gt;&lt;wsp:rsid wsp:val=&quot;008F11DC&quot;/&gt;&lt;wsp:rsid wsp:val=&quot;008F1524&quot;/&gt;&lt;wsp:rsid wsp:val=&quot;008F32EB&quot;/&gt;&lt;wsp:rsid wsp:val=&quot;008F3DA1&quot;/&gt;&lt;wsp:rsid wsp:val=&quot;008F493A&quot;/&gt;&lt;wsp:rsid wsp:val=&quot;008F4FDD&quot;/&gt;&lt;wsp:rsid wsp:val=&quot;008F75A0&quot;/&gt;&lt;wsp:rsid wsp:val=&quot;0090018A&quot;/&gt;&lt;wsp:rsid wsp:val=&quot;00900A2F&quot;/&gt;&lt;wsp:rsid wsp:val=&quot;00900F6E&quot;/&gt;&lt;wsp:rsid wsp:val=&quot;0090221C&quot;/&gt;&lt;wsp:rsid wsp:val=&quot;00902966&quot;/&gt;&lt;wsp:rsid wsp:val=&quot;00903472&quot;/&gt;&lt;wsp:rsid wsp:val=&quot;0090417F&quot;/&gt;&lt;wsp:rsid wsp:val=&quot;009050E6&quot;/&gt;&lt;wsp:rsid wsp:val=&quot;009051E1&quot;/&gt;&lt;wsp:rsid wsp:val=&quot;00905248&quot;/&gt;&lt;wsp:rsid wsp:val=&quot;009054F3&quot;/&gt;&lt;wsp:rsid wsp:val=&quot;00905D28&quot;/&gt;&lt;wsp:rsid wsp:val=&quot;00905D7F&quot;/&gt;&lt;wsp:rsid wsp:val=&quot;00906D49&quot;/&gt;&lt;wsp:rsid wsp:val=&quot;00907695&quot;/&gt;&lt;wsp:rsid wsp:val=&quot;00910E57&quot;/&gt;&lt;wsp:rsid wsp:val=&quot;00911146&quot;/&gt;&lt;wsp:rsid wsp:val=&quot;009115F0&quot;/&gt;&lt;wsp:rsid wsp:val=&quot;00911B74&quot;/&gt;&lt;wsp:rsid wsp:val=&quot;00911C47&quot;/&gt;&lt;wsp:rsid wsp:val=&quot;00912320&quot;/&gt;&lt;wsp:rsid wsp:val=&quot;00912DD2&quot;/&gt;&lt;wsp:rsid wsp:val=&quot;00913787&quot;/&gt;&lt;wsp:rsid wsp:val=&quot;00913EB4&quot;/&gt;&lt;wsp:rsid wsp:val=&quot;009147EE&quot;/&gt;&lt;wsp:rsid wsp:val=&quot;00914B25&quot;/&gt;&lt;wsp:rsid wsp:val=&quot;009150C8&quot;/&gt;&lt;wsp:rsid wsp:val=&quot;00916C69&quot;/&gt;&lt;wsp:rsid wsp:val=&quot;00916F52&quot;/&gt;&lt;wsp:rsid wsp:val=&quot;00920A50&quot;/&gt;&lt;wsp:rsid wsp:val=&quot;00921C5A&quot;/&gt;&lt;wsp:rsid wsp:val=&quot;00923059&quot;/&gt;&lt;wsp:rsid wsp:val=&quot;00924891&quot;/&gt;&lt;wsp:rsid wsp:val=&quot;0092502F&quot;/&gt;&lt;wsp:rsid wsp:val=&quot;00925B77&quot;/&gt;&lt;wsp:rsid wsp:val=&quot;009267F5&quot;/&gt;&lt;wsp:rsid wsp:val=&quot;009276CF&quot;/&gt;&lt;wsp:rsid wsp:val=&quot;009326F3&quot;/&gt;&lt;wsp:rsid wsp:val=&quot;00933FDC&quot;/&gt;&lt;wsp:rsid wsp:val=&quot;00934B48&quot;/&gt;&lt;wsp:rsid wsp:val=&quot;00934F98&quot;/&gt;&lt;wsp:rsid wsp:val=&quot;0093524B&quot;/&gt;&lt;wsp:rsid wsp:val=&quot;009359D6&quot;/&gt;&lt;wsp:rsid wsp:val=&quot;00936583&quot;/&gt;&lt;wsp:rsid wsp:val=&quot;00936A9B&quot;/&gt;&lt;wsp:rsid wsp:val=&quot;00936FC8&quot;/&gt;&lt;wsp:rsid wsp:val=&quot;00937805&quot;/&gt;&lt;wsp:rsid wsp:val=&quot;00940F05&quot;/&gt;&lt;wsp:rsid wsp:val=&quot;00940FD5&quot;/&gt;&lt;wsp:rsid wsp:val=&quot;0094128A&quot;/&gt;&lt;wsp:rsid wsp:val=&quot;009413C8&quot;/&gt;&lt;wsp:rsid wsp:val=&quot;009417C9&quot;/&gt;&lt;wsp:rsid wsp:val=&quot;0094226A&quot;/&gt;&lt;wsp:rsid wsp:val=&quot;0094364D&quot;/&gt;&lt;wsp:rsid wsp:val=&quot;009438EA&quot;/&gt;&lt;wsp:rsid wsp:val=&quot;0094392E&quot;/&gt;&lt;wsp:rsid wsp:val=&quot;00943F57&quot;/&gt;&lt;wsp:rsid wsp:val=&quot;009448A7&quot;/&gt;&lt;wsp:rsid wsp:val=&quot;00944C4A&quot;/&gt;&lt;wsp:rsid wsp:val=&quot;00946A14&quot;/&gt;&lt;wsp:rsid wsp:val=&quot;00946A98&quot;/&gt;&lt;wsp:rsid wsp:val=&quot;00947762&quot;/&gt;&lt;wsp:rsid wsp:val=&quot;00950587&quot;/&gt;&lt;wsp:rsid wsp:val=&quot;00950665&quot;/&gt;&lt;wsp:rsid wsp:val=&quot;009525E7&quot;/&gt;&lt;wsp:rsid wsp:val=&quot;009527C7&quot;/&gt;&lt;wsp:rsid wsp:val=&quot;009537F3&quot;/&gt;&lt;wsp:rsid wsp:val=&quot;00953D8C&quot;/&gt;&lt;wsp:rsid wsp:val=&quot;009548C2&quot;/&gt;&lt;wsp:rsid wsp:val=&quot;00954F60&quot;/&gt;&lt;wsp:rsid wsp:val=&quot;0095511A&quot;/&gt;&lt;wsp:rsid wsp:val=&quot;00955C6F&quot;/&gt;&lt;wsp:rsid wsp:val=&quot;00955FE7&quot;/&gt;&lt;wsp:rsid wsp:val=&quot;009561E4&quot;/&gt;&lt;wsp:rsid wsp:val=&quot;00956EAB&quot;/&gt;&lt;wsp:rsid wsp:val=&quot;00960069&quot;/&gt;&lt;wsp:rsid wsp:val=&quot;009600AF&quot;/&gt;&lt;wsp:rsid wsp:val=&quot;00962E7E&quot;/&gt;&lt;wsp:rsid wsp:val=&quot;00962EEF&quot;/&gt;&lt;wsp:rsid wsp:val=&quot;00967495&quot;/&gt;&lt;wsp:rsid wsp:val=&quot;0096770D&quot;/&gt;&lt;wsp:rsid wsp:val=&quot;00967BE4&quot;/&gt;&lt;wsp:rsid wsp:val=&quot;009711AD&quot;/&gt;&lt;wsp:rsid wsp:val=&quot;009719B7&quot;/&gt;&lt;wsp:rsid wsp:val=&quot;00971F98&quot;/&gt;&lt;wsp:rsid wsp:val=&quot;0097213B&quot;/&gt;&lt;wsp:rsid wsp:val=&quot;00974AD9&quot;/&gt;&lt;wsp:rsid wsp:val=&quot;0097596D&quot;/&gt;&lt;wsp:rsid wsp:val=&quot;00975A68&quot;/&gt;&lt;wsp:rsid wsp:val=&quot;009770DE&quot;/&gt;&lt;wsp:rsid wsp:val=&quot;009771D7&quot;/&gt;&lt;wsp:rsid wsp:val=&quot;009778F4&quot;/&gt;&lt;wsp:rsid wsp:val=&quot;00977A7E&quot;/&gt;&lt;wsp:rsid wsp:val=&quot;00980847&quot;/&gt;&lt;wsp:rsid wsp:val=&quot;00980F4B&quot;/&gt;&lt;wsp:rsid wsp:val=&quot;009817E8&quot;/&gt;&lt;wsp:rsid wsp:val=&quot;00982041&quot;/&gt;&lt;wsp:rsid wsp:val=&quot;0098268F&quot;/&gt;&lt;wsp:rsid wsp:val=&quot;00983731&quot;/&gt;&lt;wsp:rsid wsp:val=&quot;00983B1D&quot;/&gt;&lt;wsp:rsid wsp:val=&quot;009842C4&quot;/&gt;&lt;wsp:rsid wsp:val=&quot;00984592&quot;/&gt;&lt;wsp:rsid wsp:val=&quot;009847EB&quot;/&gt;&lt;wsp:rsid wsp:val=&quot;00984919&quot;/&gt;&lt;wsp:rsid wsp:val=&quot;00985235&quot;/&gt;&lt;wsp:rsid wsp:val=&quot;00985359&quot;/&gt;&lt;wsp:rsid wsp:val=&quot;009855D7&quot;/&gt;&lt;wsp:rsid wsp:val=&quot;00985A12&quot;/&gt;&lt;wsp:rsid wsp:val=&quot;0098620B&quot;/&gt;&lt;wsp:rsid wsp:val=&quot;009865D3&quot;/&gt;&lt;wsp:rsid wsp:val=&quot;009914A1&quot;/&gt;&lt;wsp:rsid wsp:val=&quot;00992163&quot;/&gt;&lt;wsp:rsid wsp:val=&quot;00993938&quot;/&gt;&lt;wsp:rsid wsp:val=&quot;009956DA&quot;/&gt;&lt;wsp:rsid wsp:val=&quot;00997036&quot;/&gt;&lt;wsp:rsid wsp:val=&quot;009974BB&quot;/&gt;&lt;wsp:rsid wsp:val=&quot;00997854&quot;/&gt;&lt;wsp:rsid wsp:val=&quot;009A0F12&quot;/&gt;&lt;wsp:rsid wsp:val=&quot;009A1CC2&quot;/&gt;&lt;wsp:rsid wsp:val=&quot;009A2258&quot;/&gt;&lt;wsp:rsid wsp:val=&quot;009A3043&quot;/&gt;&lt;wsp:rsid wsp:val=&quot;009A42CC&quot;/&gt;&lt;wsp:rsid wsp:val=&quot;009A56C8&quot;/&gt;&lt;wsp:rsid wsp:val=&quot;009A5EAF&quot;/&gt;&lt;wsp:rsid wsp:val=&quot;009A5F7E&quot;/&gt;&lt;wsp:rsid wsp:val=&quot;009A6877&quot;/&gt;&lt;wsp:rsid wsp:val=&quot;009A7273&quot;/&gt;&lt;wsp:rsid wsp:val=&quot;009A73D1&quot;/&gt;&lt;wsp:rsid wsp:val=&quot;009A7611&quot;/&gt;&lt;wsp:rsid wsp:val=&quot;009A799E&quot;/&gt;&lt;wsp:rsid wsp:val=&quot;009B07B7&quot;/&gt;&lt;wsp:rsid wsp:val=&quot;009B0CFC&quot;/&gt;&lt;wsp:rsid wsp:val=&quot;009B0D43&quot;/&gt;&lt;wsp:rsid wsp:val=&quot;009B120B&quot;/&gt;&lt;wsp:rsid wsp:val=&quot;009B1762&quot;/&gt;&lt;wsp:rsid wsp:val=&quot;009B2A5F&quot;/&gt;&lt;wsp:rsid wsp:val=&quot;009B2FC7&quot;/&gt;&lt;wsp:rsid wsp:val=&quot;009B38A3&quot;/&gt;&lt;wsp:rsid wsp:val=&quot;009B3903&quot;/&gt;&lt;wsp:rsid wsp:val=&quot;009B3B20&quot;/&gt;&lt;wsp:rsid wsp:val=&quot;009B3D9C&quot;/&gt;&lt;wsp:rsid wsp:val=&quot;009B45DB&quot;/&gt;&lt;wsp:rsid wsp:val=&quot;009B6A9F&quot;/&gt;&lt;wsp:rsid wsp:val=&quot;009B6E95&quot;/&gt;&lt;wsp:rsid wsp:val=&quot;009B7104&quot;/&gt;&lt;wsp:rsid wsp:val=&quot;009C11C8&quot;/&gt;&lt;wsp:rsid wsp:val=&quot;009C18B6&quot;/&gt;&lt;wsp:rsid wsp:val=&quot;009C31EB&quot;/&gt;&lt;wsp:rsid wsp:val=&quot;009C324D&quot;/&gt;&lt;wsp:rsid wsp:val=&quot;009C327D&quot;/&gt;&lt;wsp:rsid wsp:val=&quot;009C3A67&quot;/&gt;&lt;wsp:rsid wsp:val=&quot;009C3E7B&quot;/&gt;&lt;wsp:rsid wsp:val=&quot;009C4386&quot;/&gt;&lt;wsp:rsid wsp:val=&quot;009C45A0&quot;/&gt;&lt;wsp:rsid wsp:val=&quot;009C5917&quot;/&gt;&lt;wsp:rsid wsp:val=&quot;009C64C0&quot;/&gt;&lt;wsp:rsid wsp:val=&quot;009C6E45&quot;/&gt;&lt;wsp:rsid wsp:val=&quot;009C71F3&quot;/&gt;&lt;wsp:rsid wsp:val=&quot;009C7B6A&quot;/&gt;&lt;wsp:rsid wsp:val=&quot;009C7F35&quot;/&gt;&lt;wsp:rsid wsp:val=&quot;009D0C8D&quot;/&gt;&lt;wsp:rsid wsp:val=&quot;009D12EC&quot;/&gt;&lt;wsp:rsid wsp:val=&quot;009D1D7C&quot;/&gt;&lt;wsp:rsid wsp:val=&quot;009D3C6D&quot;/&gt;&lt;wsp:rsid wsp:val=&quot;009D3D41&quot;/&gt;&lt;wsp:rsid wsp:val=&quot;009D3FD1&quot;/&gt;&lt;wsp:rsid wsp:val=&quot;009D40D5&quot;/&gt;&lt;wsp:rsid wsp:val=&quot;009D45A5&quot;/&gt;&lt;wsp:rsid wsp:val=&quot;009D4AD2&quot;/&gt;&lt;wsp:rsid wsp:val=&quot;009D4C5E&quot;/&gt;&lt;wsp:rsid wsp:val=&quot;009D51F9&quot;/&gt;&lt;wsp:rsid wsp:val=&quot;009D5F33&quot;/&gt;&lt;wsp:rsid wsp:val=&quot;009D644F&quot;/&gt;&lt;wsp:rsid wsp:val=&quot;009D77B1&quot;/&gt;&lt;wsp:rsid wsp:val=&quot;009D7BAE&quot;/&gt;&lt;wsp:rsid wsp:val=&quot;009D7E19&quot;/&gt;&lt;wsp:rsid wsp:val=&quot;009D7E1C&quot;/&gt;&lt;wsp:rsid wsp:val=&quot;009E00C2&quot;/&gt;&lt;wsp:rsid wsp:val=&quot;009E06BD&quot;/&gt;&lt;wsp:rsid wsp:val=&quot;009E1935&quot;/&gt;&lt;wsp:rsid wsp:val=&quot;009E1B49&quot;/&gt;&lt;wsp:rsid wsp:val=&quot;009E2841&quot;/&gt;&lt;wsp:rsid wsp:val=&quot;009E2CDB&quot;/&gt;&lt;wsp:rsid wsp:val=&quot;009E35D7&quot;/&gt;&lt;wsp:rsid wsp:val=&quot;009E3831&quot;/&gt;&lt;wsp:rsid wsp:val=&quot;009E41C2&quot;/&gt;&lt;wsp:rsid wsp:val=&quot;009E4FB9&quot;/&gt;&lt;wsp:rsid wsp:val=&quot;009E5559&quot;/&gt;&lt;wsp:rsid wsp:val=&quot;009E581D&quot;/&gt;&lt;wsp:rsid wsp:val=&quot;009E5F5E&quot;/&gt;&lt;wsp:rsid wsp:val=&quot;009E60DE&quot;/&gt;&lt;wsp:rsid wsp:val=&quot;009E66BC&quot;/&gt;&lt;wsp:rsid wsp:val=&quot;009E7B7A&quot;/&gt;&lt;wsp:rsid wsp:val=&quot;009F0221&quot;/&gt;&lt;wsp:rsid wsp:val=&quot;009F0DA9&quot;/&gt;&lt;wsp:rsid wsp:val=&quot;009F10FC&quot;/&gt;&lt;wsp:rsid wsp:val=&quot;009F2199&quot;/&gt;&lt;wsp:rsid wsp:val=&quot;009F3111&quot;/&gt;&lt;wsp:rsid wsp:val=&quot;009F3DCD&quot;/&gt;&lt;wsp:rsid wsp:val=&quot;009F4D60&quot;/&gt;&lt;wsp:rsid wsp:val=&quot;009F4EB2&quot;/&gt;&lt;wsp:rsid wsp:val=&quot;009F6091&quot;/&gt;&lt;wsp:rsid wsp:val=&quot;009F6B31&quot;/&gt;&lt;wsp:rsid wsp:val=&quot;009F7A1C&quot;/&gt;&lt;wsp:rsid wsp:val=&quot;00A0014F&quot;/&gt;&lt;wsp:rsid wsp:val=&quot;00A00657&quot;/&gt;&lt;wsp:rsid wsp:val=&quot;00A00AB2&quot;/&gt;&lt;wsp:rsid wsp:val=&quot;00A022CE&quot;/&gt;&lt;wsp:rsid wsp:val=&quot;00A02387&quot;/&gt;&lt;wsp:rsid wsp:val=&quot;00A031B6&quot;/&gt;&lt;wsp:rsid wsp:val=&quot;00A03AB5&quot;/&gt;&lt;wsp:rsid wsp:val=&quot;00A03DC7&quot;/&gt;&lt;wsp:rsid wsp:val=&quot;00A04565&quot;/&gt;&lt;wsp:rsid wsp:val=&quot;00A04F7C&quot;/&gt;&lt;wsp:rsid wsp:val=&quot;00A05819&quot;/&gt;&lt;wsp:rsid wsp:val=&quot;00A05D08&quot;/&gt;&lt;wsp:rsid wsp:val=&quot;00A061B9&quot;/&gt;&lt;wsp:rsid wsp:val=&quot;00A06C6D&quot;/&gt;&lt;wsp:rsid wsp:val=&quot;00A07FD5&quot;/&gt;&lt;wsp:rsid wsp:val=&quot;00A11134&quot;/&gt;&lt;wsp:rsid wsp:val=&quot;00A12E4A&quot;/&gt;&lt;wsp:rsid wsp:val=&quot;00A1336D&quot;/&gt;&lt;wsp:rsid wsp:val=&quot;00A143F5&quot;/&gt;&lt;wsp:rsid wsp:val=&quot;00A14868&quot;/&gt;&lt;wsp:rsid wsp:val=&quot;00A1498D&quot;/&gt;&lt;wsp:rsid wsp:val=&quot;00A15446&quot;/&gt;&lt;wsp:rsid wsp:val=&quot;00A15C21&quot;/&gt;&lt;wsp:rsid wsp:val=&quot;00A15D55&quot;/&gt;&lt;wsp:rsid wsp:val=&quot;00A20BA2&quot;/&gt;&lt;wsp:rsid wsp:val=&quot;00A21CF9&quot;/&gt;&lt;wsp:rsid wsp:val=&quot;00A22354&quot;/&gt;&lt;wsp:rsid wsp:val=&quot;00A228D6&quot;/&gt;&lt;wsp:rsid wsp:val=&quot;00A2534F&quot;/&gt;&lt;wsp:rsid wsp:val=&quot;00A2579B&quot;/&gt;&lt;wsp:rsid wsp:val=&quot;00A266DE&quot;/&gt;&lt;wsp:rsid wsp:val=&quot;00A26DC5&quot;/&gt;&lt;wsp:rsid wsp:val=&quot;00A270A8&quot;/&gt;&lt;wsp:rsid wsp:val=&quot;00A2739B&quot;/&gt;&lt;wsp:rsid wsp:val=&quot;00A273BE&quot;/&gt;&lt;wsp:rsid wsp:val=&quot;00A27BDB&quot;/&gt;&lt;wsp:rsid wsp:val=&quot;00A31EC4&quot;/&gt;&lt;wsp:rsid wsp:val=&quot;00A32024&quot;/&gt;&lt;wsp:rsid wsp:val=&quot;00A321AD&quot;/&gt;&lt;wsp:rsid wsp:val=&quot;00A33186&quot;/&gt;&lt;wsp:rsid wsp:val=&quot;00A33474&quot;/&gt;&lt;wsp:rsid wsp:val=&quot;00A33759&quot;/&gt;&lt;wsp:rsid wsp:val=&quot;00A347C6&quot;/&gt;&lt;wsp:rsid wsp:val=&quot;00A368E7&quot;/&gt;&lt;wsp:rsid wsp:val=&quot;00A370FD&quot;/&gt;&lt;wsp:rsid wsp:val=&quot;00A373E4&quot;/&gt;&lt;wsp:rsid wsp:val=&quot;00A418C7&quot;/&gt;&lt;wsp:rsid wsp:val=&quot;00A44015&quot;/&gt;&lt;wsp:rsid wsp:val=&quot;00A44B34&quot;/&gt;&lt;wsp:rsid wsp:val=&quot;00A44E9A&quot;/&gt;&lt;wsp:rsid wsp:val=&quot;00A459B7&quot;/&gt;&lt;wsp:rsid wsp:val=&quot;00A45CB4&quot;/&gt;&lt;wsp:rsid wsp:val=&quot;00A4646B&quot;/&gt;&lt;wsp:rsid wsp:val=&quot;00A47127&quot;/&gt;&lt;wsp:rsid wsp:val=&quot;00A473D7&quot;/&gt;&lt;wsp:rsid wsp:val=&quot;00A47DAC&quot;/&gt;&lt;wsp:rsid wsp:val=&quot;00A502EC&quot;/&gt;&lt;wsp:rsid wsp:val=&quot;00A50A7D&quot;/&gt;&lt;wsp:rsid wsp:val=&quot;00A52248&quot;/&gt;&lt;wsp:rsid wsp:val=&quot;00A52404&quot;/&gt;&lt;wsp:rsid wsp:val=&quot;00A53472&quot;/&gt;&lt;wsp:rsid wsp:val=&quot;00A54A33&quot;/&gt;&lt;wsp:rsid wsp:val=&quot;00A56C32&quot;/&gt;&lt;wsp:rsid wsp:val=&quot;00A5788F&quot;/&gt;&lt;wsp:rsid wsp:val=&quot;00A60B2C&quot;/&gt;&lt;wsp:rsid wsp:val=&quot;00A63255&quot;/&gt;&lt;wsp:rsid wsp:val=&quot;00A636F5&quot;/&gt;&lt;wsp:rsid wsp:val=&quot;00A63DFE&quot;/&gt;&lt;wsp:rsid wsp:val=&quot;00A6443E&quot;/&gt;&lt;wsp:rsid wsp:val=&quot;00A646F6&quot;/&gt;&lt;wsp:rsid wsp:val=&quot;00A651FF&quot;/&gt;&lt;wsp:rsid wsp:val=&quot;00A654FC&quot;/&gt;&lt;wsp:rsid wsp:val=&quot;00A65E5A&quot;/&gt;&lt;wsp:rsid wsp:val=&quot;00A703A3&quot;/&gt;&lt;wsp:rsid wsp:val=&quot;00A71182&quot;/&gt;&lt;wsp:rsid wsp:val=&quot;00A7125B&quot;/&gt;&lt;wsp:rsid wsp:val=&quot;00A7143A&quot;/&gt;&lt;wsp:rsid wsp:val=&quot;00A715BD&quot;/&gt;&lt;wsp:rsid wsp:val=&quot;00A71C9C&quot;/&gt;&lt;wsp:rsid wsp:val=&quot;00A71E5F&quot;/&gt;&lt;wsp:rsid wsp:val=&quot;00A72743&quot;/&gt;&lt;wsp:rsid wsp:val=&quot;00A74562&quot;/&gt;&lt;wsp:rsid wsp:val=&quot;00A75337&quot;/&gt;&lt;wsp:rsid wsp:val=&quot;00A75874&quot;/&gt;&lt;wsp:rsid wsp:val=&quot;00A75D2C&quot;/&gt;&lt;wsp:rsid wsp:val=&quot;00A7685E&quot;/&gt;&lt;wsp:rsid wsp:val=&quot;00A803CD&quot;/&gt;&lt;wsp:rsid wsp:val=&quot;00A8107A&quot;/&gt;&lt;wsp:rsid wsp:val=&quot;00A8141F&quot;/&gt;&lt;wsp:rsid wsp:val=&quot;00A822BE&quot;/&gt;&lt;wsp:rsid wsp:val=&quot;00A82617&quot;/&gt;&lt;wsp:rsid wsp:val=&quot;00A8272A&quot;/&gt;&lt;wsp:rsid wsp:val=&quot;00A82777&quot;/&gt;&lt;wsp:rsid wsp:val=&quot;00A846B1&quot;/&gt;&lt;wsp:rsid wsp:val=&quot;00A85470&quot;/&gt;&lt;wsp:rsid wsp:val=&quot;00A859A3&quot;/&gt;&lt;wsp:rsid wsp:val=&quot;00A874DE&quot;/&gt;&lt;wsp:rsid wsp:val=&quot;00A87DD1&quot;/&gt;&lt;wsp:rsid wsp:val=&quot;00A908F1&quot;/&gt;&lt;wsp:rsid wsp:val=&quot;00A90F9D&quot;/&gt;&lt;wsp:rsid wsp:val=&quot;00A91519&quot;/&gt;&lt;wsp:rsid wsp:val=&quot;00A919E0&quot;/&gt;&lt;wsp:rsid wsp:val=&quot;00A922C0&quot;/&gt;&lt;wsp:rsid wsp:val=&quot;00A92456&quot;/&gt;&lt;wsp:rsid wsp:val=&quot;00A9261C&quot;/&gt;&lt;wsp:rsid wsp:val=&quot;00A930CD&quot;/&gt;&lt;wsp:rsid wsp:val=&quot;00A93C01&quot;/&gt;&lt;wsp:rsid wsp:val=&quot;00A93E34&quot;/&gt;&lt;wsp:rsid wsp:val=&quot;00A94360&quot;/&gt;&lt;wsp:rsid wsp:val=&quot;00A950A6&quot;/&gt;&lt;wsp:rsid wsp:val=&quot;00A95A11&quot;/&gt;&lt;wsp:rsid wsp:val=&quot;00A96740&quot;/&gt;&lt;wsp:rsid wsp:val=&quot;00AA0618&quot;/&gt;&lt;wsp:rsid wsp:val=&quot;00AA12B7&quot;/&gt;&lt;wsp:rsid wsp:val=&quot;00AA15D5&quot;/&gt;&lt;wsp:rsid wsp:val=&quot;00AA266A&quot;/&gt;&lt;wsp:rsid wsp:val=&quot;00AA30F7&quot;/&gt;&lt;wsp:rsid wsp:val=&quot;00AA3E94&quot;/&gt;&lt;wsp:rsid wsp:val=&quot;00AA4B55&quot;/&gt;&lt;wsp:rsid wsp:val=&quot;00AA4E7A&quot;/&gt;&lt;wsp:rsid wsp:val=&quot;00AA5457&quot;/&gt;&lt;wsp:rsid wsp:val=&quot;00AA651F&quot;/&gt;&lt;wsp:rsid wsp:val=&quot;00AA7C63&quot;/&gt;&lt;wsp:rsid wsp:val=&quot;00AA7F57&quot;/&gt;&lt;wsp:rsid wsp:val=&quot;00AB0674&quot;/&gt;&lt;wsp:rsid wsp:val=&quot;00AB0A75&quot;/&gt;&lt;wsp:rsid wsp:val=&quot;00AB20C7&quot;/&gt;&lt;wsp:rsid wsp:val=&quot;00AB282E&quot;/&gt;&lt;wsp:rsid wsp:val=&quot;00AB2D9B&quot;/&gt;&lt;wsp:rsid wsp:val=&quot;00AB33C6&quot;/&gt;&lt;wsp:rsid wsp:val=&quot;00AB350D&quot;/&gt;&lt;wsp:rsid wsp:val=&quot;00AB3E8C&quot;/&gt;&lt;wsp:rsid wsp:val=&quot;00AB4226&quot;/&gt;&lt;wsp:rsid wsp:val=&quot;00AB4EFC&quot;/&gt;&lt;wsp:rsid wsp:val=&quot;00AB5937&quot;/&gt;&lt;wsp:rsid wsp:val=&quot;00AB663D&quot;/&gt;&lt;wsp:rsid wsp:val=&quot;00AB6F68&quot;/&gt;&lt;wsp:rsid wsp:val=&quot;00AB6F75&quot;/&gt;&lt;wsp:rsid wsp:val=&quot;00AB7227&quot;/&gt;&lt;wsp:rsid wsp:val=&quot;00AB7EDC&quot;/&gt;&lt;wsp:rsid wsp:val=&quot;00AC042A&quot;/&gt;&lt;wsp:rsid wsp:val=&quot;00AC144D&quot;/&gt;&lt;wsp:rsid wsp:val=&quot;00AC1E3A&quot;/&gt;&lt;wsp:rsid wsp:val=&quot;00AC310F&quot;/&gt;&lt;wsp:rsid wsp:val=&quot;00AC4193&quot;/&gt;&lt;wsp:rsid wsp:val=&quot;00AC48AF&quot;/&gt;&lt;wsp:rsid wsp:val=&quot;00AC49D0&quot;/&gt;&lt;wsp:rsid wsp:val=&quot;00AC5712&quot;/&gt;&lt;wsp:rsid wsp:val=&quot;00AC66EA&quot;/&gt;&lt;wsp:rsid wsp:val=&quot;00AC6806&quot;/&gt;&lt;wsp:rsid wsp:val=&quot;00AC7A82&quot;/&gt;&lt;wsp:rsid wsp:val=&quot;00AD05B5&quot;/&gt;&lt;wsp:rsid wsp:val=&quot;00AD0C2A&quot;/&gt;&lt;wsp:rsid wsp:val=&quot;00AD0F8F&quot;/&gt;&lt;wsp:rsid wsp:val=&quot;00AD18F4&quot;/&gt;&lt;wsp:rsid wsp:val=&quot;00AD3B29&quot;/&gt;&lt;wsp:rsid wsp:val=&quot;00AD3CB7&quot;/&gt;&lt;wsp:rsid wsp:val=&quot;00AD3F8F&quot;/&gt;&lt;wsp:rsid wsp:val=&quot;00AD4629&quot;/&gt;&lt;wsp:rsid wsp:val=&quot;00AD515F&quot;/&gt;&lt;wsp:rsid wsp:val=&quot;00AD5779&quot;/&gt;&lt;wsp:rsid wsp:val=&quot;00AE0C91&quot;/&gt;&lt;wsp:rsid wsp:val=&quot;00AE0E78&quot;/&gt;&lt;wsp:rsid wsp:val=&quot;00AE1BCE&quot;/&gt;&lt;wsp:rsid wsp:val=&quot;00AE2CF6&quot;/&gt;&lt;wsp:rsid wsp:val=&quot;00AE31CE&quot;/&gt;&lt;wsp:rsid wsp:val=&quot;00AE3CE8&quot;/&gt;&lt;wsp:rsid wsp:val=&quot;00AE557C&quot;/&gt;&lt;wsp:rsid wsp:val=&quot;00AE5725&quot;/&gt;&lt;wsp:rsid wsp:val=&quot;00AE695F&quot;/&gt;&lt;wsp:rsid wsp:val=&quot;00AE6B31&quot;/&gt;&lt;wsp:rsid wsp:val=&quot;00AE6BF4&quot;/&gt;&lt;wsp:rsid wsp:val=&quot;00AE79FB&quot;/&gt;&lt;wsp:rsid wsp:val=&quot;00AF05F2&quot;/&gt;&lt;wsp:rsid wsp:val=&quot;00AF0DEF&quot;/&gt;&lt;wsp:rsid wsp:val=&quot;00AF0E0A&quot;/&gt;&lt;wsp:rsid wsp:val=&quot;00AF196D&quot;/&gt;&lt;wsp:rsid wsp:val=&quot;00AF1F90&quot;/&gt;&lt;wsp:rsid wsp:val=&quot;00AF305B&quot;/&gt;&lt;wsp:rsid wsp:val=&quot;00AF31C5&quot;/&gt;&lt;wsp:rsid wsp:val=&quot;00AF377D&quot;/&gt;&lt;wsp:rsid wsp:val=&quot;00AF6113&quot;/&gt;&lt;wsp:rsid wsp:val=&quot;00AF7BB0&quot;/&gt;&lt;wsp:rsid wsp:val=&quot;00B0027D&quot;/&gt;&lt;wsp:rsid wsp:val=&quot;00B00FE3&quot;/&gt;&lt;wsp:rsid wsp:val=&quot;00B03352&quot;/&gt;&lt;wsp:rsid wsp:val=&quot;00B03D4E&quot;/&gt;&lt;wsp:rsid wsp:val=&quot;00B04E8F&quot;/&gt;&lt;wsp:rsid wsp:val=&quot;00B055E4&quot;/&gt;&lt;wsp:rsid wsp:val=&quot;00B05DA0&quot;/&gt;&lt;wsp:rsid wsp:val=&quot;00B061DE&quot;/&gt;&lt;wsp:rsid wsp:val=&quot;00B06D01&quot;/&gt;&lt;wsp:rsid wsp:val=&quot;00B06F69&quot;/&gt;&lt;wsp:rsid wsp:val=&quot;00B0754C&quot;/&gt;&lt;wsp:rsid wsp:val=&quot;00B102F5&quot;/&gt;&lt;wsp:rsid wsp:val=&quot;00B10389&quot;/&gt;&lt;wsp:rsid wsp:val=&quot;00B1039E&quot;/&gt;&lt;wsp:rsid wsp:val=&quot;00B11210&quot;/&gt;&lt;wsp:rsid wsp:val=&quot;00B11686&quot;/&gt;&lt;wsp:rsid wsp:val=&quot;00B11B57&quot;/&gt;&lt;wsp:rsid wsp:val=&quot;00B1267C&quot;/&gt;&lt;wsp:rsid wsp:val=&quot;00B13C35&quot;/&gt;&lt;wsp:rsid wsp:val=&quot;00B1568E&quot;/&gt;&lt;wsp:rsid wsp:val=&quot;00B174E6&quot;/&gt;&lt;wsp:rsid wsp:val=&quot;00B17A5B&quot;/&gt;&lt;wsp:rsid wsp:val=&quot;00B20103&quot;/&gt;&lt;wsp:rsid wsp:val=&quot;00B21ED4&quot;/&gt;&lt;wsp:rsid wsp:val=&quot;00B226F9&quot;/&gt;&lt;wsp:rsid wsp:val=&quot;00B22B1D&quot;/&gt;&lt;wsp:rsid wsp:val=&quot;00B22BFF&quot;/&gt;&lt;wsp:rsid wsp:val=&quot;00B22E8A&quot;/&gt;&lt;wsp:rsid wsp:val=&quot;00B231F5&quot;/&gt;&lt;wsp:rsid wsp:val=&quot;00B243AB&quot;/&gt;&lt;wsp:rsid wsp:val=&quot;00B31101&quot;/&gt;&lt;wsp:rsid wsp:val=&quot;00B31E2B&quot;/&gt;&lt;wsp:rsid wsp:val=&quot;00B32033&quot;/&gt;&lt;wsp:rsid wsp:val=&quot;00B32068&quot;/&gt;&lt;wsp:rsid wsp:val=&quot;00B3295A&quot;/&gt;&lt;wsp:rsid wsp:val=&quot;00B339FE&quot;/&gt;&lt;wsp:rsid wsp:val=&quot;00B34028&quot;/&gt;&lt;wsp:rsid wsp:val=&quot;00B35A07&quot;/&gt;&lt;wsp:rsid wsp:val=&quot;00B35E46&quot;/&gt;&lt;wsp:rsid wsp:val=&quot;00B36BAE&quot;/&gt;&lt;wsp:rsid wsp:val=&quot;00B36E86&quot;/&gt;&lt;wsp:rsid wsp:val=&quot;00B3787B&quot;/&gt;&lt;wsp:rsid wsp:val=&quot;00B37D89&quot;/&gt;&lt;wsp:rsid wsp:val=&quot;00B402FF&quot;/&gt;&lt;wsp:rsid wsp:val=&quot;00B40B3C&quot;/&gt;&lt;wsp:rsid wsp:val=&quot;00B413AC&quot;/&gt;&lt;wsp:rsid wsp:val=&quot;00B41441&quot;/&gt;&lt;wsp:rsid wsp:val=&quot;00B4256F&quot;/&gt;&lt;wsp:rsid wsp:val=&quot;00B45989&quot;/&gt;&lt;wsp:rsid wsp:val=&quot;00B46A3F&quot;/&gt;&lt;wsp:rsid wsp:val=&quot;00B46AC7&quot;/&gt;&lt;wsp:rsid wsp:val=&quot;00B474AB&quot;/&gt;&lt;wsp:rsid wsp:val=&quot;00B47839&quot;/&gt;&lt;wsp:rsid wsp:val=&quot;00B50C2C&quot;/&gt;&lt;wsp:rsid wsp:val=&quot;00B50D86&quot;/&gt;&lt;wsp:rsid wsp:val=&quot;00B51AA9&quot;/&gt;&lt;wsp:rsid wsp:val=&quot;00B51BCC&quot;/&gt;&lt;wsp:rsid wsp:val=&quot;00B523C5&quot;/&gt;&lt;wsp:rsid wsp:val=&quot;00B52655&quot;/&gt;&lt;wsp:rsid wsp:val=&quot;00B532CF&quot;/&gt;&lt;wsp:rsid wsp:val=&quot;00B53FDC&quot;/&gt;&lt;wsp:rsid wsp:val=&quot;00B54BD9&quot;/&gt;&lt;wsp:rsid wsp:val=&quot;00B55051&quot;/&gt;&lt;wsp:rsid wsp:val=&quot;00B55927&quot;/&gt;&lt;wsp:rsid wsp:val=&quot;00B57804&quot;/&gt;&lt;wsp:rsid wsp:val=&quot;00B5780B&quot;/&gt;&lt;wsp:rsid wsp:val=&quot;00B5782F&quot;/&gt;&lt;wsp:rsid wsp:val=&quot;00B60229&quot;/&gt;&lt;wsp:rsid wsp:val=&quot;00B603A1&quot;/&gt;&lt;wsp:rsid wsp:val=&quot;00B6068A&quot;/&gt;&lt;wsp:rsid wsp:val=&quot;00B60D2C&quot;/&gt;&lt;wsp:rsid wsp:val=&quot;00B62565&quot;/&gt;&lt;wsp:rsid wsp:val=&quot;00B63122&quot;/&gt;&lt;wsp:rsid wsp:val=&quot;00B63406&quot;/&gt;&lt;wsp:rsid wsp:val=&quot;00B63614&quot;/&gt;&lt;wsp:rsid wsp:val=&quot;00B63676&quot;/&gt;&lt;wsp:rsid wsp:val=&quot;00B63FF8&quot;/&gt;&lt;wsp:rsid wsp:val=&quot;00B641D3&quot;/&gt;&lt;wsp:rsid wsp:val=&quot;00B647EE&quot;/&gt;&lt;wsp:rsid wsp:val=&quot;00B64BF9&quot;/&gt;&lt;wsp:rsid wsp:val=&quot;00B64BFA&quot;/&gt;&lt;wsp:rsid wsp:val=&quot;00B655DC&quot;/&gt;&lt;wsp:rsid wsp:val=&quot;00B65832&quot;/&gt;&lt;wsp:rsid wsp:val=&quot;00B6622B&quot;/&gt;&lt;wsp:rsid wsp:val=&quot;00B67418&quot;/&gt;&lt;wsp:rsid wsp:val=&quot;00B674D4&quot;/&gt;&lt;wsp:rsid wsp:val=&quot;00B70106&quot;/&gt;&lt;wsp:rsid wsp:val=&quot;00B70B40&quot;/&gt;&lt;wsp:rsid wsp:val=&quot;00B716E8&quot;/&gt;&lt;wsp:rsid wsp:val=&quot;00B716F5&quot;/&gt;&lt;wsp:rsid wsp:val=&quot;00B71C55&quot;/&gt;&lt;wsp:rsid wsp:val=&quot;00B71D04&quot;/&gt;&lt;wsp:rsid wsp:val=&quot;00B72186&quot;/&gt;&lt;wsp:rsid wsp:val=&quot;00B735B3&quot;/&gt;&lt;wsp:rsid wsp:val=&quot;00B73885&quot;/&gt;&lt;wsp:rsid wsp:val=&quot;00B73FB7&quot;/&gt;&lt;wsp:rsid wsp:val=&quot;00B74165&quot;/&gt;&lt;wsp:rsid wsp:val=&quot;00B7490D&quot;/&gt;&lt;wsp:rsid wsp:val=&quot;00B76329&quot;/&gt;&lt;wsp:rsid wsp:val=&quot;00B763B2&quot;/&gt;&lt;wsp:rsid wsp:val=&quot;00B76D17&quot;/&gt;&lt;wsp:rsid wsp:val=&quot;00B77CDE&quot;/&gt;&lt;wsp:rsid wsp:val=&quot;00B803FE&quot;/&gt;&lt;wsp:rsid wsp:val=&quot;00B80979&quot;/&gt;&lt;wsp:rsid wsp:val=&quot;00B80BB3&quot;/&gt;&lt;wsp:rsid wsp:val=&quot;00B80DC4&quot;/&gt;&lt;wsp:rsid wsp:val=&quot;00B81091&quot;/&gt;&lt;wsp:rsid wsp:val=&quot;00B815CC&quot;/&gt;&lt;wsp:rsid wsp:val=&quot;00B82DD3&quot;/&gt;&lt;wsp:rsid wsp:val=&quot;00B83549&quot;/&gt;&lt;wsp:rsid wsp:val=&quot;00B83AF1&quot;/&gt;&lt;wsp:rsid wsp:val=&quot;00B83BB0&quot;/&gt;&lt;wsp:rsid wsp:val=&quot;00B849C1&quot;/&gt;&lt;wsp:rsid wsp:val=&quot;00B84E11&quot;/&gt;&lt;wsp:rsid wsp:val=&quot;00B85C46&quot;/&gt;&lt;wsp:rsid wsp:val=&quot;00B862C9&quot;/&gt;&lt;wsp:rsid wsp:val=&quot;00B87388&quot;/&gt;&lt;wsp:rsid wsp:val=&quot;00B9057D&quot;/&gt;&lt;wsp:rsid wsp:val=&quot;00B911E4&quot;/&gt;&lt;wsp:rsid wsp:val=&quot;00B91415&quot;/&gt;&lt;wsp:rsid wsp:val=&quot;00B91CC5&quot;/&gt;&lt;wsp:rsid wsp:val=&quot;00B92704&quot;/&gt;&lt;wsp:rsid wsp:val=&quot;00B92D40&quot;/&gt;&lt;wsp:rsid wsp:val=&quot;00B933D7&quot;/&gt;&lt;wsp:rsid wsp:val=&quot;00B936FC&quot;/&gt;&lt;wsp:rsid wsp:val=&quot;00B97A6B&quot;/&gt;&lt;wsp:rsid wsp:val=&quot;00BA0334&quot;/&gt;&lt;wsp:rsid wsp:val=&quot;00BA1F29&quot;/&gt;&lt;wsp:rsid wsp:val=&quot;00BA2895&quot;/&gt;&lt;wsp:rsid wsp:val=&quot;00BA2E89&quot;/&gt;&lt;wsp:rsid wsp:val=&quot;00BA3BF6&quot;/&gt;&lt;wsp:rsid wsp:val=&quot;00BA44BC&quot;/&gt;&lt;wsp:rsid wsp:val=&quot;00BA5C6D&quot;/&gt;&lt;wsp:rsid wsp:val=&quot;00BA5FF0&quot;/&gt;&lt;wsp:rsid wsp:val=&quot;00BA5FF9&quot;/&gt;&lt;wsp:rsid wsp:val=&quot;00BA6B47&quot;/&gt;&lt;wsp:rsid wsp:val=&quot;00BA7E93&quot;/&gt;&lt;wsp:rsid wsp:val=&quot;00BB011D&quot;/&gt;&lt;wsp:rsid wsp:val=&quot;00BB0939&quot;/&gt;&lt;wsp:rsid wsp:val=&quot;00BB1585&quot;/&gt;&lt;wsp:rsid wsp:val=&quot;00BB1A68&quot;/&gt;&lt;wsp:rsid wsp:val=&quot;00BB3FA0&quot;/&gt;&lt;wsp:rsid wsp:val=&quot;00BB536C&quot;/&gt;&lt;wsp:rsid wsp:val=&quot;00BB5C1F&quot;/&gt;&lt;wsp:rsid wsp:val=&quot;00BB6535&quot;/&gt;&lt;wsp:rsid wsp:val=&quot;00BB67E7&quot;/&gt;&lt;wsp:rsid wsp:val=&quot;00BB72B5&quot;/&gt;&lt;wsp:rsid wsp:val=&quot;00BB7808&quot;/&gt;&lt;wsp:rsid wsp:val=&quot;00BC05BE&quot;/&gt;&lt;wsp:rsid wsp:val=&quot;00BC0827&quot;/&gt;&lt;wsp:rsid wsp:val=&quot;00BC1029&quot;/&gt;&lt;wsp:rsid wsp:val=&quot;00BC2064&quot;/&gt;&lt;wsp:rsid wsp:val=&quot;00BC25DD&quot;/&gt;&lt;wsp:rsid wsp:val=&quot;00BC29A6&quot;/&gt;&lt;wsp:rsid wsp:val=&quot;00BC3243&quot;/&gt;&lt;wsp:rsid wsp:val=&quot;00BC3262&quot;/&gt;&lt;wsp:rsid wsp:val=&quot;00BC371F&quot;/&gt;&lt;wsp:rsid wsp:val=&quot;00BC3728&quot;/&gt;&lt;wsp:rsid wsp:val=&quot;00BC3AB8&quot;/&gt;&lt;wsp:rsid wsp:val=&quot;00BC3C48&quot;/&gt;&lt;wsp:rsid wsp:val=&quot;00BC3E2D&quot;/&gt;&lt;wsp:rsid wsp:val=&quot;00BC5DC5&quot;/&gt;&lt;wsp:rsid wsp:val=&quot;00BC6FC4&quot;/&gt;&lt;wsp:rsid wsp:val=&quot;00BC711B&quot;/&gt;&lt;wsp:rsid wsp:val=&quot;00BC76EC&quot;/&gt;&lt;wsp:rsid wsp:val=&quot;00BD05AD&quot;/&gt;&lt;wsp:rsid wsp:val=&quot;00BD2F4F&quot;/&gt;&lt;wsp:rsid wsp:val=&quot;00BD396B&quot;/&gt;&lt;wsp:rsid wsp:val=&quot;00BD479D&quot;/&gt;&lt;wsp:rsid wsp:val=&quot;00BD55CC&quot;/&gt;&lt;wsp:rsid wsp:val=&quot;00BD5605&quot;/&gt;&lt;wsp:rsid wsp:val=&quot;00BD5AE6&quot;/&gt;&lt;wsp:rsid wsp:val=&quot;00BD6A3D&quot;/&gt;&lt;wsp:rsid wsp:val=&quot;00BD7CB2&quot;/&gt;&lt;wsp:rsid wsp:val=&quot;00BD7FDB&quot;/&gt;&lt;wsp:rsid wsp:val=&quot;00BE0227&quot;/&gt;&lt;wsp:rsid wsp:val=&quot;00BE0B09&quot;/&gt;&lt;wsp:rsid wsp:val=&quot;00BE296A&quot;/&gt;&lt;wsp:rsid wsp:val=&quot;00BE3F4F&quot;/&gt;&lt;wsp:rsid wsp:val=&quot;00BE5130&quot;/&gt;&lt;wsp:rsid wsp:val=&quot;00BE523C&quot;/&gt;&lt;wsp:rsid wsp:val=&quot;00BE5C66&quot;/&gt;&lt;wsp:rsid wsp:val=&quot;00BF0BB3&quot;/&gt;&lt;wsp:rsid wsp:val=&quot;00BF1D12&quot;/&gt;&lt;wsp:rsid wsp:val=&quot;00BF30E7&quot;/&gt;&lt;wsp:rsid wsp:val=&quot;00BF3387&quot;/&gt;&lt;wsp:rsid wsp:val=&quot;00BF366D&quot;/&gt;&lt;wsp:rsid wsp:val=&quot;00BF3884&quot;/&gt;&lt;wsp:rsid wsp:val=&quot;00BF4F5A&quot;/&gt;&lt;wsp:rsid wsp:val=&quot;00BF797B&quot;/&gt;&lt;wsp:rsid wsp:val=&quot;00BF7A05&quot;/&gt;&lt;wsp:rsid wsp:val=&quot;00BF7F14&quot;/&gt;&lt;wsp:rsid wsp:val=&quot;00C00D34&quot;/&gt;&lt;wsp:rsid wsp:val=&quot;00C00E58&quot;/&gt;&lt;wsp:rsid wsp:val=&quot;00C01997&quot;/&gt;&lt;wsp:rsid wsp:val=&quot;00C02D28&quot;/&gt;&lt;wsp:rsid wsp:val=&quot;00C030BF&quot;/&gt;&lt;wsp:rsid wsp:val=&quot;00C03951&quot;/&gt;&lt;wsp:rsid wsp:val=&quot;00C03BAA&quot;/&gt;&lt;wsp:rsid wsp:val=&quot;00C040FF&quot;/&gt;&lt;wsp:rsid wsp:val=&quot;00C0473E&quot;/&gt;&lt;wsp:rsid wsp:val=&quot;00C063C4&quot;/&gt;&lt;wsp:rsid wsp:val=&quot;00C0751F&quot;/&gt;&lt;wsp:rsid wsp:val=&quot;00C10974&quot;/&gt;&lt;wsp:rsid wsp:val=&quot;00C10B3A&quot;/&gt;&lt;wsp:rsid wsp:val=&quot;00C11822&quot;/&gt;&lt;wsp:rsid wsp:val=&quot;00C118BA&quot;/&gt;&lt;wsp:rsid wsp:val=&quot;00C126F2&quot;/&gt;&lt;wsp:rsid wsp:val=&quot;00C13E89&quot;/&gt;&lt;wsp:rsid wsp:val=&quot;00C14EE8&quot;/&gt;&lt;wsp:rsid wsp:val=&quot;00C15127&quot;/&gt;&lt;wsp:rsid wsp:val=&quot;00C155B0&quot;/&gt;&lt;wsp:rsid wsp:val=&quot;00C15FD5&quot;/&gt;&lt;wsp:rsid wsp:val=&quot;00C16301&quot;/&gt;&lt;wsp:rsid wsp:val=&quot;00C1734A&quot;/&gt;&lt;wsp:rsid wsp:val=&quot;00C17883&quot;/&gt;&lt;wsp:rsid wsp:val=&quot;00C17C84&quot;/&gt;&lt;wsp:rsid wsp:val=&quot;00C2038A&quot;/&gt;&lt;wsp:rsid wsp:val=&quot;00C2071C&quot;/&gt;&lt;wsp:rsid wsp:val=&quot;00C21CEC&quot;/&gt;&lt;wsp:rsid wsp:val=&quot;00C22D46&quot;/&gt;&lt;wsp:rsid wsp:val=&quot;00C22EA0&quot;/&gt;&lt;wsp:rsid wsp:val=&quot;00C23354&quot;/&gt;&lt;wsp:rsid wsp:val=&quot;00C23CC6&quot;/&gt;&lt;wsp:rsid wsp:val=&quot;00C24413&quot;/&gt;&lt;wsp:rsid wsp:val=&quot;00C24731&quot;/&gt;&lt;wsp:rsid wsp:val=&quot;00C251A5&quot;/&gt;&lt;wsp:rsid wsp:val=&quot;00C26092&quot;/&gt;&lt;wsp:rsid wsp:val=&quot;00C27354&quot;/&gt;&lt;wsp:rsid wsp:val=&quot;00C3034F&quot;/&gt;&lt;wsp:rsid wsp:val=&quot;00C3092D&quot;/&gt;&lt;wsp:rsid wsp:val=&quot;00C30A16&quot;/&gt;&lt;wsp:rsid wsp:val=&quot;00C3156E&quot;/&gt;&lt;wsp:rsid wsp:val=&quot;00C3257C&quot;/&gt;&lt;wsp:rsid wsp:val=&quot;00C32905&quot;/&gt;&lt;wsp:rsid wsp:val=&quot;00C33495&quot;/&gt;&lt;wsp:rsid wsp:val=&quot;00C33F8E&quot;/&gt;&lt;wsp:rsid wsp:val=&quot;00C34E7B&quot;/&gt;&lt;wsp:rsid wsp:val=&quot;00C3582A&quot;/&gt;&lt;wsp:rsid wsp:val=&quot;00C35B29&quot;/&gt;&lt;wsp:rsid wsp:val=&quot;00C35ECD&quot;/&gt;&lt;wsp:rsid wsp:val=&quot;00C36B20&quot;/&gt;&lt;wsp:rsid wsp:val=&quot;00C36E3F&quot;/&gt;&lt;wsp:rsid wsp:val=&quot;00C4246B&quot;/&gt;&lt;wsp:rsid wsp:val=&quot;00C42A27&quot;/&gt;&lt;wsp:rsid wsp:val=&quot;00C435CA&quot;/&gt;&lt;wsp:rsid wsp:val=&quot;00C43EE7&quot;/&gt;&lt;wsp:rsid wsp:val=&quot;00C4693E&quot;/&gt;&lt;wsp:rsid wsp:val=&quot;00C46E06&quot;/&gt;&lt;wsp:rsid wsp:val=&quot;00C50689&quot;/&gt;&lt;wsp:rsid wsp:val=&quot;00C50FA2&quot;/&gt;&lt;wsp:rsid wsp:val=&quot;00C53090&quot;/&gt;&lt;wsp:rsid wsp:val=&quot;00C53105&quot;/&gt;&lt;wsp:rsid wsp:val=&quot;00C53C59&quot;/&gt;&lt;wsp:rsid wsp:val=&quot;00C54015&quot;/&gt;&lt;wsp:rsid wsp:val=&quot;00C54862&quot;/&gt;&lt;wsp:rsid wsp:val=&quot;00C548CE&quot;/&gt;&lt;wsp:rsid wsp:val=&quot;00C54B66&quot;/&gt;&lt;wsp:rsid wsp:val=&quot;00C54E36&quot;/&gt;&lt;wsp:rsid wsp:val=&quot;00C55AF8&quot;/&gt;&lt;wsp:rsid wsp:val=&quot;00C57C5C&quot;/&gt;&lt;wsp:rsid wsp:val=&quot;00C607F0&quot;/&gt;&lt;wsp:rsid wsp:val=&quot;00C60C8A&quot;/&gt;&lt;wsp:rsid wsp:val=&quot;00C61350&quot;/&gt;&lt;wsp:rsid wsp:val=&quot;00C61FDB&quot;/&gt;&lt;wsp:rsid wsp:val=&quot;00C626DD&quot;/&gt;&lt;wsp:rsid wsp:val=&quot;00C629B8&quot;/&gt;&lt;wsp:rsid wsp:val=&quot;00C63306&quot;/&gt;&lt;wsp:rsid wsp:val=&quot;00C63686&quot;/&gt;&lt;wsp:rsid wsp:val=&quot;00C63838&quot;/&gt;&lt;wsp:rsid wsp:val=&quot;00C64374&quot;/&gt;&lt;wsp:rsid wsp:val=&quot;00C64596&quot;/&gt;&lt;wsp:rsid wsp:val=&quot;00C64C42&quot;/&gt;&lt;wsp:rsid wsp:val=&quot;00C64CA2&quot;/&gt;&lt;wsp:rsid wsp:val=&quot;00C65FC2&quot;/&gt;&lt;wsp:rsid wsp:val=&quot;00C66DC8&quot;/&gt;&lt;wsp:rsid wsp:val=&quot;00C67145&quot;/&gt;&lt;wsp:rsid wsp:val=&quot;00C704BF&quot;/&gt;&lt;wsp:rsid wsp:val=&quot;00C704D7&quot;/&gt;&lt;wsp:rsid wsp:val=&quot;00C71457&quot;/&gt;&lt;wsp:rsid wsp:val=&quot;00C7208B&quot;/&gt;&lt;wsp:rsid wsp:val=&quot;00C74C1E&quot;/&gt;&lt;wsp:rsid wsp:val=&quot;00C7621A&quot;/&gt;&lt;wsp:rsid wsp:val=&quot;00C76E27&quot;/&gt;&lt;wsp:rsid wsp:val=&quot;00C76EBF&quot;/&gt;&lt;wsp:rsid wsp:val=&quot;00C7792E&quot;/&gt;&lt;wsp:rsid wsp:val=&quot;00C81191&quot;/&gt;&lt;wsp:rsid wsp:val=&quot;00C81419&quot;/&gt;&lt;wsp:rsid wsp:val=&quot;00C81A1C&quot;/&gt;&lt;wsp:rsid wsp:val=&quot;00C83BEA&quot;/&gt;&lt;wsp:rsid wsp:val=&quot;00C848C3&quot;/&gt;&lt;wsp:rsid wsp:val=&quot;00C849A4&quot;/&gt;&lt;wsp:rsid wsp:val=&quot;00C84ADD&quot;/&gt;&lt;wsp:rsid wsp:val=&quot;00C84D4C&quot;/&gt;&lt;wsp:rsid wsp:val=&quot;00C873DB&quot;/&gt;&lt;wsp:rsid wsp:val=&quot;00C87676&quot;/&gt;&lt;wsp:rsid wsp:val=&quot;00C87E93&quot;/&gt;&lt;wsp:rsid wsp:val=&quot;00C87F15&quot;/&gt;&lt;wsp:rsid wsp:val=&quot;00C9052D&quot;/&gt;&lt;wsp:rsid wsp:val=&quot;00C90981&quot;/&gt;&lt;wsp:rsid wsp:val=&quot;00C91127&quot;/&gt;&lt;wsp:rsid wsp:val=&quot;00C928D2&quot;/&gt;&lt;wsp:rsid wsp:val=&quot;00C92A6F&quot;/&gt;&lt;wsp:rsid wsp:val=&quot;00C931DE&quot;/&gt;&lt;wsp:rsid wsp:val=&quot;00C94A33&quot;/&gt;&lt;wsp:rsid wsp:val=&quot;00C955E1&quot;/&gt;&lt;wsp:rsid wsp:val=&quot;00C961C1&quot;/&gt;&lt;wsp:rsid wsp:val=&quot;00C97C97&quot;/&gt;&lt;wsp:rsid wsp:val=&quot;00CA025F&quot;/&gt;&lt;wsp:rsid wsp:val=&quot;00CA08A8&quot;/&gt;&lt;wsp:rsid wsp:val=&quot;00CA0CD9&quot;/&gt;&lt;wsp:rsid wsp:val=&quot;00CA1493&quot;/&gt;&lt;wsp:rsid wsp:val=&quot;00CA1A16&quot;/&gt;&lt;wsp:rsid wsp:val=&quot;00CA1B25&quot;/&gt;&lt;wsp:rsid wsp:val=&quot;00CA1F42&quot;/&gt;&lt;wsp:rsid wsp:val=&quot;00CA3909&quot;/&gt;&lt;wsp:rsid wsp:val=&quot;00CA3DDD&quot;/&gt;&lt;wsp:rsid wsp:val=&quot;00CA4BAB&quot;/&gt;&lt;wsp:rsid wsp:val=&quot;00CA6DAF&quot;/&gt;&lt;wsp:rsid wsp:val=&quot;00CA7CBC&quot;/&gt;&lt;wsp:rsid wsp:val=&quot;00CA7DD3&quot;/&gt;&lt;wsp:rsid wsp:val=&quot;00CB11A2&quot;/&gt;&lt;wsp:rsid wsp:val=&quot;00CB264E&quot;/&gt;&lt;wsp:rsid wsp:val=&quot;00CB2722&quot;/&gt;&lt;wsp:rsid wsp:val=&quot;00CB36AA&quot;/&gt;&lt;wsp:rsid wsp:val=&quot;00CB379C&quot;/&gt;&lt;wsp:rsid wsp:val=&quot;00CB47DA&quot;/&gt;&lt;wsp:rsid wsp:val=&quot;00CB566F&quot;/&gt;&lt;wsp:rsid wsp:val=&quot;00CB67FC&quot;/&gt;&lt;wsp:rsid wsp:val=&quot;00CB6EF2&quot;/&gt;&lt;wsp:rsid wsp:val=&quot;00CB72E3&quot;/&gt;&lt;wsp:rsid wsp:val=&quot;00CC1E32&quot;/&gt;&lt;wsp:rsid wsp:val=&quot;00CC24CC&quot;/&gt;&lt;wsp:rsid wsp:val=&quot;00CC27EB&quot;/&gt;&lt;wsp:rsid wsp:val=&quot;00CC3A03&quot;/&gt;&lt;wsp:rsid wsp:val=&quot;00CC3B82&quot;/&gt;&lt;wsp:rsid wsp:val=&quot;00CC4394&quot;/&gt;&lt;wsp:rsid wsp:val=&quot;00CC526E&quot;/&gt;&lt;wsp:rsid wsp:val=&quot;00CC5448&quot;/&gt;&lt;wsp:rsid wsp:val=&quot;00CC5C9F&quot;/&gt;&lt;wsp:rsid wsp:val=&quot;00CC6063&quot;/&gt;&lt;wsp:rsid wsp:val=&quot;00CC674C&quot;/&gt;&lt;wsp:rsid wsp:val=&quot;00CC7FAD&quot;/&gt;&lt;wsp:rsid wsp:val=&quot;00CD0959&quot;/&gt;&lt;wsp:rsid wsp:val=&quot;00CD0D58&quot;/&gt;&lt;wsp:rsid wsp:val=&quot;00CD1821&quot;/&gt;&lt;wsp:rsid wsp:val=&quot;00CD1BBF&quot;/&gt;&lt;wsp:rsid wsp:val=&quot;00CD217B&quot;/&gt;&lt;wsp:rsid wsp:val=&quot;00CD2D04&quot;/&gt;&lt;wsp:rsid wsp:val=&quot;00CD2DDC&quot;/&gt;&lt;wsp:rsid wsp:val=&quot;00CD2EA2&quot;/&gt;&lt;wsp:rsid wsp:val=&quot;00CD35F0&quot;/&gt;&lt;wsp:rsid wsp:val=&quot;00CD3F8D&quot;/&gt;&lt;wsp:rsid wsp:val=&quot;00CD43DD&quot;/&gt;&lt;wsp:rsid wsp:val=&quot;00CD48A9&quot;/&gt;&lt;wsp:rsid wsp:val=&quot;00CD495C&quot;/&gt;&lt;wsp:rsid wsp:val=&quot;00CD516F&quot;/&gt;&lt;wsp:rsid wsp:val=&quot;00CD5367&quot;/&gt;&lt;wsp:rsid wsp:val=&quot;00CD56B9&quot;/&gt;&lt;wsp:rsid wsp:val=&quot;00CD6053&quot;/&gt;&lt;wsp:rsid wsp:val=&quot;00CD7196&quot;/&gt;&lt;wsp:rsid wsp:val=&quot;00CD7278&quot;/&gt;&lt;wsp:rsid wsp:val=&quot;00CD7D9E&quot;/&gt;&lt;wsp:rsid wsp:val=&quot;00CE0F7D&quot;/&gt;&lt;wsp:rsid wsp:val=&quot;00CE1072&quot;/&gt;&lt;wsp:rsid wsp:val=&quot;00CE2E18&quot;/&gt;&lt;wsp:rsid wsp:val=&quot;00CE5C0B&quot;/&gt;&lt;wsp:rsid wsp:val=&quot;00CE5E19&quot;/&gt;&lt;wsp:rsid wsp:val=&quot;00CE656C&quot;/&gt;&lt;wsp:rsid wsp:val=&quot;00CE671C&quot;/&gt;&lt;wsp:rsid wsp:val=&quot;00CE6EF3&quot;/&gt;&lt;wsp:rsid wsp:val=&quot;00CE7555&quot;/&gt;&lt;wsp:rsid wsp:val=&quot;00CE77C2&quot;/&gt;&lt;wsp:rsid wsp:val=&quot;00CF057A&quot;/&gt;&lt;wsp:rsid wsp:val=&quot;00CF07AE&quot;/&gt;&lt;wsp:rsid wsp:val=&quot;00CF1164&quot;/&gt;&lt;wsp:rsid wsp:val=&quot;00CF2881&quot;/&gt;&lt;wsp:rsid wsp:val=&quot;00CF2D60&quot;/&gt;&lt;wsp:rsid wsp:val=&quot;00CF3BCB&quot;/&gt;&lt;wsp:rsid wsp:val=&quot;00CF497C&quot;/&gt;&lt;wsp:rsid wsp:val=&quot;00CF6B3E&quot;/&gt;&lt;wsp:rsid wsp:val=&quot;00CF76DF&quot;/&gt;&lt;wsp:rsid wsp:val=&quot;00CF7F7C&quot;/&gt;&lt;wsp:rsid wsp:val=&quot;00D00674&quot;/&gt;&lt;wsp:rsid wsp:val=&quot;00D00DBF&quot;/&gt;&lt;wsp:rsid wsp:val=&quot;00D01DB4&quot;/&gt;&lt;wsp:rsid wsp:val=&quot;00D02B51&quot;/&gt;&lt;wsp:rsid wsp:val=&quot;00D02D28&quot;/&gt;&lt;wsp:rsid wsp:val=&quot;00D034C5&quot;/&gt;&lt;wsp:rsid wsp:val=&quot;00D0546F&quot;/&gt;&lt;wsp:rsid wsp:val=&quot;00D059FE&quot;/&gt;&lt;wsp:rsid wsp:val=&quot;00D060B3&quot;/&gt;&lt;wsp:rsid wsp:val=&quot;00D06800&quot;/&gt;&lt;wsp:rsid wsp:val=&quot;00D07441&quot;/&gt;&lt;wsp:rsid wsp:val=&quot;00D079D9&quot;/&gt;&lt;wsp:rsid wsp:val=&quot;00D07A86&quot;/&gt;&lt;wsp:rsid wsp:val=&quot;00D106C8&quot;/&gt;&lt;wsp:rsid wsp:val=&quot;00D10A35&quot;/&gt;&lt;wsp:rsid wsp:val=&quot;00D13052&quot;/&gt;&lt;wsp:rsid wsp:val=&quot;00D1317F&quot;/&gt;&lt;wsp:rsid wsp:val=&quot;00D143D0&quot;/&gt;&lt;wsp:rsid wsp:val=&quot;00D14A1C&quot;/&gt;&lt;wsp:rsid wsp:val=&quot;00D163B2&quot;/&gt;&lt;wsp:rsid wsp:val=&quot;00D166E9&quot;/&gt;&lt;wsp:rsid wsp:val=&quot;00D17FBA&quot;/&gt;&lt;wsp:rsid wsp:val=&quot;00D205D8&quot;/&gt;&lt;wsp:rsid wsp:val=&quot;00D211E5&quot;/&gt;&lt;wsp:rsid wsp:val=&quot;00D213D8&quot;/&gt;&lt;wsp:rsid wsp:val=&quot;00D23D45&quot;/&gt;&lt;wsp:rsid wsp:val=&quot;00D241DB&quot;/&gt;&lt;wsp:rsid wsp:val=&quot;00D252F2&quot;/&gt;&lt;wsp:rsid wsp:val=&quot;00D258C2&quot;/&gt;&lt;wsp:rsid wsp:val=&quot;00D260E6&quot;/&gt;&lt;wsp:rsid wsp:val=&quot;00D2620B&quot;/&gt;&lt;wsp:rsid wsp:val=&quot;00D26BA2&quot;/&gt;&lt;wsp:rsid wsp:val=&quot;00D26D19&quot;/&gt;&lt;wsp:rsid wsp:val=&quot;00D30290&quot;/&gt;&lt;wsp:rsid wsp:val=&quot;00D310E1&quot;/&gt;&lt;wsp:rsid wsp:val=&quot;00D31242&quot;/&gt;&lt;wsp:rsid wsp:val=&quot;00D31F52&quot;/&gt;&lt;wsp:rsid wsp:val=&quot;00D33127&quot;/&gt;&lt;wsp:rsid wsp:val=&quot;00D332D3&quot;/&gt;&lt;wsp:rsid wsp:val=&quot;00D3417B&quot;/&gt;&lt;wsp:rsid wsp:val=&quot;00D343F8&quot;/&gt;&lt;wsp:rsid wsp:val=&quot;00D35167&quot;/&gt;&lt;wsp:rsid wsp:val=&quot;00D3555F&quot;/&gt;&lt;wsp:rsid wsp:val=&quot;00D36E0C&quot;/&gt;&lt;wsp:rsid wsp:val=&quot;00D3757D&quot;/&gt;&lt;wsp:rsid wsp:val=&quot;00D40619&quot;/&gt;&lt;wsp:rsid wsp:val=&quot;00D40CF0&quot;/&gt;&lt;wsp:rsid wsp:val=&quot;00D434C1&quot;/&gt;&lt;wsp:rsid wsp:val=&quot;00D43ABF&quot;/&gt;&lt;wsp:rsid wsp:val=&quot;00D44350&quot;/&gt;&lt;wsp:rsid wsp:val=&quot;00D44B17&quot;/&gt;&lt;wsp:rsid wsp:val=&quot;00D45CC4&quot;/&gt;&lt;wsp:rsid wsp:val=&quot;00D45DCA&quot;/&gt;&lt;wsp:rsid wsp:val=&quot;00D46246&quot;/&gt;&lt;wsp:rsid wsp:val=&quot;00D4638E&quot;/&gt;&lt;wsp:rsid wsp:val=&quot;00D46444&quot;/&gt;&lt;wsp:rsid wsp:val=&quot;00D46585&quot;/&gt;&lt;wsp:rsid wsp:val=&quot;00D46727&quot;/&gt;&lt;wsp:rsid wsp:val=&quot;00D47F46&quot;/&gt;&lt;wsp:rsid wsp:val=&quot;00D47FB6&quot;/&gt;&lt;wsp:rsid wsp:val=&quot;00D502A9&quot;/&gt;&lt;wsp:rsid wsp:val=&quot;00D50593&quot;/&gt;&lt;wsp:rsid wsp:val=&quot;00D50B34&quot;/&gt;&lt;wsp:rsid wsp:val=&quot;00D510FD&quot;/&gt;&lt;wsp:rsid wsp:val=&quot;00D518BD&quot;/&gt;&lt;wsp:rsid wsp:val=&quot;00D51A64&quot;/&gt;&lt;wsp:rsid wsp:val=&quot;00D51E70&quot;/&gt;&lt;wsp:rsid wsp:val=&quot;00D5258D&quot;/&gt;&lt;wsp:rsid wsp:val=&quot;00D52673&quot;/&gt;&lt;wsp:rsid wsp:val=&quot;00D531C2&quot;/&gt;&lt;wsp:rsid wsp:val=&quot;00D53668&quot;/&gt;&lt;wsp:rsid wsp:val=&quot;00D53A41&quot;/&gt;&lt;wsp:rsid wsp:val=&quot;00D556E2&quot;/&gt;&lt;wsp:rsid wsp:val=&quot;00D559D9&quot;/&gt;&lt;wsp:rsid wsp:val=&quot;00D56503&quot;/&gt;&lt;wsp:rsid wsp:val=&quot;00D566B7&quot;/&gt;&lt;wsp:rsid wsp:val=&quot;00D56CED&quot;/&gt;&lt;wsp:rsid wsp:val=&quot;00D571B0&quot;/&gt;&lt;wsp:rsid wsp:val=&quot;00D57D7D&quot;/&gt;&lt;wsp:rsid wsp:val=&quot;00D60B1C&quot;/&gt;&lt;wsp:rsid wsp:val=&quot;00D619B9&quot;/&gt;&lt;wsp:rsid wsp:val=&quot;00D61CBC&quot;/&gt;&lt;wsp:rsid wsp:val=&quot;00D62107&quot;/&gt;&lt;wsp:rsid wsp:val=&quot;00D646DA&quot;/&gt;&lt;wsp:rsid wsp:val=&quot;00D6516A&quot;/&gt;&lt;wsp:rsid wsp:val=&quot;00D65CEC&quot;/&gt;&lt;wsp:rsid wsp:val=&quot;00D674F1&quot;/&gt;&lt;wsp:rsid wsp:val=&quot;00D67534&quot;/&gt;&lt;wsp:rsid wsp:val=&quot;00D67C86&quot;/&gt;&lt;wsp:rsid wsp:val=&quot;00D67F1F&quot;/&gt;&lt;wsp:rsid wsp:val=&quot;00D70989&quot;/&gt;&lt;wsp:rsid wsp:val=&quot;00D71C0A&quot;/&gt;&lt;wsp:rsid wsp:val=&quot;00D72320&quot;/&gt;&lt;wsp:rsid wsp:val=&quot;00D728CF&quot;/&gt;&lt;wsp:rsid wsp:val=&quot;00D7588D&quot;/&gt;&lt;wsp:rsid wsp:val=&quot;00D7612D&quot;/&gt;&lt;wsp:rsid wsp:val=&quot;00D7698D&quot;/&gt;&lt;wsp:rsid wsp:val=&quot;00D77022&quot;/&gt;&lt;wsp:rsid wsp:val=&quot;00D77D79&quot;/&gt;&lt;wsp:rsid wsp:val=&quot;00D801E4&quot;/&gt;&lt;wsp:rsid wsp:val=&quot;00D809F2&quot;/&gt;&lt;wsp:rsid wsp:val=&quot;00D80A6E&quot;/&gt;&lt;wsp:rsid wsp:val=&quot;00D816C5&quot;/&gt;&lt;wsp:rsid wsp:val=&quot;00D8263C&quot;/&gt;&lt;wsp:rsid wsp:val=&quot;00D827A6&quot;/&gt;&lt;wsp:rsid wsp:val=&quot;00D82B79&quot;/&gt;&lt;wsp:rsid wsp:val=&quot;00D82E11&quot;/&gt;&lt;wsp:rsid wsp:val=&quot;00D8654E&quot;/&gt;&lt;wsp:rsid wsp:val=&quot;00D873FB&quot;/&gt;&lt;wsp:rsid wsp:val=&quot;00D87A66&quot;/&gt;&lt;wsp:rsid wsp:val=&quot;00D87B6C&quot;/&gt;&lt;wsp:rsid wsp:val=&quot;00D90018&quot;/&gt;&lt;wsp:rsid wsp:val=&quot;00D908BA&quot;/&gt;&lt;wsp:rsid wsp:val=&quot;00D91260&quot;/&gt;&lt;wsp:rsid wsp:val=&quot;00D93AB8&quot;/&gt;&lt;wsp:rsid wsp:val=&quot;00D96486&quot;/&gt;&lt;wsp:rsid wsp:val=&quot;00DA1A67&quot;/&gt;&lt;wsp:rsid wsp:val=&quot;00DA1F91&quot;/&gt;&lt;wsp:rsid wsp:val=&quot;00DA3232&quot;/&gt;&lt;wsp:rsid wsp:val=&quot;00DA3BA9&quot;/&gt;&lt;wsp:rsid wsp:val=&quot;00DA56BB&quot;/&gt;&lt;wsp:rsid wsp:val=&quot;00DA6C74&quot;/&gt;&lt;wsp:rsid wsp:val=&quot;00DA712C&quot;/&gt;&lt;wsp:rsid wsp:val=&quot;00DA75F9&quot;/&gt;&lt;wsp:rsid wsp:val=&quot;00DA7949&quot;/&gt;&lt;wsp:rsid wsp:val=&quot;00DA7E4D&quot;/&gt;&lt;wsp:rsid wsp:val=&quot;00DB0583&quot;/&gt;&lt;wsp:rsid wsp:val=&quot;00DB077F&quot;/&gt;&lt;wsp:rsid wsp:val=&quot;00DB0890&quot;/&gt;&lt;wsp:rsid wsp:val=&quot;00DB0D1D&quot;/&gt;&lt;wsp:rsid wsp:val=&quot;00DB12FA&quot;/&gt;&lt;wsp:rsid wsp:val=&quot;00DB1B22&quot;/&gt;&lt;wsp:rsid wsp:val=&quot;00DB38E9&quot;/&gt;&lt;wsp:rsid wsp:val=&quot;00DB41D7&quot;/&gt;&lt;wsp:rsid wsp:val=&quot;00DB4252&quot;/&gt;&lt;wsp:rsid wsp:val=&quot;00DB59EE&quot;/&gt;&lt;wsp:rsid wsp:val=&quot;00DC0362&quot;/&gt;&lt;wsp:rsid wsp:val=&quot;00DC1384&quot;/&gt;&lt;wsp:rsid wsp:val=&quot;00DC202C&quot;/&gt;&lt;wsp:rsid wsp:val=&quot;00DC21E0&quot;/&gt;&lt;wsp:rsid wsp:val=&quot;00DC2A33&quot;/&gt;&lt;wsp:rsid wsp:val=&quot;00DC2A7E&quot;/&gt;&lt;wsp:rsid wsp:val=&quot;00DC2CD5&quot;/&gt;&lt;wsp:rsid wsp:val=&quot;00DC4191&quot;/&gt;&lt;wsp:rsid wsp:val=&quot;00DC5E23&quot;/&gt;&lt;wsp:rsid wsp:val=&quot;00DC6A29&quot;/&gt;&lt;wsp:rsid wsp:val=&quot;00DC745E&quot;/&gt;&lt;wsp:rsid wsp:val=&quot;00DD153D&quot;/&gt;&lt;wsp:rsid wsp:val=&quot;00DD1EB9&quot;/&gt;&lt;wsp:rsid wsp:val=&quot;00DD2400&quot;/&gt;&lt;wsp:rsid wsp:val=&quot;00DD267F&quot;/&gt;&lt;wsp:rsid wsp:val=&quot;00DD2EC0&quot;/&gt;&lt;wsp:rsid wsp:val=&quot;00DD3450&quot;/&gt;&lt;wsp:rsid wsp:val=&quot;00DD49B5&quot;/&gt;&lt;wsp:rsid wsp:val=&quot;00DD4C36&quot;/&gt;&lt;wsp:rsid wsp:val=&quot;00DD5637&quot;/&gt;&lt;wsp:rsid wsp:val=&quot;00DD5F7D&quot;/&gt;&lt;wsp:rsid wsp:val=&quot;00DD64F6&quot;/&gt;&lt;wsp:rsid wsp:val=&quot;00DE03F5&quot;/&gt;&lt;wsp:rsid wsp:val=&quot;00DE1A45&quot;/&gt;&lt;wsp:rsid wsp:val=&quot;00DE2037&quot;/&gt;&lt;wsp:rsid wsp:val=&quot;00DE20E5&quot;/&gt;&lt;wsp:rsid wsp:val=&quot;00DE2A4A&quot;/&gt;&lt;wsp:rsid wsp:val=&quot;00DE3978&quot;/&gt;&lt;wsp:rsid wsp:val=&quot;00DE3A80&quot;/&gt;&lt;wsp:rsid wsp:val=&quot;00DE414D&quot;/&gt;&lt;wsp:rsid wsp:val=&quot;00DE4329&quot;/&gt;&lt;wsp:rsid wsp:val=&quot;00DE466A&quot;/&gt;&lt;wsp:rsid wsp:val=&quot;00DE4691&quot;/&gt;&lt;wsp:rsid wsp:val=&quot;00DE57AF&quot;/&gt;&lt;wsp:rsid wsp:val=&quot;00DE6745&quot;/&gt;&lt;wsp:rsid wsp:val=&quot;00DF0089&quot;/&gt;&lt;wsp:rsid wsp:val=&quot;00DF0429&quot;/&gt;&lt;wsp:rsid wsp:val=&quot;00DF1684&quot;/&gt;&lt;wsp:rsid wsp:val=&quot;00DF17CC&quot;/&gt;&lt;wsp:rsid wsp:val=&quot;00DF18D1&quot;/&gt;&lt;wsp:rsid wsp:val=&quot;00DF313A&quot;/&gt;&lt;wsp:rsid wsp:val=&quot;00DF47F8&quot;/&gt;&lt;wsp:rsid wsp:val=&quot;00DF4C31&quot;/&gt;&lt;wsp:rsid wsp:val=&quot;00DF56FE&quot;/&gt;&lt;wsp:rsid wsp:val=&quot;00DF6A9B&quot;/&gt;&lt;wsp:rsid wsp:val=&quot;00DF6D10&quot;/&gt;&lt;wsp:rsid wsp:val=&quot;00DF6DE7&quot;/&gt;&lt;wsp:rsid wsp:val=&quot;00DF7179&quot;/&gt;&lt;wsp:rsid wsp:val=&quot;00DF7D69&quot;/&gt;&lt;wsp:rsid wsp:val=&quot;00E00375&quot;/&gt;&lt;wsp:rsid wsp:val=&quot;00E0062B&quot;/&gt;&lt;wsp:rsid wsp:val=&quot;00E00C5F&quot;/&gt;&lt;wsp:rsid wsp:val=&quot;00E00F6D&quot;/&gt;&lt;wsp:rsid wsp:val=&quot;00E01206&quot;/&gt;&lt;wsp:rsid wsp:val=&quot;00E018C3&quot;/&gt;&lt;wsp:rsid wsp:val=&quot;00E01CD2&quot;/&gt;&lt;wsp:rsid wsp:val=&quot;00E02BF7&quot;/&gt;&lt;wsp:rsid wsp:val=&quot;00E03145&quot;/&gt;&lt;wsp:rsid wsp:val=&quot;00E04082&quot;/&gt;&lt;wsp:rsid wsp:val=&quot;00E0439E&quot;/&gt;&lt;wsp:rsid wsp:val=&quot;00E0540F&quot;/&gt;&lt;wsp:rsid wsp:val=&quot;00E05562&quot;/&gt;&lt;wsp:rsid wsp:val=&quot;00E0591E&quot;/&gt;&lt;wsp:rsid wsp:val=&quot;00E0634E&quot;/&gt;&lt;wsp:rsid wsp:val=&quot;00E064A0&quot;/&gt;&lt;wsp:rsid wsp:val=&quot;00E07F49&quot;/&gt;&lt;wsp:rsid wsp:val=&quot;00E1217F&quot;/&gt;&lt;wsp:rsid wsp:val=&quot;00E12C4B&quot;/&gt;&lt;wsp:rsid wsp:val=&quot;00E14618&quot;/&gt;&lt;wsp:rsid wsp:val=&quot;00E14A5B&quot;/&gt;&lt;wsp:rsid wsp:val=&quot;00E14CEF&quot;/&gt;&lt;wsp:rsid wsp:val=&quot;00E15248&quot;/&gt;&lt;wsp:rsid wsp:val=&quot;00E154EB&quot;/&gt;&lt;wsp:rsid wsp:val=&quot;00E15C0B&quot;/&gt;&lt;wsp:rsid wsp:val=&quot;00E15F6C&quot;/&gt;&lt;wsp:rsid wsp:val=&quot;00E17B5A&quot;/&gt;&lt;wsp:rsid wsp:val=&quot;00E21504&quot;/&gt;&lt;wsp:rsid wsp:val=&quot;00E24C71&quot;/&gt;&lt;wsp:rsid wsp:val=&quot;00E2548C&quot;/&gt;&lt;wsp:rsid wsp:val=&quot;00E260F7&quot;/&gt;&lt;wsp:rsid wsp:val=&quot;00E273BA&quot;/&gt;&lt;wsp:rsid wsp:val=&quot;00E27798&quot;/&gt;&lt;wsp:rsid wsp:val=&quot;00E27FC8&quot;/&gt;&lt;wsp:rsid wsp:val=&quot;00E30D6C&quot;/&gt;&lt;wsp:rsid wsp:val=&quot;00E30D76&quot;/&gt;&lt;wsp:rsid wsp:val=&quot;00E316DC&quot;/&gt;&lt;wsp:rsid wsp:val=&quot;00E34231&quot;/&gt;&lt;wsp:rsid wsp:val=&quot;00E377C4&quot;/&gt;&lt;wsp:rsid wsp:val=&quot;00E407EE&quot;/&gt;&lt;wsp:rsid wsp:val=&quot;00E418DF&quot;/&gt;&lt;wsp:rsid wsp:val=&quot;00E42046&quot;/&gt;&lt;wsp:rsid wsp:val=&quot;00E421CB&quot;/&gt;&lt;wsp:rsid wsp:val=&quot;00E427A9&quot;/&gt;&lt;wsp:rsid wsp:val=&quot;00E435D5&quot;/&gt;&lt;wsp:rsid wsp:val=&quot;00E43F54&quot;/&gt;&lt;wsp:rsid wsp:val=&quot;00E456F1&quot;/&gt;&lt;wsp:rsid wsp:val=&quot;00E45DE8&quot;/&gt;&lt;wsp:rsid wsp:val=&quot;00E45F94&quot;/&gt;&lt;wsp:rsid wsp:val=&quot;00E4623C&quot;/&gt;&lt;wsp:rsid wsp:val=&quot;00E46330&quot;/&gt;&lt;wsp:rsid wsp:val=&quot;00E507DD&quot;/&gt;&lt;wsp:rsid wsp:val=&quot;00E50941&quot;/&gt;&lt;wsp:rsid wsp:val=&quot;00E50EDC&quot;/&gt;&lt;wsp:rsid wsp:val=&quot;00E535C3&quot;/&gt;&lt;wsp:rsid wsp:val=&quot;00E54C7B&quot;/&gt;&lt;wsp:rsid wsp:val=&quot;00E550F9&quot;/&gt;&lt;wsp:rsid wsp:val=&quot;00E56473&quot;/&gt;&lt;wsp:rsid wsp:val=&quot;00E56937&quot;/&gt;&lt;wsp:rsid wsp:val=&quot;00E57349&quot;/&gt;&lt;wsp:rsid wsp:val=&quot;00E57EAC&quot;/&gt;&lt;wsp:rsid wsp:val=&quot;00E605AF&quot;/&gt;&lt;wsp:rsid wsp:val=&quot;00E6087A&quot;/&gt;&lt;wsp:rsid wsp:val=&quot;00E60D08&quot;/&gt;&lt;wsp:rsid wsp:val=&quot;00E6124C&quot;/&gt;&lt;wsp:rsid wsp:val=&quot;00E6129C&quot;/&gt;&lt;wsp:rsid wsp:val=&quot;00E61B35&quot;/&gt;&lt;wsp:rsid wsp:val=&quot;00E61DA5&quot;/&gt;&lt;wsp:rsid wsp:val=&quot;00E6276D&quot;/&gt;&lt;wsp:rsid wsp:val=&quot;00E634B9&quot;/&gt;&lt;wsp:rsid wsp:val=&quot;00E63B61&quot;/&gt;&lt;wsp:rsid wsp:val=&quot;00E63CE1&quot;/&gt;&lt;wsp:rsid wsp:val=&quot;00E6429E&quot;/&gt;&lt;wsp:rsid wsp:val=&quot;00E65EA9&quot;/&gt;&lt;wsp:rsid wsp:val=&quot;00E664A1&quot;/&gt;&lt;wsp:rsid wsp:val=&quot;00E666BB&quot;/&gt;&lt;wsp:rsid wsp:val=&quot;00E67908&quot;/&gt;&lt;wsp:rsid wsp:val=&quot;00E71203&quot;/&gt;&lt;wsp:rsid wsp:val=&quot;00E73BBA&quot;/&gt;&lt;wsp:rsid wsp:val=&quot;00E740B3&quot;/&gt;&lt;wsp:rsid wsp:val=&quot;00E74B03&quot;/&gt;&lt;wsp:rsid wsp:val=&quot;00E76ABB&quot;/&gt;&lt;wsp:rsid wsp:val=&quot;00E77245&quot;/&gt;&lt;wsp:rsid wsp:val=&quot;00E77411&quot;/&gt;&lt;wsp:rsid wsp:val=&quot;00E77DE8&quot;/&gt;&lt;wsp:rsid wsp:val=&quot;00E80B1C&quot;/&gt;&lt;wsp:rsid wsp:val=&quot;00E81636&quot;/&gt;&lt;wsp:rsid wsp:val=&quot;00E83D15&quot;/&gt;&lt;wsp:rsid wsp:val=&quot;00E844C0&quot;/&gt;&lt;wsp:rsid wsp:val=&quot;00E84878&quot;/&gt;&lt;wsp:rsid wsp:val=&quot;00E85B3C&quot;/&gt;&lt;wsp:rsid wsp:val=&quot;00E870D3&quot;/&gt;&lt;wsp:rsid wsp:val=&quot;00E871B6&quot;/&gt;&lt;wsp:rsid wsp:val=&quot;00E90CF2&quot;/&gt;&lt;wsp:rsid wsp:val=&quot;00E9136C&quot;/&gt;&lt;wsp:rsid wsp:val=&quot;00E91DA6&quot;/&gt;&lt;wsp:rsid wsp:val=&quot;00E92CB2&quot;/&gt;&lt;wsp:rsid wsp:val=&quot;00E943B8&quot;/&gt;&lt;wsp:rsid wsp:val=&quot;00E9444A&quot;/&gt;&lt;wsp:rsid wsp:val=&quot;00E948F4&quot;/&gt;&lt;wsp:rsid wsp:val=&quot;00E9718D&quot;/&gt;&lt;wsp:rsid wsp:val=&quot;00E9782D&quot;/&gt;&lt;wsp:rsid wsp:val=&quot;00E97AD7&quot;/&gt;&lt;wsp:rsid wsp:val=&quot;00EA0973&quot;/&gt;&lt;wsp:rsid wsp:val=&quot;00EA230A&quot;/&gt;&lt;wsp:rsid wsp:val=&quot;00EA27EC&quot;/&gt;&lt;wsp:rsid wsp:val=&quot;00EA2845&quot;/&gt;&lt;wsp:rsid wsp:val=&quot;00EA288A&quot;/&gt;&lt;wsp:rsid wsp:val=&quot;00EA3153&quot;/&gt;&lt;wsp:rsid wsp:val=&quot;00EA3355&quot;/&gt;&lt;wsp:rsid wsp:val=&quot;00EA47BB&quot;/&gt;&lt;wsp:rsid wsp:val=&quot;00EA4BF9&quot;/&gt;&lt;wsp:rsid wsp:val=&quot;00EA4EB2&quot;/&gt;&lt;wsp:rsid wsp:val=&quot;00EA50E2&quot;/&gt;&lt;wsp:rsid wsp:val=&quot;00EA51B5&quot;/&gt;&lt;wsp:rsid wsp:val=&quot;00EA51E2&quot;/&gt;&lt;wsp:rsid wsp:val=&quot;00EA549A&quot;/&gt;&lt;wsp:rsid wsp:val=&quot;00EA5F47&quot;/&gt;&lt;wsp:rsid wsp:val=&quot;00EA63EA&quot;/&gt;&lt;wsp:rsid wsp:val=&quot;00EA6720&quot;/&gt;&lt;wsp:rsid wsp:val=&quot;00EB072E&quot;/&gt;&lt;wsp:rsid wsp:val=&quot;00EB0B89&quot;/&gt;&lt;wsp:rsid wsp:val=&quot;00EB0FB7&quot;/&gt;&lt;wsp:rsid wsp:val=&quot;00EB1245&quot;/&gt;&lt;wsp:rsid wsp:val=&quot;00EB332E&quot;/&gt;&lt;wsp:rsid wsp:val=&quot;00EB35B2&quot;/&gt;&lt;wsp:rsid wsp:val=&quot;00EB4094&quot;/&gt;&lt;wsp:rsid wsp:val=&quot;00EB46BA&quot;/&gt;&lt;wsp:rsid wsp:val=&quot;00EB4F3B&quot;/&gt;&lt;wsp:rsid wsp:val=&quot;00EB58A9&quot;/&gt;&lt;wsp:rsid wsp:val=&quot;00EB6D03&quot;/&gt;&lt;wsp:rsid wsp:val=&quot;00EB7072&quot;/&gt;&lt;wsp:rsid wsp:val=&quot;00EB7D6A&quot;/&gt;&lt;wsp:rsid wsp:val=&quot;00EC005E&quot;/&gt;&lt;wsp:rsid wsp:val=&quot;00EC013C&quot;/&gt;&lt;wsp:rsid wsp:val=&quot;00EC0D56&quot;/&gt;&lt;wsp:rsid wsp:val=&quot;00EC29FC&quot;/&gt;&lt;wsp:rsid wsp:val=&quot;00EC2A9E&quot;/&gt;&lt;wsp:rsid wsp:val=&quot;00EC3CCF&quot;/&gt;&lt;wsp:rsid wsp:val=&quot;00EC596D&quot;/&gt;&lt;wsp:rsid wsp:val=&quot;00EC5F39&quot;/&gt;&lt;wsp:rsid wsp:val=&quot;00EC67C8&quot;/&gt;&lt;wsp:rsid wsp:val=&quot;00EC73F4&quot;/&gt;&lt;wsp:rsid wsp:val=&quot;00EC7FF8&quot;/&gt;&lt;wsp:rsid wsp:val=&quot;00ED00FF&quot;/&gt;&lt;wsp:rsid wsp:val=&quot;00ED02E3&quot;/&gt;&lt;wsp:rsid wsp:val=&quot;00ED072A&quot;/&gt;&lt;wsp:rsid wsp:val=&quot;00ED12BC&quot;/&gt;&lt;wsp:rsid wsp:val=&quot;00ED1DB9&quot;/&gt;&lt;wsp:rsid wsp:val=&quot;00ED1E05&quot;/&gt;&lt;wsp:rsid wsp:val=&quot;00ED28D1&quot;/&gt;&lt;wsp:rsid wsp:val=&quot;00ED2E55&quot;/&gt;&lt;wsp:rsid wsp:val=&quot;00ED3BC2&quot;/&gt;&lt;wsp:rsid wsp:val=&quot;00ED5AB5&quot;/&gt;&lt;wsp:rsid wsp:val=&quot;00ED67D6&quot;/&gt;&lt;wsp:rsid wsp:val=&quot;00ED6ED0&quot;/&gt;&lt;wsp:rsid wsp:val=&quot;00EE19B2&quot;/&gt;&lt;wsp:rsid wsp:val=&quot;00EE1B4B&quot;/&gt;&lt;wsp:rsid wsp:val=&quot;00EE37AF&quot;/&gt;&lt;wsp:rsid wsp:val=&quot;00EE3B86&quot;/&gt;&lt;wsp:rsid wsp:val=&quot;00EE57AC&quot;/&gt;&lt;wsp:rsid wsp:val=&quot;00EE5912&quot;/&gt;&lt;wsp:rsid wsp:val=&quot;00EE6024&quot;/&gt;&lt;wsp:rsid wsp:val=&quot;00EE6180&quot;/&gt;&lt;wsp:rsid wsp:val=&quot;00EE642F&quot;/&gt;&lt;wsp:rsid wsp:val=&quot;00EE7971&quot;/&gt;&lt;wsp:rsid wsp:val=&quot;00EF02CA&quot;/&gt;&lt;wsp:rsid wsp:val=&quot;00EF03CC&quot;/&gt;&lt;wsp:rsid wsp:val=&quot;00EF10A3&quot;/&gt;&lt;wsp:rsid wsp:val=&quot;00EF143F&quot;/&gt;&lt;wsp:rsid wsp:val=&quot;00EF1A73&quot;/&gt;&lt;wsp:rsid wsp:val=&quot;00EF1CE5&quot;/&gt;&lt;wsp:rsid wsp:val=&quot;00EF223D&quot;/&gt;&lt;wsp:rsid wsp:val=&quot;00EF2398&quot;/&gt;&lt;wsp:rsid wsp:val=&quot;00EF2674&quot;/&gt;&lt;wsp:rsid wsp:val=&quot;00EF27F5&quot;/&gt;&lt;wsp:rsid wsp:val=&quot;00EF3449&quot;/&gt;&lt;wsp:rsid wsp:val=&quot;00EF3454&quot;/&gt;&lt;wsp:rsid wsp:val=&quot;00EF3F19&quot;/&gt;&lt;wsp:rsid wsp:val=&quot;00EF4796&quot;/&gt;&lt;wsp:rsid wsp:val=&quot;00EF48FE&quot;/&gt;&lt;wsp:rsid wsp:val=&quot;00EF521B&quot;/&gt;&lt;wsp:rsid wsp:val=&quot;00EF53BE&quot;/&gt;&lt;wsp:rsid wsp:val=&quot;00EF56EA&quot;/&gt;&lt;wsp:rsid wsp:val=&quot;00EF759C&quot;/&gt;&lt;wsp:rsid wsp:val=&quot;00EF7F0C&quot;/&gt;&lt;wsp:rsid wsp:val=&quot;00F00B9D&quot;/&gt;&lt;wsp:rsid wsp:val=&quot;00F00F9E&quot;/&gt;&lt;wsp:rsid wsp:val=&quot;00F020C1&quot;/&gt;&lt;wsp:rsid wsp:val=&quot;00F02FF1&quot;/&gt;&lt;wsp:rsid wsp:val=&quot;00F0428C&quot;/&gt;&lt;wsp:rsid wsp:val=&quot;00F0570A&quot;/&gt;&lt;wsp:rsid wsp:val=&quot;00F10114&quot;/&gt;&lt;wsp:rsid wsp:val=&quot;00F11A13&quot;/&gt;&lt;wsp:rsid wsp:val=&quot;00F143E1&quot;/&gt;&lt;wsp:rsid wsp:val=&quot;00F14893&quot;/&gt;&lt;wsp:rsid wsp:val=&quot;00F14EB4&quot;/&gt;&lt;wsp:rsid wsp:val=&quot;00F15AAF&quot;/&gt;&lt;wsp:rsid wsp:val=&quot;00F164EC&quot;/&gt;&lt;wsp:rsid wsp:val=&quot;00F17253&quot;/&gt;&lt;wsp:rsid wsp:val=&quot;00F203D6&quot;/&gt;&lt;wsp:rsid wsp:val=&quot;00F21E6C&quot;/&gt;&lt;wsp:rsid wsp:val=&quot;00F220A9&quot;/&gt;&lt;wsp:rsid wsp:val=&quot;00F22BFC&quot;/&gt;&lt;wsp:rsid wsp:val=&quot;00F25D3C&quot;/&gt;&lt;wsp:rsid wsp:val=&quot;00F25D57&quot;/&gt;&lt;wsp:rsid wsp:val=&quot;00F30F7B&quot;/&gt;&lt;wsp:rsid wsp:val=&quot;00F32A46&quot;/&gt;&lt;wsp:rsid wsp:val=&quot;00F3361F&quot;/&gt;&lt;wsp:rsid wsp:val=&quot;00F33FCA&quot;/&gt;&lt;wsp:rsid wsp:val=&quot;00F34DA9&quot;/&gt;&lt;wsp:rsid wsp:val=&quot;00F353CB&quot;/&gt;&lt;wsp:rsid wsp:val=&quot;00F35950&quot;/&gt;&lt;wsp:rsid wsp:val=&quot;00F35A8D&quot;/&gt;&lt;wsp:rsid wsp:val=&quot;00F35E35&quot;/&gt;&lt;wsp:rsid wsp:val=&quot;00F3635C&quot;/&gt;&lt;wsp:rsid wsp:val=&quot;00F364BC&quot;/&gt;&lt;wsp:rsid wsp:val=&quot;00F3749E&quot;/&gt;&lt;wsp:rsid wsp:val=&quot;00F40258&quot;/&gt;&lt;wsp:rsid wsp:val=&quot;00F40FD8&quot;/&gt;&lt;wsp:rsid wsp:val=&quot;00F4188D&quot;/&gt;&lt;wsp:rsid wsp:val=&quot;00F418ED&quot;/&gt;&lt;wsp:rsid wsp:val=&quot;00F42245&quot;/&gt;&lt;wsp:rsid wsp:val=&quot;00F427B6&quot;/&gt;&lt;wsp:rsid wsp:val=&quot;00F43CF0&quot;/&gt;&lt;wsp:rsid wsp:val=&quot;00F44877&quot;/&gt;&lt;wsp:rsid wsp:val=&quot;00F44B0F&quot;/&gt;&lt;wsp:rsid wsp:val=&quot;00F44E25&quot;/&gt;&lt;wsp:rsid wsp:val=&quot;00F45623&quot;/&gt;&lt;wsp:rsid wsp:val=&quot;00F46058&quot;/&gt;&lt;wsp:rsid wsp:val=&quot;00F46893&quot;/&gt;&lt;wsp:rsid wsp:val=&quot;00F47C3C&quot;/&gt;&lt;wsp:rsid wsp:val=&quot;00F47D47&quot;/&gt;&lt;wsp:rsid wsp:val=&quot;00F5066B&quot;/&gt;&lt;wsp:rsid wsp:val=&quot;00F513CA&quot;/&gt;&lt;wsp:rsid wsp:val=&quot;00F5172E&quot;/&gt;&lt;wsp:rsid wsp:val=&quot;00F51F7D&quot;/&gt;&lt;wsp:rsid wsp:val=&quot;00F53CD6&quot;/&gt;&lt;wsp:rsid wsp:val=&quot;00F5524D&quot;/&gt;&lt;wsp:rsid wsp:val=&quot;00F552A9&quot;/&gt;&lt;wsp:rsid wsp:val=&quot;00F557FA&quot;/&gt;&lt;wsp:rsid wsp:val=&quot;00F55FB3&quot;/&gt;&lt;wsp:rsid wsp:val=&quot;00F57221&quot;/&gt;&lt;wsp:rsid wsp:val=&quot;00F6104A&quot;/&gt;&lt;wsp:rsid wsp:val=&quot;00F61656&quot;/&gt;&lt;wsp:rsid wsp:val=&quot;00F61D3F&quot;/&gt;&lt;wsp:rsid wsp:val=&quot;00F6201F&quot;/&gt;&lt;wsp:rsid wsp:val=&quot;00F63096&quot;/&gt;&lt;wsp:rsid wsp:val=&quot;00F639D0&quot;/&gt;&lt;wsp:rsid wsp:val=&quot;00F63D95&quot;/&gt;&lt;wsp:rsid wsp:val=&quot;00F6435D&quot;/&gt;&lt;wsp:rsid wsp:val=&quot;00F648EB&quot;/&gt;&lt;wsp:rsid wsp:val=&quot;00F64D5E&quot;/&gt;&lt;wsp:rsid wsp:val=&quot;00F667B8&quot;/&gt;&lt;wsp:rsid wsp:val=&quot;00F67762&quot;/&gt;&lt;wsp:rsid wsp:val=&quot;00F70187&quot;/&gt;&lt;wsp:rsid wsp:val=&quot;00F70CA1&quot;/&gt;&lt;wsp:rsid wsp:val=&quot;00F71868&quot;/&gt;&lt;wsp:rsid wsp:val=&quot;00F71A09&quot;/&gt;&lt;wsp:rsid wsp:val=&quot;00F728DF&quot;/&gt;&lt;wsp:rsid wsp:val=&quot;00F7380B&quot;/&gt;&lt;wsp:rsid wsp:val=&quot;00F74FF3&quot;/&gt;&lt;wsp:rsid wsp:val=&quot;00F7596E&quot;/&gt;&lt;wsp:rsid wsp:val=&quot;00F75EA2&quot;/&gt;&lt;wsp:rsid wsp:val=&quot;00F76333&quot;/&gt;&lt;wsp:rsid wsp:val=&quot;00F76B1D&quot;/&gt;&lt;wsp:rsid wsp:val=&quot;00F76BD8&quot;/&gt;&lt;wsp:rsid wsp:val=&quot;00F7723F&quot;/&gt;&lt;wsp:rsid wsp:val=&quot;00F803C2&quot;/&gt;&lt;wsp:rsid wsp:val=&quot;00F8216B&quot;/&gt;&lt;wsp:rsid wsp:val=&quot;00F82927&quot;/&gt;&lt;wsp:rsid wsp:val=&quot;00F82944&quot;/&gt;&lt;wsp:rsid wsp:val=&quot;00F829EB&quot;/&gt;&lt;wsp:rsid wsp:val=&quot;00F844A5&quot;/&gt;&lt;wsp:rsid wsp:val=&quot;00F86A9D&quot;/&gt;&lt;wsp:rsid wsp:val=&quot;00F86AFD&quot;/&gt;&lt;wsp:rsid wsp:val=&quot;00F86B18&quot;/&gt;&lt;wsp:rsid wsp:val=&quot;00F87A3C&quot;/&gt;&lt;wsp:rsid wsp:val=&quot;00F91C3B&quot;/&gt;&lt;wsp:rsid wsp:val=&quot;00F91D5F&quot;/&gt;&lt;wsp:rsid wsp:val=&quot;00F92A27&quot;/&gt;&lt;wsp:rsid wsp:val=&quot;00F92A5E&quot;/&gt;&lt;wsp:rsid wsp:val=&quot;00F93229&quot;/&gt;&lt;wsp:rsid wsp:val=&quot;00F93512&quot;/&gt;&lt;wsp:rsid wsp:val=&quot;00F95200&quot;/&gt;&lt;wsp:rsid wsp:val=&quot;00F957B2&quot;/&gt;&lt;wsp:rsid wsp:val=&quot;00F9603D&quot;/&gt;&lt;wsp:rsid wsp:val=&quot;00F9657E&quot;/&gt;&lt;wsp:rsid wsp:val=&quot;00F96EBC&quot;/&gt;&lt;wsp:rsid wsp:val=&quot;00F96FDD&quot;/&gt;&lt;wsp:rsid wsp:val=&quot;00F97CA3&quot;/&gt;&lt;wsp:rsid wsp:val=&quot;00FA2230&quot;/&gt;&lt;wsp:rsid wsp:val=&quot;00FA22CF&quot;/&gt;&lt;wsp:rsid wsp:val=&quot;00FA32AE&quot;/&gt;&lt;wsp:rsid wsp:val=&quot;00FA7F27&quot;/&gt;&lt;wsp:rsid wsp:val=&quot;00FB026C&quot;/&gt;&lt;wsp:rsid wsp:val=&quot;00FB043C&quot;/&gt;&lt;wsp:rsid wsp:val=&quot;00FB053C&quot;/&gt;&lt;wsp:rsid wsp:val=&quot;00FB0859&quot;/&gt;&lt;wsp:rsid wsp:val=&quot;00FB1253&quot;/&gt;&lt;wsp:rsid wsp:val=&quot;00FB201A&quot;/&gt;&lt;wsp:rsid wsp:val=&quot;00FB28E6&quot;/&gt;&lt;wsp:rsid wsp:val=&quot;00FB3D29&quot;/&gt;&lt;wsp:rsid wsp:val=&quot;00FB3DDF&quot;/&gt;&lt;wsp:rsid wsp:val=&quot;00FB4890&quot;/&gt;&lt;wsp:rsid wsp:val=&quot;00FB5942&quot;/&gt;&lt;wsp:rsid wsp:val=&quot;00FB785C&quot;/&gt;&lt;wsp:rsid wsp:val=&quot;00FC0315&quot;/&gt;&lt;wsp:rsid wsp:val=&quot;00FC0D4D&quot;/&gt;&lt;wsp:rsid wsp:val=&quot;00FC21F4&quot;/&gt;&lt;wsp:rsid wsp:val=&quot;00FC24B5&quot;/&gt;&lt;wsp:rsid wsp:val=&quot;00FC27CB&quot;/&gt;&lt;wsp:rsid wsp:val=&quot;00FC2BC6&quot;/&gt;&lt;wsp:rsid wsp:val=&quot;00FC2C33&quot;/&gt;&lt;wsp:rsid wsp:val=&quot;00FC398F&quot;/&gt;&lt;wsp:rsid wsp:val=&quot;00FC3C23&quot;/&gt;&lt;wsp:rsid wsp:val=&quot;00FC3E39&quot;/&gt;&lt;wsp:rsid wsp:val=&quot;00FC5447&quot;/&gt;&lt;wsp:rsid wsp:val=&quot;00FC5642&quot;/&gt;&lt;wsp:rsid wsp:val=&quot;00FC5CD1&quot;/&gt;&lt;wsp:rsid wsp:val=&quot;00FC5E08&quot;/&gt;&lt;wsp:rsid wsp:val=&quot;00FC7F76&quot;/&gt;&lt;wsp:rsid wsp:val=&quot;00FD01AA&quot;/&gt;&lt;wsp:rsid wsp:val=&quot;00FD064D&quot;/&gt;&lt;wsp:rsid wsp:val=&quot;00FD0A85&quot;/&gt;&lt;wsp:rsid wsp:val=&quot;00FD0FC1&quot;/&gt;&lt;wsp:rsid wsp:val=&quot;00FD36DE&quot;/&gt;&lt;wsp:rsid wsp:val=&quot;00FD3B83&quot;/&gt;&lt;wsp:rsid wsp:val=&quot;00FD3BCC&quot;/&gt;&lt;wsp:rsid wsp:val=&quot;00FD3E7C&quot;/&gt;&lt;wsp:rsid wsp:val=&quot;00FD515C&quot;/&gt;&lt;wsp:rsid wsp:val=&quot;00FE085D&quot;/&gt;&lt;wsp:rsid wsp:val=&quot;00FE0BDB&quot;/&gt;&lt;wsp:rsid wsp:val=&quot;00FE25BA&quot;/&gt;&lt;wsp:rsid wsp:val=&quot;00FE2BA2&quot;/&gt;&lt;wsp:rsid wsp:val=&quot;00FE2D0F&quot;/&gt;&lt;wsp:rsid wsp:val=&quot;00FE353A&quot;/&gt;&lt;wsp:rsid wsp:val=&quot;00FE4327&quot;/&gt;&lt;wsp:rsid wsp:val=&quot;00FE43C5&quot;/&gt;&lt;wsp:rsid wsp:val=&quot;00FE466C&quot;/&gt;&lt;wsp:rsid wsp:val=&quot;00FE4920&quot;/&gt;&lt;wsp:rsid wsp:val=&quot;00FE4A69&quot;/&gt;&lt;wsp:rsid wsp:val=&quot;00FE5413&quot;/&gt;&lt;wsp:rsid wsp:val=&quot;00FE5930&quot;/&gt;&lt;wsp:rsid wsp:val=&quot;00FE5F5B&quot;/&gt;&lt;wsp:rsid wsp:val=&quot;00FE60F7&quot;/&gt;&lt;wsp:rsid wsp:val=&quot;00FE6671&quot;/&gt;&lt;wsp:rsid wsp:val=&quot;00FE68AE&quot;/&gt;&lt;wsp:rsid wsp:val=&quot;00FE6FEE&quot;/&gt;&lt;wsp:rsid wsp:val=&quot;00FE79C0&quot;/&gt;&lt;wsp:rsid wsp:val=&quot;00FF0221&quot;/&gt;&lt;wsp:rsid wsp:val=&quot;00FF0E6C&quot;/&gt;&lt;wsp:rsid wsp:val=&quot;00FF1F5A&quot;/&gt;&lt;wsp:rsid wsp:val=&quot;00FF21BA&quot;/&gt;&lt;wsp:rsid wsp:val=&quot;00FF3578&quot;/&gt;&lt;wsp:rsid wsp:val=&quot;00FF37A2&quot;/&gt;&lt;wsp:rsid wsp:val=&quot;00FF4472&quot;/&gt;&lt;wsp:rsid wsp:val=&quot;00FF449A&quot;/&gt;&lt;wsp:rsid wsp:val=&quot;00FF4E66&quot;/&gt;&lt;wsp:rsid wsp:val=&quot;00FF52AF&quot;/&gt;&lt;wsp:rsid wsp:val=&quot;00FF53AC&quot;/&gt;&lt;wsp:rsid wsp:val=&quot;00FF6DC6&quot;/&gt;&lt;wsp:rsid wsp:val=&quot;00FF6FF5&quot;/&gt;&lt;wsp:rsid wsp:val=&quot;00FF715C&quot;/&gt;&lt;wsp:rsid wsp:val=&quot;00FF7669&quot;/&gt;&lt;/wsp:rsids&gt;&lt;/w:docPr&gt;&lt;w:body&gt;&lt;wx:sect&gt;&lt;w:p wsp:rsidR=&quot;00000000&quot; wsp:rsidRDefault=&quot;003E5C61&quot; wsp:rsidP=&quot;003E5C61&quot;&gt;&lt;m:oMathPara&gt;&lt;m:oMath&gt;&lt;m:sSub&gt;&lt;m:sSubPr&gt;&lt;m:ctrlPr&gt;&lt;w:rPr&gt;&lt;w:rFonts w:ascii=&quot;Cambria Math&quot; w:h-ansi=&quot;Cambria Math&quot;/&gt;&lt;wx:font wx:val=&quot;Cambria Math&quot;/&gt;&lt;w:i/&gt;&lt;w:sz w:val=&quot;24&quot;/&gt;&lt;/w:rPr&gt;&lt;/m:ctrlPr&gt;&lt;/m:sSubPr&gt;&lt;m:e&gt;&lt;m:r&gt;&lt;w:rPr&gt;&lt;w:rFonts w:ascii=&quot;Cambria Math&quot; w:h-ansi=&quot;Cambria Math&quot;/&gt;&lt;wx:font wx:val=&quot;Cambria Math&quot;/&gt;&lt;w:i/&gt;&lt;w:sz w:val=&quot;24&quot;/&gt;&lt;/w:rPr&gt;&lt;m:t&gt;C&lt;/m:t&gt;&lt;/m:r&gt;&lt;/m:e&gt;&lt;m:sub&gt;&lt;m:r&gt;&lt;w:rPr&gt;&lt;w:rFonts w:ascii=&quot;Cambria Math&quot; w:h-ansi=&quot;Cambria Math&quot;/&gt;&lt;wx:font wx:val=&quot;Cambria Math&quot;/&gt;&lt;w:i/&gt;&lt;w:sz w:val=&quot;24&quot;/&gt;&lt;/w:rPr&gt;&lt;m:t&gt;0i&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
            <v:path/>
            <v:fill on="f" focussize="0,0"/>
            <v:stroke on="f"/>
            <v:imagedata r:id="rId41" chromakey="#FFFFFF" o:title=""/>
            <o:lock v:ext="edit" aspectratio="t"/>
            <w10:wrap type="none"/>
            <w10:anchorlock/>
          </v:shape>
        </w:pict>
      </w:r>
      <w:r>
        <w:rPr>
          <w:rFonts w:hint="default" w:ascii="Times New Roman" w:hAnsi="Times New Roman" w:eastAsia="宋体" w:cs="Times New Roman"/>
          <w:color w:val="auto"/>
          <w:sz w:val="24"/>
          <w:szCs w:val="28"/>
        </w:rPr>
        <w:fldChar w:fldCharType="end"/>
      </w:r>
      <w:r>
        <w:rPr>
          <w:rFonts w:hint="default" w:ascii="Times New Roman" w:hAnsi="Times New Roman" w:eastAsia="宋体" w:cs="Times New Roman"/>
          <w:color w:val="auto"/>
          <w:sz w:val="24"/>
          <w:szCs w:val="28"/>
        </w:rPr>
        <w:t>——第i个污染物的环境空气质量浓度标准，μg/m</w:t>
      </w:r>
      <w:r>
        <w:rPr>
          <w:rFonts w:hint="default" w:ascii="Times New Roman" w:hAnsi="Times New Roman" w:eastAsia="宋体" w:cs="Times New Roman"/>
          <w:color w:val="auto"/>
          <w:sz w:val="24"/>
          <w:szCs w:val="28"/>
          <w:vertAlign w:val="superscript"/>
        </w:rPr>
        <w:t>3</w:t>
      </w:r>
      <w:r>
        <w:rPr>
          <w:rFonts w:hint="default" w:ascii="Times New Roman" w:hAnsi="Times New Roman" w:eastAsia="宋体" w:cs="Times New Roman"/>
          <w:color w:val="auto"/>
          <w:sz w:val="24"/>
          <w:szCs w:val="28"/>
        </w:rPr>
        <w:t>。</w:t>
      </w:r>
    </w:p>
    <w:p>
      <w:pPr>
        <w:keepNext w:val="0"/>
        <w:keepLines w:val="0"/>
        <w:pageBreakBefore w:val="0"/>
        <w:widowControl w:val="0"/>
        <w:kinsoku/>
        <w:wordWrap/>
        <w:overflowPunct/>
        <w:topLinePunct w:val="0"/>
        <w:autoSpaceDE/>
        <w:autoSpaceDN/>
        <w:bidi w:val="0"/>
        <w:adjustRightInd/>
        <w:snapToGrid/>
        <w:spacing w:line="500" w:lineRule="exact"/>
        <w:ind w:left="480"/>
        <w:textAlignment w:val="auto"/>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t>①评价等级判别表</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宋体" w:cs="Times New Roman"/>
          <w:color w:val="auto"/>
          <w:sz w:val="24"/>
          <w:szCs w:val="28"/>
        </w:rPr>
      </w:pPr>
      <w:r>
        <w:rPr>
          <w:rFonts w:hint="default" w:ascii="Times New Roman" w:hAnsi="Times New Roman" w:eastAsia="宋体" w:cs="Times New Roman"/>
          <w:color w:val="auto"/>
          <w:sz w:val="24"/>
          <w:szCs w:val="28"/>
        </w:rPr>
        <w:t>评价等级按下表-</w:t>
      </w:r>
      <w:r>
        <w:rPr>
          <w:rFonts w:hint="eastAsia" w:ascii="Times New Roman" w:hAnsi="Times New Roman" w:eastAsia="宋体" w:cs="Times New Roman"/>
          <w:color w:val="auto"/>
          <w:sz w:val="24"/>
          <w:szCs w:val="28"/>
          <w:lang w:val="en-US" w:eastAsia="zh-CN"/>
        </w:rPr>
        <w:t>2</w:t>
      </w:r>
      <w:r>
        <w:rPr>
          <w:rFonts w:hint="default" w:ascii="Times New Roman" w:hAnsi="Times New Roman" w:eastAsia="宋体" w:cs="Times New Roman"/>
          <w:color w:val="auto"/>
          <w:sz w:val="24"/>
          <w:szCs w:val="28"/>
        </w:rPr>
        <w:t>的分级判据进行划分。</w:t>
      </w:r>
    </w:p>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rPr>
        <w:t xml:space="preserve">   评价等级判别表</w:t>
      </w:r>
    </w:p>
    <w:tbl>
      <w:tblPr>
        <w:tblStyle w:val="26"/>
        <w:tblW w:w="0" w:type="auto"/>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0"/>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50"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评价工作等级</w:t>
            </w:r>
          </w:p>
        </w:tc>
        <w:tc>
          <w:tcPr>
            <w:tcW w:w="4621"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评价工作分级判据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50"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一级评价</w:t>
            </w:r>
          </w:p>
        </w:tc>
        <w:tc>
          <w:tcPr>
            <w:tcW w:w="4621"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Pmax≧10%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50"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二级评价</w:t>
            </w:r>
          </w:p>
        </w:tc>
        <w:tc>
          <w:tcPr>
            <w:tcW w:w="4621"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1%≦Pmax&lt;10%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50"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三级评价</w:t>
            </w:r>
          </w:p>
        </w:tc>
        <w:tc>
          <w:tcPr>
            <w:tcW w:w="4621" w:type="dxa"/>
            <w:noWrap w:val="0"/>
            <w:vAlign w:val="center"/>
          </w:tcPr>
          <w:p>
            <w:pPr>
              <w:spacing w:line="30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Pmax&lt;1%</w:t>
            </w:r>
          </w:p>
        </w:tc>
      </w:tr>
    </w:tbl>
    <w:p>
      <w:pPr>
        <w:spacing w:line="500" w:lineRule="exact"/>
        <w:ind w:left="480"/>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②污染物评价标准</w:t>
      </w:r>
    </w:p>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污染物评价标准和来源见表-</w:t>
      </w: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p>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3</w:t>
      </w:r>
      <w:r>
        <w:rPr>
          <w:rFonts w:hint="default" w:ascii="Times New Roman" w:hAnsi="Times New Roman" w:eastAsia="宋体" w:cs="Times New Roman"/>
          <w:bCs/>
          <w:color w:val="auto"/>
          <w:sz w:val="24"/>
        </w:rPr>
        <w:t xml:space="preserve">  污染物评价标准</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1430"/>
        <w:gridCol w:w="1530"/>
        <w:gridCol w:w="1111"/>
        <w:gridCol w:w="3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污染物名称</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功能区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取值时间</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标准值</w:t>
            </w:r>
            <w:bookmarkStart w:id="21" w:name="OLE_LINK14"/>
            <w:bookmarkStart w:id="22" w:name="OLE_LINK15"/>
            <w:r>
              <w:rPr>
                <w:rFonts w:hint="default" w:ascii="Times New Roman" w:hAnsi="Times New Roman" w:eastAsia="宋体" w:cs="Times New Roman"/>
                <w:color w:val="auto"/>
                <w:szCs w:val="21"/>
              </w:rPr>
              <w:t>(μg/m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bookmarkEnd w:id="21"/>
            <w:bookmarkEnd w:id="22"/>
          </w:p>
        </w:tc>
        <w:tc>
          <w:tcPr>
            <w:tcW w:w="3416"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10</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24小时平均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150</w:t>
            </w:r>
          </w:p>
        </w:tc>
        <w:tc>
          <w:tcPr>
            <w:tcW w:w="3416" w:type="dxa"/>
            <w:vMerge w:val="restart"/>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GB 3095-2012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SO</w:t>
            </w:r>
            <w:r>
              <w:rPr>
                <w:rFonts w:hint="default" w:ascii="Times New Roman" w:hAnsi="Times New Roman" w:eastAsia="宋体" w:cs="Times New Roman"/>
                <w:color w:val="auto"/>
                <w:szCs w:val="21"/>
                <w:vertAlign w:val="subscript"/>
              </w:rPr>
              <w:t>2</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500</w:t>
            </w:r>
          </w:p>
        </w:tc>
        <w:tc>
          <w:tcPr>
            <w:tcW w:w="3416" w:type="dxa"/>
            <w:vMerge w:val="continue"/>
            <w:noWrap w:val="0"/>
            <w:vAlign w:val="center"/>
          </w:tcPr>
          <w:p>
            <w:pPr>
              <w:spacing w:line="320" w:lineRule="exact"/>
              <w:jc w:val="center"/>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NO</w:t>
            </w:r>
            <w:r>
              <w:rPr>
                <w:rFonts w:hint="default" w:ascii="Times New Roman" w:hAnsi="Times New Roman" w:eastAsia="宋体" w:cs="Times New Roman"/>
                <w:color w:val="auto"/>
                <w:szCs w:val="21"/>
                <w:vertAlign w:val="subscript"/>
              </w:rPr>
              <w:t>x</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250</w:t>
            </w:r>
          </w:p>
        </w:tc>
        <w:tc>
          <w:tcPr>
            <w:tcW w:w="3416" w:type="dxa"/>
            <w:vMerge w:val="continue"/>
            <w:noWrap w:val="0"/>
            <w:vAlign w:val="center"/>
          </w:tcPr>
          <w:p>
            <w:pPr>
              <w:spacing w:line="320" w:lineRule="exact"/>
              <w:jc w:val="center"/>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苯并[a]芘</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24小时平均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0.0025</w:t>
            </w:r>
          </w:p>
        </w:tc>
        <w:tc>
          <w:tcPr>
            <w:tcW w:w="3416" w:type="dxa"/>
            <w:vMerge w:val="continue"/>
            <w:noWrap w:val="0"/>
            <w:vAlign w:val="center"/>
          </w:tcPr>
          <w:p>
            <w:pPr>
              <w:spacing w:line="320" w:lineRule="exact"/>
              <w:jc w:val="center"/>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沥青烟</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63.7</w:t>
            </w:r>
          </w:p>
        </w:tc>
        <w:tc>
          <w:tcPr>
            <w:tcW w:w="3416"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《大气污染物综合排放标准详解》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53" w:type="dxa"/>
            <w:noWrap w:val="0"/>
            <w:vAlign w:val="center"/>
          </w:tcPr>
          <w:p>
            <w:pPr>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非甲烷总烃</w:t>
            </w:r>
          </w:p>
        </w:tc>
        <w:tc>
          <w:tcPr>
            <w:tcW w:w="14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二类区</w:t>
            </w:r>
          </w:p>
        </w:tc>
        <w:tc>
          <w:tcPr>
            <w:tcW w:w="1530"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1小时平均</w:t>
            </w:r>
          </w:p>
        </w:tc>
        <w:tc>
          <w:tcPr>
            <w:tcW w:w="1111" w:type="dxa"/>
            <w:noWrap w:val="0"/>
            <w:vAlign w:val="center"/>
          </w:tcPr>
          <w:p>
            <w:pPr>
              <w:spacing w:line="32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2000</w:t>
            </w:r>
          </w:p>
        </w:tc>
        <w:tc>
          <w:tcPr>
            <w:tcW w:w="3416" w:type="dxa"/>
            <w:noWrap w:val="0"/>
            <w:vAlign w:val="center"/>
          </w:tcPr>
          <w:p>
            <w:pPr>
              <w:keepNext w:val="0"/>
              <w:keepLines w:val="0"/>
              <w:pageBreakBefore w:val="0"/>
              <w:widowControl w:val="0"/>
              <w:kinsoku/>
              <w:wordWrap w:val="0"/>
              <w:overflowPunct/>
              <w:topLinePunct w:val="0"/>
              <w:autoSpaceDE/>
              <w:autoSpaceDN/>
              <w:bidi w:val="0"/>
              <w:adjustRightInd/>
              <w:snapToGrid/>
              <w:spacing w:line="320" w:lineRule="exact"/>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河北省地方标准</w:t>
            </w:r>
            <w:r>
              <w:rPr>
                <w:rFonts w:hint="eastAsia"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rPr>
              <w:t>DB13/1577-2012</w:t>
            </w:r>
            <w:r>
              <w:rPr>
                <w:rFonts w:hint="eastAsia" w:ascii="Times New Roman" w:hAnsi="Times New Roman" w:eastAsia="宋体" w:cs="Times New Roman"/>
                <w:color w:val="auto"/>
                <w:szCs w:val="21"/>
                <w:lang w:eastAsia="zh-CN"/>
              </w:rPr>
              <w:t>）</w:t>
            </w:r>
          </w:p>
        </w:tc>
      </w:tr>
    </w:tbl>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⑶污染源参数</w:t>
      </w:r>
    </w:p>
    <w:p>
      <w:pPr>
        <w:spacing w:line="46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估算模式参数取值见表-</w:t>
      </w: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；主要废气污染源排放参数见表-</w:t>
      </w:r>
      <w:r>
        <w:rPr>
          <w:rFonts w:hint="eastAsia"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w:t>
      </w:r>
    </w:p>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4</w:t>
      </w:r>
      <w:r>
        <w:rPr>
          <w:rFonts w:hint="default" w:ascii="Times New Roman" w:hAnsi="Times New Roman" w:eastAsia="宋体" w:cs="Times New Roman"/>
          <w:bCs/>
          <w:color w:val="auto"/>
          <w:sz w:val="24"/>
        </w:rPr>
        <w:t xml:space="preserve">  估算模型参数表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725"/>
        <w:gridCol w:w="3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90" w:type="dxa"/>
            <w:gridSpan w:val="2"/>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参数</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取值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restart"/>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城市农村/选项</w:t>
            </w: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城市/农村</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continue"/>
            <w:noWrap w:val="0"/>
            <w:vAlign w:val="center"/>
          </w:tcPr>
          <w:p>
            <w:pPr>
              <w:spacing w:line="320" w:lineRule="exact"/>
              <w:jc w:val="center"/>
              <w:rPr>
                <w:rFonts w:hint="default" w:ascii="Times New Roman" w:hAnsi="Times New Roman" w:eastAsia="宋体" w:cs="Times New Roman"/>
                <w:color w:val="auto"/>
                <w:szCs w:val="21"/>
              </w:rPr>
            </w:pP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人口数(城市人口数)</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90" w:type="dxa"/>
            <w:gridSpan w:val="2"/>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最高环境温度</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r>
              <w:rPr>
                <w:rFonts w:hint="eastAsia" w:ascii="Times New Roman" w:hAnsi="Times New Roman" w:eastAsia="宋体" w:cs="Times New Roman"/>
                <w:color w:val="auto"/>
                <w:szCs w:val="21"/>
                <w:lang w:val="en-US" w:eastAsia="zh-CN"/>
              </w:rPr>
              <w:t>8.5</w:t>
            </w:r>
            <w:r>
              <w:rPr>
                <w:rFonts w:hint="default" w:ascii="Times New Roman" w:hAnsi="Times New Roman" w:eastAsia="宋体" w:cs="Times New Roman"/>
                <w:color w:val="auto"/>
                <w:szCs w:val="21"/>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90" w:type="dxa"/>
            <w:gridSpan w:val="2"/>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最低环境温度</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r>
              <w:rPr>
                <w:rFonts w:hint="eastAsia" w:ascii="Times New Roman" w:hAnsi="Times New Roman" w:eastAsia="宋体" w:cs="Times New Roman"/>
                <w:color w:val="auto"/>
                <w:szCs w:val="21"/>
                <w:lang w:val="en-US" w:eastAsia="zh-CN"/>
              </w:rPr>
              <w:t>4.2</w:t>
            </w:r>
            <w:r>
              <w:rPr>
                <w:rFonts w:hint="default" w:ascii="Times New Roman" w:hAnsi="Times New Roman" w:eastAsia="宋体" w:cs="Times New Roman"/>
                <w:color w:val="auto"/>
                <w:szCs w:val="21"/>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90" w:type="dxa"/>
            <w:gridSpan w:val="2"/>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土地利用类型</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090" w:type="dxa"/>
            <w:gridSpan w:val="2"/>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区域湿度条件</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中等湿度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restart"/>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是否考虑地形</w:t>
            </w: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考虑地形</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continue"/>
            <w:noWrap w:val="0"/>
            <w:vAlign w:val="center"/>
          </w:tcPr>
          <w:p>
            <w:pPr>
              <w:spacing w:line="320" w:lineRule="exact"/>
              <w:jc w:val="center"/>
              <w:rPr>
                <w:rFonts w:hint="default" w:ascii="Times New Roman" w:hAnsi="Times New Roman" w:eastAsia="宋体" w:cs="Times New Roman"/>
                <w:color w:val="auto"/>
                <w:szCs w:val="21"/>
              </w:rPr>
            </w:pP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地形数据分辨率(m)</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restart"/>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是否考虑海岸线熏烟</w:t>
            </w: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考虑海岸线熏烟</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continue"/>
            <w:noWrap w:val="0"/>
            <w:vAlign w:val="center"/>
          </w:tcPr>
          <w:p>
            <w:pPr>
              <w:spacing w:line="320" w:lineRule="exact"/>
              <w:jc w:val="center"/>
              <w:rPr>
                <w:rFonts w:hint="default" w:ascii="Times New Roman" w:hAnsi="Times New Roman" w:eastAsia="宋体" w:cs="Times New Roman"/>
                <w:color w:val="auto"/>
                <w:szCs w:val="21"/>
              </w:rPr>
            </w:pP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海岸线距离/km</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365" w:type="dxa"/>
            <w:vMerge w:val="continue"/>
            <w:noWrap w:val="0"/>
            <w:vAlign w:val="center"/>
          </w:tcPr>
          <w:p>
            <w:pPr>
              <w:spacing w:line="320" w:lineRule="exact"/>
              <w:jc w:val="center"/>
              <w:rPr>
                <w:rFonts w:hint="default" w:ascii="Times New Roman" w:hAnsi="Times New Roman" w:eastAsia="宋体" w:cs="Times New Roman"/>
                <w:color w:val="auto"/>
                <w:szCs w:val="21"/>
              </w:rPr>
            </w:pPr>
          </w:p>
        </w:tc>
        <w:tc>
          <w:tcPr>
            <w:tcW w:w="2725"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海岸线方向/</w:t>
            </w:r>
            <w:r>
              <w:rPr>
                <w:rFonts w:hint="default" w:ascii="Times New Roman" w:hAnsi="Times New Roman" w:eastAsia="宋体" w:cs="Times New Roman"/>
                <w:color w:val="auto"/>
                <w:szCs w:val="21"/>
                <w:vertAlign w:val="superscript"/>
              </w:rPr>
              <w:t>o</w:t>
            </w:r>
          </w:p>
        </w:tc>
        <w:tc>
          <w:tcPr>
            <w:tcW w:w="3667" w:type="dxa"/>
            <w:noWrap w:val="0"/>
            <w:vAlign w:val="center"/>
          </w:tcPr>
          <w:p>
            <w:pPr>
              <w:spacing w:line="32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r>
    </w:tbl>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5</w:t>
      </w:r>
      <w:r>
        <w:rPr>
          <w:rFonts w:hint="default" w:ascii="Times New Roman" w:hAnsi="Times New Roman" w:eastAsia="宋体" w:cs="Times New Roman"/>
          <w:bCs/>
          <w:color w:val="auto"/>
          <w:sz w:val="24"/>
        </w:rPr>
        <w:t xml:space="preserve">  主要废气污染源参数一览表</w:t>
      </w:r>
    </w:p>
    <w:tbl>
      <w:tblPr>
        <w:tblStyle w:val="26"/>
        <w:tblW w:w="8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21"/>
        <w:gridCol w:w="1110"/>
        <w:gridCol w:w="1109"/>
        <w:gridCol w:w="836"/>
        <w:gridCol w:w="520"/>
        <w:gridCol w:w="477"/>
        <w:gridCol w:w="580"/>
        <w:gridCol w:w="531"/>
        <w:gridCol w:w="950"/>
        <w:gridCol w:w="626"/>
        <w:gridCol w:w="4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5" w:hRule="atLeast"/>
        </w:trPr>
        <w:tc>
          <w:tcPr>
            <w:tcW w:w="1521" w:type="dxa"/>
            <w:vMerge w:val="restart"/>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污染源名称</w:t>
            </w:r>
          </w:p>
        </w:tc>
        <w:tc>
          <w:tcPr>
            <w:tcW w:w="2219" w:type="dxa"/>
            <w:gridSpan w:val="2"/>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排气筒底部中心坐标(o)</w:t>
            </w:r>
          </w:p>
        </w:tc>
        <w:tc>
          <w:tcPr>
            <w:tcW w:w="836" w:type="dxa"/>
            <w:vMerge w:val="restart"/>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排气筒底部海拔高度(m)</w:t>
            </w:r>
          </w:p>
        </w:tc>
        <w:tc>
          <w:tcPr>
            <w:tcW w:w="2108" w:type="dxa"/>
            <w:gridSpan w:val="4"/>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排气筒参数</w:t>
            </w:r>
          </w:p>
        </w:tc>
        <w:tc>
          <w:tcPr>
            <w:tcW w:w="950" w:type="dxa"/>
            <w:vMerge w:val="restart"/>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污染物名称</w:t>
            </w:r>
          </w:p>
        </w:tc>
        <w:tc>
          <w:tcPr>
            <w:tcW w:w="626" w:type="dxa"/>
            <w:vMerge w:val="restart"/>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排放速率</w:t>
            </w:r>
          </w:p>
        </w:tc>
        <w:tc>
          <w:tcPr>
            <w:tcW w:w="457" w:type="dxa"/>
            <w:vMerge w:val="restart"/>
            <w:noWrap w:val="0"/>
            <w:vAlign w:val="center"/>
          </w:tcPr>
          <w:p>
            <w:pPr>
              <w:snapToGrid w:val="0"/>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93" w:hRule="atLeast"/>
        </w:trPr>
        <w:tc>
          <w:tcPr>
            <w:tcW w:w="1521"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1110"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经度</w:t>
            </w:r>
          </w:p>
        </w:tc>
        <w:tc>
          <w:tcPr>
            <w:tcW w:w="1109"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纬度</w:t>
            </w:r>
          </w:p>
        </w:tc>
        <w:tc>
          <w:tcPr>
            <w:tcW w:w="836"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520"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高度</w:t>
            </w:r>
          </w:p>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(m)</w:t>
            </w:r>
          </w:p>
        </w:tc>
        <w:tc>
          <w:tcPr>
            <w:tcW w:w="477"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内径</w:t>
            </w:r>
          </w:p>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(m)</w:t>
            </w:r>
          </w:p>
        </w:tc>
        <w:tc>
          <w:tcPr>
            <w:tcW w:w="580"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温度</w:t>
            </w:r>
          </w:p>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p>
        </w:tc>
        <w:tc>
          <w:tcPr>
            <w:tcW w:w="531"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流速</w:t>
            </w:r>
          </w:p>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(m/s)</w:t>
            </w:r>
          </w:p>
        </w:tc>
        <w:tc>
          <w:tcPr>
            <w:tcW w:w="950"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626"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457" w:type="dxa"/>
            <w:vMerge w:val="continue"/>
            <w:noWrap w:val="0"/>
            <w:vAlign w:val="center"/>
          </w:tcPr>
          <w:p>
            <w:pPr>
              <w:spacing w:line="240" w:lineRule="exact"/>
              <w:jc w:val="center"/>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1" w:hRule="atLeast"/>
        </w:trPr>
        <w:tc>
          <w:tcPr>
            <w:tcW w:w="1521" w:type="dxa"/>
            <w:vMerge w:val="restart"/>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导热油炉</w:t>
            </w:r>
          </w:p>
        </w:tc>
        <w:tc>
          <w:tcPr>
            <w:tcW w:w="1110" w:type="dxa"/>
            <w:vMerge w:val="restart"/>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110.626241</w:t>
            </w:r>
          </w:p>
        </w:tc>
        <w:tc>
          <w:tcPr>
            <w:tcW w:w="1109" w:type="dxa"/>
            <w:vMerge w:val="restart"/>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36.444638</w:t>
            </w:r>
          </w:p>
        </w:tc>
        <w:tc>
          <w:tcPr>
            <w:tcW w:w="836"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640</w:t>
            </w:r>
          </w:p>
        </w:tc>
        <w:tc>
          <w:tcPr>
            <w:tcW w:w="520" w:type="dxa"/>
            <w:vMerge w:val="restart"/>
            <w:noWrap w:val="0"/>
            <w:vAlign w:val="center"/>
          </w:tcPr>
          <w:p>
            <w:pPr>
              <w:jc w:val="center"/>
              <w:rPr>
                <w:rFonts w:hint="default" w:ascii="Times New Roman" w:hAnsi="Times New Roman" w:eastAsia="宋体" w:cs="Times New Roman"/>
                <w:color w:val="auto"/>
              </w:rPr>
            </w:pPr>
            <w:r>
              <w:rPr>
                <w:rFonts w:hint="default" w:ascii="Times New Roman" w:hAnsi="Times New Roman" w:eastAsia="宋体" w:cs="Times New Roman"/>
                <w:color w:val="auto"/>
              </w:rPr>
              <w:t>15</w:t>
            </w:r>
          </w:p>
        </w:tc>
        <w:tc>
          <w:tcPr>
            <w:tcW w:w="477" w:type="dxa"/>
            <w:vMerge w:val="restart"/>
            <w:noWrap w:val="0"/>
            <w:vAlign w:val="center"/>
          </w:tcPr>
          <w:p>
            <w:pPr>
              <w:jc w:val="center"/>
              <w:rPr>
                <w:rFonts w:hint="default" w:ascii="Times New Roman" w:hAnsi="Times New Roman" w:eastAsia="宋体" w:cs="Times New Roman"/>
                <w:color w:val="auto"/>
              </w:rPr>
            </w:pPr>
            <w:r>
              <w:rPr>
                <w:rFonts w:hint="default" w:ascii="Times New Roman" w:hAnsi="Times New Roman" w:eastAsia="宋体" w:cs="Times New Roman"/>
                <w:color w:val="auto"/>
              </w:rPr>
              <w:t>0.3</w:t>
            </w:r>
          </w:p>
        </w:tc>
        <w:tc>
          <w:tcPr>
            <w:tcW w:w="580" w:type="dxa"/>
            <w:vMerge w:val="restart"/>
            <w:noWrap w:val="0"/>
            <w:vAlign w:val="center"/>
          </w:tcPr>
          <w:p>
            <w:pPr>
              <w:jc w:val="center"/>
              <w:rPr>
                <w:rFonts w:hint="default" w:ascii="Times New Roman" w:hAnsi="Times New Roman" w:eastAsia="宋体" w:cs="Times New Roman"/>
                <w:color w:val="auto"/>
              </w:rPr>
            </w:pPr>
            <w:r>
              <w:rPr>
                <w:rFonts w:hint="default" w:ascii="Times New Roman" w:hAnsi="Times New Roman" w:eastAsia="宋体" w:cs="Times New Roman"/>
                <w:color w:val="auto"/>
              </w:rPr>
              <w:t>70.0</w:t>
            </w:r>
          </w:p>
        </w:tc>
        <w:tc>
          <w:tcPr>
            <w:tcW w:w="531"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8.54</w:t>
            </w:r>
          </w:p>
        </w:tc>
        <w:tc>
          <w:tcPr>
            <w:tcW w:w="950"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10</w:t>
            </w:r>
          </w:p>
        </w:tc>
        <w:tc>
          <w:tcPr>
            <w:tcW w:w="626" w:type="dxa"/>
            <w:noWrap w:val="0"/>
            <w:vAlign w:val="center"/>
          </w:tcPr>
          <w:p>
            <w:pPr>
              <w:spacing w:line="24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0.02</w:t>
            </w:r>
            <w:r>
              <w:rPr>
                <w:rFonts w:hint="eastAsia" w:ascii="Times New Roman" w:hAnsi="Times New Roman" w:eastAsia="宋体" w:cs="Times New Roman"/>
                <w:color w:val="auto"/>
                <w:szCs w:val="21"/>
                <w:lang w:val="en-US" w:eastAsia="zh-CN"/>
              </w:rPr>
              <w:t>2</w:t>
            </w:r>
          </w:p>
        </w:tc>
        <w:tc>
          <w:tcPr>
            <w:tcW w:w="457"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1" w:hRule="atLeast"/>
        </w:trPr>
        <w:tc>
          <w:tcPr>
            <w:tcW w:w="1521"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1110" w:type="dxa"/>
            <w:vMerge w:val="continue"/>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1109" w:type="dxa"/>
            <w:vMerge w:val="continue"/>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836" w:type="dxa"/>
            <w:vMerge w:val="continue"/>
            <w:noWrap w:val="0"/>
            <w:vAlign w:val="center"/>
          </w:tcPr>
          <w:p>
            <w:pPr>
              <w:jc w:val="center"/>
              <w:rPr>
                <w:rFonts w:hint="default" w:ascii="Times New Roman" w:hAnsi="Times New Roman" w:eastAsia="宋体" w:cs="Times New Roman"/>
                <w:color w:val="auto"/>
              </w:rPr>
            </w:pPr>
          </w:p>
        </w:tc>
        <w:tc>
          <w:tcPr>
            <w:tcW w:w="520" w:type="dxa"/>
            <w:vMerge w:val="continue"/>
            <w:noWrap w:val="0"/>
            <w:vAlign w:val="center"/>
          </w:tcPr>
          <w:p>
            <w:pPr>
              <w:jc w:val="center"/>
              <w:rPr>
                <w:rFonts w:hint="default" w:ascii="Times New Roman" w:hAnsi="Times New Roman" w:eastAsia="宋体" w:cs="Times New Roman"/>
                <w:color w:val="auto"/>
              </w:rPr>
            </w:pPr>
          </w:p>
        </w:tc>
        <w:tc>
          <w:tcPr>
            <w:tcW w:w="477" w:type="dxa"/>
            <w:vMerge w:val="continue"/>
            <w:noWrap w:val="0"/>
            <w:vAlign w:val="center"/>
          </w:tcPr>
          <w:p>
            <w:pPr>
              <w:jc w:val="center"/>
              <w:rPr>
                <w:rFonts w:hint="default" w:ascii="Times New Roman" w:hAnsi="Times New Roman" w:eastAsia="宋体" w:cs="Times New Roman"/>
                <w:color w:val="auto"/>
              </w:rPr>
            </w:pPr>
          </w:p>
        </w:tc>
        <w:tc>
          <w:tcPr>
            <w:tcW w:w="580" w:type="dxa"/>
            <w:vMerge w:val="continue"/>
            <w:noWrap w:val="0"/>
            <w:vAlign w:val="center"/>
          </w:tcPr>
          <w:p>
            <w:pPr>
              <w:jc w:val="center"/>
              <w:rPr>
                <w:rFonts w:hint="default" w:ascii="Times New Roman" w:hAnsi="Times New Roman" w:eastAsia="宋体" w:cs="Times New Roman"/>
                <w:color w:val="auto"/>
              </w:rPr>
            </w:pPr>
          </w:p>
        </w:tc>
        <w:tc>
          <w:tcPr>
            <w:tcW w:w="531" w:type="dxa"/>
            <w:vMerge w:val="continue"/>
            <w:noWrap w:val="0"/>
            <w:vAlign w:val="center"/>
          </w:tcPr>
          <w:p>
            <w:pPr>
              <w:jc w:val="center"/>
              <w:rPr>
                <w:rFonts w:hint="default" w:ascii="Times New Roman" w:hAnsi="Times New Roman" w:eastAsia="宋体" w:cs="Times New Roman"/>
                <w:color w:val="auto"/>
              </w:rPr>
            </w:pPr>
          </w:p>
        </w:tc>
        <w:tc>
          <w:tcPr>
            <w:tcW w:w="950" w:type="dxa"/>
            <w:noWrap w:val="0"/>
            <w:vAlign w:val="center"/>
          </w:tcPr>
          <w:p>
            <w:pPr>
              <w:spacing w:line="240" w:lineRule="exact"/>
              <w:jc w:val="center"/>
              <w:rPr>
                <w:rFonts w:hint="default" w:ascii="Times New Roman" w:hAnsi="Times New Roman" w:eastAsia="宋体" w:cs="Times New Roman"/>
                <w:color w:val="auto"/>
                <w:szCs w:val="21"/>
                <w:vertAlign w:val="subscript"/>
              </w:rPr>
            </w:pPr>
            <w:r>
              <w:rPr>
                <w:rFonts w:hint="default" w:ascii="Times New Roman" w:hAnsi="Times New Roman" w:eastAsia="宋体" w:cs="Times New Roman"/>
                <w:color w:val="auto"/>
                <w:szCs w:val="21"/>
              </w:rPr>
              <w:t>SO</w:t>
            </w:r>
            <w:r>
              <w:rPr>
                <w:rFonts w:hint="default" w:ascii="Times New Roman" w:hAnsi="Times New Roman" w:eastAsia="宋体" w:cs="Times New Roman"/>
                <w:color w:val="auto"/>
                <w:szCs w:val="21"/>
                <w:vertAlign w:val="subscript"/>
              </w:rPr>
              <w:t>2</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0.0</w:t>
            </w:r>
            <w:r>
              <w:rPr>
                <w:rFonts w:hint="eastAsia" w:ascii="Times New Roman" w:hAnsi="Times New Roman" w:eastAsia="宋体" w:cs="Times New Roman"/>
                <w:color w:val="auto"/>
                <w:szCs w:val="21"/>
                <w:lang w:val="en-US" w:eastAsia="zh-CN"/>
              </w:rPr>
              <w:t>76</w:t>
            </w:r>
          </w:p>
        </w:tc>
        <w:tc>
          <w:tcPr>
            <w:tcW w:w="457"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1" w:hRule="atLeast"/>
        </w:trPr>
        <w:tc>
          <w:tcPr>
            <w:tcW w:w="1521"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1110" w:type="dxa"/>
            <w:vMerge w:val="continue"/>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1109" w:type="dxa"/>
            <w:vMerge w:val="continue"/>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836" w:type="dxa"/>
            <w:vMerge w:val="continue"/>
            <w:noWrap w:val="0"/>
            <w:vAlign w:val="center"/>
          </w:tcPr>
          <w:p>
            <w:pPr>
              <w:jc w:val="center"/>
              <w:rPr>
                <w:rFonts w:hint="default" w:ascii="Times New Roman" w:hAnsi="Times New Roman" w:eastAsia="宋体" w:cs="Times New Roman"/>
                <w:color w:val="auto"/>
              </w:rPr>
            </w:pPr>
          </w:p>
        </w:tc>
        <w:tc>
          <w:tcPr>
            <w:tcW w:w="520" w:type="dxa"/>
            <w:vMerge w:val="continue"/>
            <w:noWrap w:val="0"/>
            <w:vAlign w:val="center"/>
          </w:tcPr>
          <w:p>
            <w:pPr>
              <w:jc w:val="center"/>
              <w:rPr>
                <w:rFonts w:hint="default" w:ascii="Times New Roman" w:hAnsi="Times New Roman" w:eastAsia="宋体" w:cs="Times New Roman"/>
                <w:color w:val="auto"/>
              </w:rPr>
            </w:pPr>
          </w:p>
        </w:tc>
        <w:tc>
          <w:tcPr>
            <w:tcW w:w="477" w:type="dxa"/>
            <w:vMerge w:val="continue"/>
            <w:noWrap w:val="0"/>
            <w:vAlign w:val="center"/>
          </w:tcPr>
          <w:p>
            <w:pPr>
              <w:jc w:val="center"/>
              <w:rPr>
                <w:rFonts w:hint="default" w:ascii="Times New Roman" w:hAnsi="Times New Roman" w:eastAsia="宋体" w:cs="Times New Roman"/>
                <w:color w:val="auto"/>
              </w:rPr>
            </w:pPr>
          </w:p>
        </w:tc>
        <w:tc>
          <w:tcPr>
            <w:tcW w:w="580" w:type="dxa"/>
            <w:vMerge w:val="continue"/>
            <w:noWrap w:val="0"/>
            <w:vAlign w:val="center"/>
          </w:tcPr>
          <w:p>
            <w:pPr>
              <w:jc w:val="center"/>
              <w:rPr>
                <w:rFonts w:hint="default" w:ascii="Times New Roman" w:hAnsi="Times New Roman" w:eastAsia="宋体" w:cs="Times New Roman"/>
                <w:color w:val="auto"/>
              </w:rPr>
            </w:pPr>
          </w:p>
        </w:tc>
        <w:tc>
          <w:tcPr>
            <w:tcW w:w="531" w:type="dxa"/>
            <w:vMerge w:val="continue"/>
            <w:noWrap w:val="0"/>
            <w:vAlign w:val="center"/>
          </w:tcPr>
          <w:p>
            <w:pPr>
              <w:jc w:val="center"/>
              <w:rPr>
                <w:rFonts w:hint="default" w:ascii="Times New Roman" w:hAnsi="Times New Roman" w:eastAsia="宋体" w:cs="Times New Roman"/>
                <w:color w:val="auto"/>
              </w:rPr>
            </w:pPr>
          </w:p>
        </w:tc>
        <w:tc>
          <w:tcPr>
            <w:tcW w:w="950"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NOx</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0.</w:t>
            </w:r>
            <w:r>
              <w:rPr>
                <w:rFonts w:hint="eastAsia" w:ascii="Times New Roman" w:hAnsi="Times New Roman" w:eastAsia="宋体" w:cs="Times New Roman"/>
                <w:color w:val="auto"/>
                <w:szCs w:val="21"/>
                <w:lang w:val="en-US" w:eastAsia="zh-CN"/>
              </w:rPr>
              <w:t>109</w:t>
            </w:r>
          </w:p>
        </w:tc>
        <w:tc>
          <w:tcPr>
            <w:tcW w:w="457" w:type="dxa"/>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1" w:hRule="atLeast"/>
        </w:trPr>
        <w:tc>
          <w:tcPr>
            <w:tcW w:w="1521" w:type="dxa"/>
            <w:vMerge w:val="restart"/>
            <w:noWrap w:val="0"/>
            <w:vAlign w:val="center"/>
          </w:tcPr>
          <w:p>
            <w:pPr>
              <w:spacing w:line="24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沥青加热储存</w:t>
            </w: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lang w:val="en-US" w:eastAsia="zh-CN"/>
              </w:rPr>
              <w:t>配料、</w:t>
            </w:r>
            <w:r>
              <w:rPr>
                <w:rFonts w:hint="default" w:ascii="Times New Roman" w:hAnsi="Times New Roman" w:eastAsia="宋体" w:cs="Times New Roman"/>
                <w:color w:val="auto"/>
                <w:szCs w:val="21"/>
              </w:rPr>
              <w:t>搅拌、浸油、涂油</w:t>
            </w:r>
            <w:r>
              <w:rPr>
                <w:rFonts w:hint="default" w:ascii="Times New Roman" w:hAnsi="Times New Roman" w:eastAsia="宋体" w:cs="Times New Roman"/>
                <w:color w:val="auto"/>
                <w:szCs w:val="21"/>
                <w:lang w:val="en-US" w:eastAsia="zh-CN"/>
              </w:rPr>
              <w:t>和覆膜</w:t>
            </w:r>
          </w:p>
        </w:tc>
        <w:tc>
          <w:tcPr>
            <w:tcW w:w="1110" w:type="dxa"/>
            <w:vMerge w:val="restart"/>
            <w:tcBorders>
              <w:top w:val="single" w:color="auto" w:sz="2" w:space="0"/>
              <w:left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110.626383</w:t>
            </w:r>
          </w:p>
        </w:tc>
        <w:tc>
          <w:tcPr>
            <w:tcW w:w="1109" w:type="dxa"/>
            <w:vMerge w:val="restart"/>
            <w:tcBorders>
              <w:top w:val="single" w:color="auto" w:sz="2" w:space="0"/>
              <w:left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36.444622</w:t>
            </w:r>
          </w:p>
        </w:tc>
        <w:tc>
          <w:tcPr>
            <w:tcW w:w="836"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640</w:t>
            </w:r>
          </w:p>
        </w:tc>
        <w:tc>
          <w:tcPr>
            <w:tcW w:w="520"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w:t>
            </w:r>
          </w:p>
        </w:tc>
        <w:tc>
          <w:tcPr>
            <w:tcW w:w="477"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0.8</w:t>
            </w:r>
          </w:p>
        </w:tc>
        <w:tc>
          <w:tcPr>
            <w:tcW w:w="580"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531" w:type="dxa"/>
            <w:vMerge w:val="restart"/>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13.82</w:t>
            </w:r>
          </w:p>
        </w:tc>
        <w:tc>
          <w:tcPr>
            <w:tcW w:w="95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沥青烟</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0.025</w:t>
            </w:r>
          </w:p>
        </w:tc>
        <w:tc>
          <w:tcPr>
            <w:tcW w:w="457"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9" w:hRule="atLeast"/>
        </w:trPr>
        <w:tc>
          <w:tcPr>
            <w:tcW w:w="1521"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1110" w:type="dxa"/>
            <w:vMerge w:val="continue"/>
            <w:tcBorders>
              <w:left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1109" w:type="dxa"/>
            <w:vMerge w:val="continue"/>
            <w:tcBorders>
              <w:left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836" w:type="dxa"/>
            <w:vMerge w:val="continue"/>
            <w:noWrap w:val="0"/>
            <w:vAlign w:val="center"/>
          </w:tcPr>
          <w:p>
            <w:pPr>
              <w:jc w:val="center"/>
              <w:rPr>
                <w:rFonts w:hint="default" w:ascii="Times New Roman" w:hAnsi="Times New Roman" w:eastAsia="宋体" w:cs="Times New Roman"/>
                <w:color w:val="auto"/>
              </w:rPr>
            </w:pPr>
          </w:p>
        </w:tc>
        <w:tc>
          <w:tcPr>
            <w:tcW w:w="520" w:type="dxa"/>
            <w:vMerge w:val="continue"/>
            <w:noWrap w:val="0"/>
            <w:vAlign w:val="center"/>
          </w:tcPr>
          <w:p>
            <w:pPr>
              <w:jc w:val="center"/>
              <w:rPr>
                <w:rFonts w:hint="default" w:ascii="Times New Roman" w:hAnsi="Times New Roman" w:eastAsia="宋体" w:cs="Times New Roman"/>
                <w:color w:val="auto"/>
              </w:rPr>
            </w:pPr>
          </w:p>
        </w:tc>
        <w:tc>
          <w:tcPr>
            <w:tcW w:w="477" w:type="dxa"/>
            <w:vMerge w:val="continue"/>
            <w:noWrap w:val="0"/>
            <w:vAlign w:val="center"/>
          </w:tcPr>
          <w:p>
            <w:pPr>
              <w:jc w:val="center"/>
              <w:rPr>
                <w:rFonts w:hint="default" w:ascii="Times New Roman" w:hAnsi="Times New Roman" w:eastAsia="宋体" w:cs="Times New Roman"/>
                <w:color w:val="auto"/>
              </w:rPr>
            </w:pPr>
          </w:p>
        </w:tc>
        <w:tc>
          <w:tcPr>
            <w:tcW w:w="580" w:type="dxa"/>
            <w:vMerge w:val="continue"/>
            <w:noWrap w:val="0"/>
            <w:vAlign w:val="center"/>
          </w:tcPr>
          <w:p>
            <w:pPr>
              <w:jc w:val="center"/>
              <w:rPr>
                <w:rFonts w:hint="default" w:ascii="Times New Roman" w:hAnsi="Times New Roman" w:eastAsia="宋体" w:cs="Times New Roman"/>
                <w:color w:val="auto"/>
              </w:rPr>
            </w:pPr>
          </w:p>
        </w:tc>
        <w:tc>
          <w:tcPr>
            <w:tcW w:w="531" w:type="dxa"/>
            <w:vMerge w:val="continue"/>
            <w:noWrap w:val="0"/>
            <w:vAlign w:val="center"/>
          </w:tcPr>
          <w:p>
            <w:pPr>
              <w:jc w:val="center"/>
              <w:rPr>
                <w:rFonts w:hint="default" w:ascii="Times New Roman" w:hAnsi="Times New Roman" w:eastAsia="宋体" w:cs="Times New Roman"/>
                <w:color w:val="auto"/>
              </w:rPr>
            </w:pPr>
          </w:p>
        </w:tc>
        <w:tc>
          <w:tcPr>
            <w:tcW w:w="95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苯并[a]芘</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0.058</w:t>
            </w:r>
            <w:r>
              <w:rPr>
                <w:rFonts w:hint="default" w:ascii="Times New Roman" w:hAnsi="Times New Roman" w:eastAsia="宋体" w:cs="Times New Roman"/>
                <w:color w:val="auto"/>
                <w:kern w:val="0"/>
                <w:szCs w:val="21"/>
              </w:rPr>
              <w:t>×10</w:t>
            </w:r>
            <w:r>
              <w:rPr>
                <w:rFonts w:hint="default" w:ascii="Times New Roman" w:hAnsi="Times New Roman" w:eastAsia="宋体" w:cs="Times New Roman"/>
                <w:color w:val="auto"/>
                <w:kern w:val="0"/>
                <w:szCs w:val="21"/>
                <w:vertAlign w:val="superscript"/>
              </w:rPr>
              <w:t>-4</w:t>
            </w:r>
          </w:p>
        </w:tc>
        <w:tc>
          <w:tcPr>
            <w:tcW w:w="457"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0" w:hRule="atLeast"/>
        </w:trPr>
        <w:tc>
          <w:tcPr>
            <w:tcW w:w="1521" w:type="dxa"/>
            <w:vMerge w:val="continue"/>
            <w:noWrap w:val="0"/>
            <w:vAlign w:val="center"/>
          </w:tcPr>
          <w:p>
            <w:pPr>
              <w:spacing w:line="240" w:lineRule="exact"/>
              <w:jc w:val="center"/>
              <w:rPr>
                <w:rFonts w:hint="default" w:ascii="Times New Roman" w:hAnsi="Times New Roman" w:eastAsia="宋体" w:cs="Times New Roman"/>
                <w:color w:val="auto"/>
                <w:szCs w:val="21"/>
              </w:rPr>
            </w:pPr>
          </w:p>
        </w:tc>
        <w:tc>
          <w:tcPr>
            <w:tcW w:w="1110" w:type="dxa"/>
            <w:vMerge w:val="continue"/>
            <w:tcBorders>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1109" w:type="dxa"/>
            <w:vMerge w:val="continue"/>
            <w:tcBorders>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rPr>
            </w:pPr>
          </w:p>
        </w:tc>
        <w:tc>
          <w:tcPr>
            <w:tcW w:w="836" w:type="dxa"/>
            <w:vMerge w:val="continue"/>
            <w:noWrap w:val="0"/>
            <w:vAlign w:val="center"/>
          </w:tcPr>
          <w:p>
            <w:pPr>
              <w:jc w:val="center"/>
              <w:rPr>
                <w:rFonts w:hint="default" w:ascii="Times New Roman" w:hAnsi="Times New Roman" w:eastAsia="宋体" w:cs="Times New Roman"/>
                <w:color w:val="auto"/>
              </w:rPr>
            </w:pPr>
          </w:p>
        </w:tc>
        <w:tc>
          <w:tcPr>
            <w:tcW w:w="520" w:type="dxa"/>
            <w:vMerge w:val="continue"/>
            <w:noWrap w:val="0"/>
            <w:vAlign w:val="center"/>
          </w:tcPr>
          <w:p>
            <w:pPr>
              <w:jc w:val="center"/>
              <w:rPr>
                <w:rFonts w:hint="default" w:ascii="Times New Roman" w:hAnsi="Times New Roman" w:eastAsia="宋体" w:cs="Times New Roman"/>
                <w:color w:val="auto"/>
              </w:rPr>
            </w:pPr>
          </w:p>
        </w:tc>
        <w:tc>
          <w:tcPr>
            <w:tcW w:w="477" w:type="dxa"/>
            <w:vMerge w:val="continue"/>
            <w:noWrap w:val="0"/>
            <w:vAlign w:val="center"/>
          </w:tcPr>
          <w:p>
            <w:pPr>
              <w:jc w:val="center"/>
              <w:rPr>
                <w:rFonts w:hint="default" w:ascii="Times New Roman" w:hAnsi="Times New Roman" w:eastAsia="宋体" w:cs="Times New Roman"/>
                <w:color w:val="auto"/>
              </w:rPr>
            </w:pPr>
          </w:p>
        </w:tc>
        <w:tc>
          <w:tcPr>
            <w:tcW w:w="580" w:type="dxa"/>
            <w:vMerge w:val="continue"/>
            <w:noWrap w:val="0"/>
            <w:vAlign w:val="center"/>
          </w:tcPr>
          <w:p>
            <w:pPr>
              <w:jc w:val="center"/>
              <w:rPr>
                <w:rFonts w:hint="default" w:ascii="Times New Roman" w:hAnsi="Times New Roman" w:eastAsia="宋体" w:cs="Times New Roman"/>
                <w:color w:val="auto"/>
              </w:rPr>
            </w:pPr>
          </w:p>
        </w:tc>
        <w:tc>
          <w:tcPr>
            <w:tcW w:w="531" w:type="dxa"/>
            <w:vMerge w:val="continue"/>
            <w:noWrap w:val="0"/>
            <w:vAlign w:val="center"/>
          </w:tcPr>
          <w:p>
            <w:pPr>
              <w:jc w:val="center"/>
              <w:rPr>
                <w:rFonts w:hint="default" w:ascii="Times New Roman" w:hAnsi="Times New Roman" w:eastAsia="宋体" w:cs="Times New Roman"/>
                <w:color w:val="auto"/>
              </w:rPr>
            </w:pPr>
          </w:p>
        </w:tc>
        <w:tc>
          <w:tcPr>
            <w:tcW w:w="950"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非甲烷总烃</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0.065</w:t>
            </w:r>
          </w:p>
        </w:tc>
        <w:tc>
          <w:tcPr>
            <w:tcW w:w="457"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1" w:hRule="atLeast"/>
        </w:trPr>
        <w:tc>
          <w:tcPr>
            <w:tcW w:w="1521"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滑石粉储罐</w:t>
            </w:r>
          </w:p>
        </w:tc>
        <w:tc>
          <w:tcPr>
            <w:tcW w:w="1110"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110.626501</w:t>
            </w:r>
          </w:p>
        </w:tc>
        <w:tc>
          <w:tcPr>
            <w:tcW w:w="1109"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36.444609</w:t>
            </w:r>
          </w:p>
        </w:tc>
        <w:tc>
          <w:tcPr>
            <w:tcW w:w="836"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640</w:t>
            </w:r>
          </w:p>
        </w:tc>
        <w:tc>
          <w:tcPr>
            <w:tcW w:w="520"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w:t>
            </w:r>
          </w:p>
        </w:tc>
        <w:tc>
          <w:tcPr>
            <w:tcW w:w="477"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w:t>
            </w:r>
          </w:p>
        </w:tc>
        <w:tc>
          <w:tcPr>
            <w:tcW w:w="580"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531"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13.27</w:t>
            </w:r>
          </w:p>
        </w:tc>
        <w:tc>
          <w:tcPr>
            <w:tcW w:w="950"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10</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0.014</w:t>
            </w:r>
          </w:p>
        </w:tc>
        <w:tc>
          <w:tcPr>
            <w:tcW w:w="457"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2" w:hRule="atLeast"/>
        </w:trPr>
        <w:tc>
          <w:tcPr>
            <w:tcW w:w="1521"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橡胶粉储罐</w:t>
            </w:r>
          </w:p>
        </w:tc>
        <w:tc>
          <w:tcPr>
            <w:tcW w:w="1110"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110.626571</w:t>
            </w:r>
          </w:p>
        </w:tc>
        <w:tc>
          <w:tcPr>
            <w:tcW w:w="1109" w:type="dxa"/>
            <w:tcBorders>
              <w:top w:val="single" w:color="auto" w:sz="2" w:space="0"/>
              <w:left w:val="single" w:color="auto" w:sz="2" w:space="0"/>
              <w:bottom w:val="single" w:color="auto" w:sz="2" w:space="0"/>
              <w:right w:val="single" w:color="auto" w:sz="2" w:space="0"/>
            </w:tcBorders>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36.444590</w:t>
            </w:r>
          </w:p>
        </w:tc>
        <w:tc>
          <w:tcPr>
            <w:tcW w:w="836"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640</w:t>
            </w:r>
          </w:p>
        </w:tc>
        <w:tc>
          <w:tcPr>
            <w:tcW w:w="520"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w:t>
            </w:r>
          </w:p>
        </w:tc>
        <w:tc>
          <w:tcPr>
            <w:tcW w:w="477"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w:t>
            </w:r>
          </w:p>
        </w:tc>
        <w:tc>
          <w:tcPr>
            <w:tcW w:w="580"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531" w:type="dxa"/>
            <w:noWrap w:val="0"/>
            <w:vAlign w:val="center"/>
          </w:tcPr>
          <w:p>
            <w:pPr>
              <w:jc w:val="cente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13.27</w:t>
            </w:r>
          </w:p>
        </w:tc>
        <w:tc>
          <w:tcPr>
            <w:tcW w:w="950"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PM</w:t>
            </w:r>
            <w:r>
              <w:rPr>
                <w:rFonts w:hint="default" w:ascii="Times New Roman" w:hAnsi="Times New Roman" w:eastAsia="宋体" w:cs="Times New Roman"/>
                <w:color w:val="auto"/>
                <w:szCs w:val="21"/>
                <w:vertAlign w:val="subscript"/>
              </w:rPr>
              <w:t>10</w:t>
            </w:r>
          </w:p>
        </w:tc>
        <w:tc>
          <w:tcPr>
            <w:tcW w:w="626" w:type="dxa"/>
            <w:noWrap w:val="0"/>
            <w:vAlign w:val="center"/>
          </w:tcPr>
          <w:p>
            <w:pPr>
              <w:spacing w:line="240" w:lineRule="exact"/>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0.014</w:t>
            </w:r>
          </w:p>
        </w:tc>
        <w:tc>
          <w:tcPr>
            <w:tcW w:w="457"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kg/h</w:t>
            </w:r>
          </w:p>
        </w:tc>
      </w:tr>
    </w:tbl>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⑷评价等级确定</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根据《环境影响评价计算导则  大气环境》(HJ2.2-2018)中的估算模式分别计算了</w:t>
      </w:r>
      <w:r>
        <w:rPr>
          <w:rFonts w:hint="eastAsia" w:ascii="Times New Roman" w:hAnsi="Times New Roman" w:eastAsia="宋体" w:cs="Times New Roman"/>
          <w:color w:val="auto"/>
          <w:sz w:val="24"/>
          <w:lang w:val="en-US" w:eastAsia="zh-CN"/>
        </w:rPr>
        <w:t>污染物</w:t>
      </w:r>
      <w:r>
        <w:rPr>
          <w:rFonts w:hint="default" w:ascii="Times New Roman" w:hAnsi="Times New Roman" w:eastAsia="宋体" w:cs="Times New Roman"/>
          <w:color w:val="auto"/>
          <w:sz w:val="24"/>
        </w:rPr>
        <w:t>的最大地面浓度占标率P</w:t>
      </w:r>
      <w:r>
        <w:rPr>
          <w:rFonts w:hint="default" w:ascii="Times New Roman" w:hAnsi="Times New Roman" w:eastAsia="宋体" w:cs="Times New Roman"/>
          <w:color w:val="auto"/>
          <w:sz w:val="24"/>
          <w:vertAlign w:val="subscript"/>
        </w:rPr>
        <w:t>i</w:t>
      </w:r>
      <w:r>
        <w:rPr>
          <w:rFonts w:hint="default" w:ascii="Times New Roman" w:hAnsi="Times New Roman" w:eastAsia="宋体" w:cs="Times New Roman"/>
          <w:color w:val="auto"/>
          <w:sz w:val="24"/>
        </w:rPr>
        <w:t>，详见表-</w:t>
      </w:r>
      <w:r>
        <w:rPr>
          <w:rFonts w:hint="eastAsia"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。；其中最大Pmax和D10%预测结果见表-</w:t>
      </w:r>
      <w:r>
        <w:rPr>
          <w:rFonts w:hint="eastAsia"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w:t>
      </w:r>
    </w:p>
    <w:p>
      <w:pPr>
        <w:spacing w:line="50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6</w:t>
      </w:r>
      <w:r>
        <w:rPr>
          <w:rFonts w:hint="default" w:ascii="Times New Roman" w:hAnsi="Times New Roman" w:eastAsia="宋体" w:cs="Times New Roman"/>
          <w:bCs/>
          <w:color w:val="auto"/>
          <w:sz w:val="24"/>
        </w:rPr>
        <w:t xml:space="preserve">  本项目有组织大气污染物估算结果表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243"/>
        <w:gridCol w:w="1257"/>
        <w:gridCol w:w="1311"/>
        <w:gridCol w:w="1150"/>
        <w:gridCol w:w="1065"/>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363" w:type="dxa"/>
            <w:vMerge w:val="restar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下方向距离(m)</w:t>
            </w:r>
          </w:p>
        </w:tc>
        <w:tc>
          <w:tcPr>
            <w:tcW w:w="7279" w:type="dxa"/>
            <w:gridSpan w:val="6"/>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导热油炉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363" w:type="dxa"/>
            <w:vMerge w:val="continue"/>
            <w:noWrap w:val="0"/>
            <w:vAlign w:val="center"/>
          </w:tcPr>
          <w:p>
            <w:pPr>
              <w:jc w:val="center"/>
              <w:rPr>
                <w:rFonts w:hint="default" w:ascii="Times New Roman" w:hAnsi="Times New Roman" w:eastAsia="宋体" w:cs="Times New Roman"/>
                <w:color w:val="auto"/>
                <w:sz w:val="21"/>
                <w:szCs w:val="21"/>
              </w:rPr>
            </w:pPr>
          </w:p>
        </w:tc>
        <w:tc>
          <w:tcPr>
            <w:tcW w:w="124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257"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占标率（%）</w:t>
            </w:r>
          </w:p>
        </w:tc>
        <w:tc>
          <w:tcPr>
            <w:tcW w:w="1311"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50"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占标率（%）</w:t>
            </w:r>
          </w:p>
        </w:tc>
        <w:tc>
          <w:tcPr>
            <w:tcW w:w="1065"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NOx浓度（ug/m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25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NOx占标率（%）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0.9599</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0.2133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3.3161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0.6632</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4.7559</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0.9447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0.2099</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3.2634</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0.6527</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4.6804</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1.8722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0.8451</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0.1878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2.9193</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0.5839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4.1869</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1.6748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0.8646</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0.1921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2.9868</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0.5974</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4.2837</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1.7135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0.7744</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0.1721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2.6751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0.5350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3.8367</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1.5347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0.7283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0.1618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2.5159</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0.5032</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3.6083</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0.6562</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0.1458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2.2668</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0.4534</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3.2511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0.5841</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0.1298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2.0180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0.4036</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2.8942</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1.1577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0.5200</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0.1156</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1.7964</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0.3593</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2.5765</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0.5000</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0.1111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1.7274</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0.3455</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2.4774</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0.4763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0.1058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1.6453</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0.3291</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2.3597</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0.4266</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0.0948</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1.4738</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0.2948</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2.1138</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0.3805</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0.0846</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1.3145</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0.2629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1.8853</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0.3453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0.0767</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1.1929</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0.2386</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1.7108</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0.6843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0.3288</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0.0731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1.1359</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0.2272</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1.6292</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0.6517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0.3111</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0.0691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1.0749</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0.2150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1.5416</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0.2685</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0.0597</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0.9274</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0.1855</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1.3301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下风向最大浓度</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1.0320</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0.2293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3.5651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0.7130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5.1131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2.0452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下风向最大距离</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最远距离</w:t>
            </w:r>
          </w:p>
        </w:tc>
        <w:tc>
          <w:tcPr>
            <w:tcW w:w="124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57"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11"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50"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65"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5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pPr>
        <w:spacing w:line="500" w:lineRule="exact"/>
        <w:jc w:val="center"/>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lang w:val="en-US" w:eastAsia="zh-CN"/>
        </w:rPr>
        <w:t>续</w:t>
      </w: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6</w:t>
      </w:r>
      <w:r>
        <w:rPr>
          <w:rFonts w:hint="default" w:ascii="Times New Roman" w:hAnsi="Times New Roman" w:eastAsia="宋体" w:cs="Times New Roman"/>
          <w:bCs/>
          <w:color w:val="auto"/>
          <w:sz w:val="24"/>
        </w:rPr>
        <w:t xml:space="preserve">  本项目有组织大气污染物估算结果表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243"/>
        <w:gridCol w:w="1257"/>
        <w:gridCol w:w="1311"/>
        <w:gridCol w:w="1150"/>
        <w:gridCol w:w="1065"/>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363" w:type="dxa"/>
            <w:vMerge w:val="restar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下方向距离(m)</w:t>
            </w:r>
          </w:p>
        </w:tc>
        <w:tc>
          <w:tcPr>
            <w:tcW w:w="7279" w:type="dxa"/>
            <w:gridSpan w:val="6"/>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lang w:val="en-US" w:eastAsia="zh-CN"/>
              </w:rPr>
              <w:t>沥青</w:t>
            </w:r>
            <w:r>
              <w:rPr>
                <w:rFonts w:hint="default" w:ascii="Times New Roman" w:hAnsi="Times New Roman" w:eastAsia="宋体" w:cs="Times New Roman"/>
                <w:b w:val="0"/>
                <w:bCs w:val="0"/>
                <w:color w:val="auto"/>
                <w:kern w:val="44"/>
                <w:sz w:val="21"/>
                <w:szCs w:val="21"/>
                <w:lang w:val="en-US" w:eastAsia="zh-CN"/>
              </w:rPr>
              <w:t>加热</w:t>
            </w:r>
            <w:r>
              <w:rPr>
                <w:rFonts w:hint="default" w:ascii="Times New Roman" w:hAnsi="Times New Roman" w:eastAsia="宋体" w:cs="Times New Roman"/>
                <w:b w:val="0"/>
                <w:bCs w:val="0"/>
                <w:color w:val="auto"/>
                <w:sz w:val="21"/>
                <w:szCs w:val="21"/>
                <w:highlight w:val="none"/>
                <w:lang w:val="en-US" w:eastAsia="zh-CN"/>
              </w:rPr>
              <w:t>储存</w:t>
            </w:r>
            <w:r>
              <w:rPr>
                <w:rFonts w:hint="default" w:ascii="Times New Roman" w:hAnsi="Times New Roman" w:eastAsia="宋体" w:cs="Times New Roman"/>
                <w:b w:val="0"/>
                <w:bCs w:val="0"/>
                <w:color w:val="auto"/>
                <w:kern w:val="44"/>
                <w:sz w:val="21"/>
                <w:szCs w:val="21"/>
              </w:rPr>
              <w:t>、</w:t>
            </w:r>
            <w:r>
              <w:rPr>
                <w:rFonts w:hint="default" w:ascii="Times New Roman" w:hAnsi="Times New Roman" w:eastAsia="宋体" w:cs="Times New Roman"/>
                <w:b w:val="0"/>
                <w:bCs w:val="0"/>
                <w:color w:val="auto"/>
                <w:sz w:val="21"/>
                <w:szCs w:val="21"/>
                <w:lang w:val="en-US" w:eastAsia="zh-CN"/>
              </w:rPr>
              <w:t>配料、</w:t>
            </w:r>
            <w:r>
              <w:rPr>
                <w:rFonts w:hint="default" w:ascii="Times New Roman" w:hAnsi="Times New Roman" w:eastAsia="宋体" w:cs="Times New Roman"/>
                <w:b w:val="0"/>
                <w:bCs w:val="0"/>
                <w:color w:val="auto"/>
                <w:sz w:val="21"/>
                <w:szCs w:val="21"/>
              </w:rPr>
              <w:t>搅拌、浸油、涂油</w:t>
            </w:r>
            <w:r>
              <w:rPr>
                <w:rFonts w:hint="default" w:ascii="Times New Roman" w:hAnsi="Times New Roman" w:eastAsia="宋体" w:cs="Times New Roman"/>
                <w:b w:val="0"/>
                <w:bCs w:val="0"/>
                <w:color w:val="auto"/>
                <w:sz w:val="21"/>
                <w:szCs w:val="21"/>
                <w:lang w:val="en-US" w:eastAsia="zh-CN"/>
              </w:rPr>
              <w:t>和覆膜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363" w:type="dxa"/>
            <w:vMerge w:val="continue"/>
            <w:noWrap w:val="0"/>
            <w:vAlign w:val="center"/>
          </w:tcPr>
          <w:p>
            <w:pPr>
              <w:jc w:val="center"/>
              <w:rPr>
                <w:rFonts w:hint="default" w:ascii="Times New Roman" w:hAnsi="Times New Roman" w:eastAsia="宋体" w:cs="Times New Roman"/>
                <w:color w:val="auto"/>
                <w:sz w:val="21"/>
                <w:szCs w:val="21"/>
              </w:rPr>
            </w:pP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沥青烟浓度（ug/m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沥青烟占标率（%）</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BaP浓度（ug/m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BaP占标率（%）</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NMHC浓度（ug/m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NMHC占标率（%）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0.3327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0.5223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1.0292</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0.8650</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0.4117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0.6463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1.2735</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1.0704</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0.4397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0.6902</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1.3600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1.1431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0.4272</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0.6706</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1.3214</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1.1106</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0.4377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0.6871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1.3539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1.1380</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0.4201</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0.6595</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1.2994</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1.0922</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0.3943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0.6190</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1.2197</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1.0252</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0.3679</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0.5775</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1.1380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0.9565</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0.3433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0.5389</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1.0619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0.8926</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0.3212</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0.5042</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0.9935</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0.8351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0.3015</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0.4733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0.9327</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0.7840</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0.2686</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0.4216</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0.8308</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0.6983</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0.0349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0.2423</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0.3804</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0.7496</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0.6301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0.2211</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0.3471</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0.6839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0.5748</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0.2035</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0.3195</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0.6295</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0.5291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0.1888</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0.2963</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0.5839</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0.4908</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2500.0</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0.1604</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0.2519</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0.4963</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0.4171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下风向最大浓度</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0.4397</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0.6902</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1.3600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1.1431</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下风向最大距离</w:t>
            </w:r>
          </w:p>
        </w:tc>
        <w:tc>
          <w:tcPr>
            <w:tcW w:w="124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c>
          <w:tcPr>
            <w:tcW w:w="125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c>
          <w:tcPr>
            <w:tcW w:w="1311"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c>
          <w:tcPr>
            <w:tcW w:w="1150"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c>
          <w:tcPr>
            <w:tcW w:w="1065"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c>
          <w:tcPr>
            <w:tcW w:w="12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36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最远距离</w:t>
            </w:r>
          </w:p>
        </w:tc>
        <w:tc>
          <w:tcPr>
            <w:tcW w:w="124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57"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11"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150"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065"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25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pPr>
        <w:spacing w:line="500" w:lineRule="exact"/>
        <w:jc w:val="center"/>
        <w:rPr>
          <w:rFonts w:hint="default" w:ascii="Times New Roman" w:hAnsi="Times New Roman" w:eastAsia="宋体" w:cs="Times New Roman"/>
          <w:bCs/>
          <w:color w:val="auto"/>
          <w:sz w:val="24"/>
        </w:rPr>
      </w:pPr>
      <w:r>
        <w:rPr>
          <w:rFonts w:hint="eastAsia" w:ascii="Times New Roman" w:hAnsi="Times New Roman" w:eastAsia="宋体" w:cs="Times New Roman"/>
          <w:bCs/>
          <w:color w:val="auto"/>
          <w:sz w:val="24"/>
          <w:lang w:val="en-US" w:eastAsia="zh-CN"/>
        </w:rPr>
        <w:t>续</w:t>
      </w: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6</w:t>
      </w:r>
      <w:r>
        <w:rPr>
          <w:rFonts w:hint="default" w:ascii="Times New Roman" w:hAnsi="Times New Roman" w:eastAsia="宋体" w:cs="Times New Roman"/>
          <w:bCs/>
          <w:color w:val="auto"/>
          <w:sz w:val="24"/>
        </w:rPr>
        <w:t xml:space="preserve">  本项目有组织大气污染物估算结果表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4"/>
        <w:gridCol w:w="1683"/>
        <w:gridCol w:w="1683"/>
        <w:gridCol w:w="1683"/>
        <w:gridCol w:w="1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884" w:type="dxa"/>
            <w:vMerge w:val="restar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下方向距离(m)</w:t>
            </w:r>
          </w:p>
        </w:tc>
        <w:tc>
          <w:tcPr>
            <w:tcW w:w="3366" w:type="dxa"/>
            <w:gridSpan w:val="2"/>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滑石粉储罐</w:t>
            </w:r>
          </w:p>
        </w:tc>
        <w:tc>
          <w:tcPr>
            <w:tcW w:w="3366" w:type="dxa"/>
            <w:gridSpan w:val="2"/>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lang w:val="en-US" w:eastAsia="zh-CN"/>
              </w:rPr>
              <w:t>橡胶粉储罐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884" w:type="dxa"/>
            <w:vMerge w:val="continue"/>
            <w:noWrap w:val="0"/>
            <w:vAlign w:val="center"/>
          </w:tcPr>
          <w:p>
            <w:pPr>
              <w:jc w:val="center"/>
              <w:rPr>
                <w:rFonts w:hint="default" w:ascii="Times New Roman" w:hAnsi="Times New Roman" w:eastAsia="宋体" w:cs="Times New Roman"/>
                <w:color w:val="auto"/>
                <w:sz w:val="21"/>
                <w:szCs w:val="21"/>
              </w:rPr>
            </w:pP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占标率（%）</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浓度（ug/m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占标率（%）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1.4262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0.3169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1.4262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1.3146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0.2921</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1.3146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0.2921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1.1059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0.2458</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1.1059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0.9754</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0.2168</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0.9754</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0.9073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0.2016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0.9073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0.8133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0.1807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0.8133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0.1807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0.7159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0.1591</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0.7159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0.1591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0.6486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0.1441</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0.6486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0.6102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0.1356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0.6102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0.5695</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0.1266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0.5695</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0.5299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0.1178</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0.5299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0.4587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0.1019</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0.4587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0.1019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0.3995</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0.0888</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0.3995</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0.3516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0.0781</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0.3516</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1800.0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0.3304</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0.0734</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0.3304</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0.0734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0.3092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0.0687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0.3092</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0.2633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0.0585</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0.2633</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下风向最大浓度</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1.4837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0.3297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1.4837</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下风向最大距离</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60.0</w:t>
            </w:r>
          </w:p>
        </w:tc>
        <w:tc>
          <w:tcPr>
            <w:tcW w:w="16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88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w:t>
            </w:r>
            <w:r>
              <w:rPr>
                <w:rFonts w:hint="default" w:ascii="Times New Roman" w:hAnsi="Times New Roman" w:eastAsia="宋体" w:cs="Times New Roman"/>
                <w:color w:val="auto"/>
                <w:sz w:val="21"/>
                <w:szCs w:val="21"/>
                <w:vertAlign w:val="subscript"/>
              </w:rPr>
              <w:t>10%</w:t>
            </w:r>
            <w:r>
              <w:rPr>
                <w:rFonts w:hint="default" w:ascii="Times New Roman" w:hAnsi="Times New Roman" w:eastAsia="宋体" w:cs="Times New Roman"/>
                <w:color w:val="auto"/>
                <w:sz w:val="21"/>
                <w:szCs w:val="21"/>
              </w:rPr>
              <w:t>最远距离</w:t>
            </w:r>
          </w:p>
        </w:tc>
        <w:tc>
          <w:tcPr>
            <w:tcW w:w="168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68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68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68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r>
    </w:tbl>
    <w:p>
      <w:pPr>
        <w:spacing w:line="480" w:lineRule="exact"/>
        <w:ind w:firstLine="422" w:firstLineChars="176"/>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 xml:space="preserve">  Pmax和D10%预测和计算结果一览表</w:t>
      </w:r>
    </w:p>
    <w:tbl>
      <w:tblPr>
        <w:tblStyle w:val="26"/>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0"/>
        <w:gridCol w:w="1467"/>
        <w:gridCol w:w="1483"/>
        <w:gridCol w:w="1484"/>
        <w:gridCol w:w="1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10"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污染源名称</w:t>
            </w: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1483"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Cmax</w:t>
            </w:r>
          </w:p>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1484"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Pmax</w:t>
            </w:r>
          </w:p>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D10%</w:t>
            </w:r>
          </w:p>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restart"/>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导热油炉</w:t>
            </w: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1.0320</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0.2293</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continue"/>
            <w:noWrap w:val="0"/>
            <w:vAlign w:val="center"/>
          </w:tcPr>
          <w:p>
            <w:pPr>
              <w:spacing w:line="240" w:lineRule="exact"/>
              <w:jc w:val="center"/>
              <w:rPr>
                <w:rFonts w:hint="default" w:ascii="Times New Roman" w:hAnsi="Times New Roman" w:eastAsia="宋体" w:cs="Times New Roman"/>
                <w:color w:val="auto"/>
                <w:sz w:val="21"/>
                <w:szCs w:val="21"/>
                <w:vertAlign w:val="subscript"/>
              </w:rPr>
            </w:pP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vertAlign w:val="subscript"/>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3.5651</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0.7130</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continue"/>
            <w:noWrap w:val="0"/>
            <w:vAlign w:val="center"/>
          </w:tcPr>
          <w:p>
            <w:pPr>
              <w:spacing w:line="240" w:lineRule="exact"/>
              <w:jc w:val="center"/>
              <w:rPr>
                <w:rFonts w:hint="default" w:ascii="Times New Roman" w:hAnsi="Times New Roman" w:eastAsia="宋体" w:cs="Times New Roman"/>
                <w:color w:val="auto"/>
                <w:sz w:val="21"/>
                <w:szCs w:val="21"/>
              </w:rPr>
            </w:pP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NOx</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5.1131</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2.0452</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restart"/>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lang w:val="en-US" w:eastAsia="zh-CN"/>
              </w:rPr>
              <w:t>沥青</w:t>
            </w:r>
            <w:r>
              <w:rPr>
                <w:rFonts w:hint="default" w:ascii="Times New Roman" w:hAnsi="Times New Roman" w:eastAsia="宋体" w:cs="Times New Roman"/>
                <w:b w:val="0"/>
                <w:bCs w:val="0"/>
                <w:color w:val="auto"/>
                <w:kern w:val="44"/>
                <w:sz w:val="21"/>
                <w:szCs w:val="21"/>
                <w:lang w:val="en-US" w:eastAsia="zh-CN"/>
              </w:rPr>
              <w:t>加热</w:t>
            </w:r>
            <w:r>
              <w:rPr>
                <w:rFonts w:hint="default" w:ascii="Times New Roman" w:hAnsi="Times New Roman" w:eastAsia="宋体" w:cs="Times New Roman"/>
                <w:b w:val="0"/>
                <w:bCs w:val="0"/>
                <w:color w:val="auto"/>
                <w:sz w:val="21"/>
                <w:szCs w:val="21"/>
                <w:highlight w:val="none"/>
                <w:lang w:val="en-US" w:eastAsia="zh-CN"/>
              </w:rPr>
              <w:t>储存</w:t>
            </w:r>
            <w:r>
              <w:rPr>
                <w:rFonts w:hint="default" w:ascii="Times New Roman" w:hAnsi="Times New Roman" w:eastAsia="宋体" w:cs="Times New Roman"/>
                <w:b w:val="0"/>
                <w:bCs w:val="0"/>
                <w:color w:val="auto"/>
                <w:kern w:val="44"/>
                <w:sz w:val="21"/>
                <w:szCs w:val="21"/>
              </w:rPr>
              <w:t>、</w:t>
            </w:r>
            <w:r>
              <w:rPr>
                <w:rFonts w:hint="default" w:ascii="Times New Roman" w:hAnsi="Times New Roman" w:eastAsia="宋体" w:cs="Times New Roman"/>
                <w:b w:val="0"/>
                <w:bCs w:val="0"/>
                <w:color w:val="auto"/>
                <w:sz w:val="21"/>
                <w:szCs w:val="21"/>
                <w:lang w:val="en-US" w:eastAsia="zh-CN"/>
              </w:rPr>
              <w:t>配料、</w:t>
            </w:r>
            <w:r>
              <w:rPr>
                <w:rFonts w:hint="default" w:ascii="Times New Roman" w:hAnsi="Times New Roman" w:eastAsia="宋体" w:cs="Times New Roman"/>
                <w:b w:val="0"/>
                <w:bCs w:val="0"/>
                <w:color w:val="auto"/>
                <w:sz w:val="21"/>
                <w:szCs w:val="21"/>
              </w:rPr>
              <w:t>搅拌、浸油、涂油</w:t>
            </w:r>
            <w:r>
              <w:rPr>
                <w:rFonts w:hint="default" w:ascii="Times New Roman" w:hAnsi="Times New Roman" w:eastAsia="宋体" w:cs="Times New Roman"/>
                <w:b w:val="0"/>
                <w:bCs w:val="0"/>
                <w:color w:val="auto"/>
                <w:sz w:val="21"/>
                <w:szCs w:val="21"/>
                <w:lang w:val="en-US" w:eastAsia="zh-CN"/>
              </w:rPr>
              <w:t>和覆膜</w:t>
            </w:r>
          </w:p>
        </w:tc>
        <w:tc>
          <w:tcPr>
            <w:tcW w:w="146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沥青烟</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0.4397</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0.6902</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continue"/>
            <w:noWrap w:val="0"/>
            <w:vAlign w:val="center"/>
          </w:tcPr>
          <w:p>
            <w:pPr>
              <w:spacing w:line="240" w:lineRule="exact"/>
              <w:jc w:val="center"/>
              <w:rPr>
                <w:rFonts w:hint="default" w:ascii="Times New Roman" w:hAnsi="Times New Roman" w:eastAsia="宋体" w:cs="Times New Roman"/>
                <w:color w:val="auto"/>
                <w:sz w:val="21"/>
                <w:szCs w:val="21"/>
              </w:rPr>
            </w:pPr>
          </w:p>
        </w:tc>
        <w:tc>
          <w:tcPr>
            <w:tcW w:w="146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BaP</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0.0001</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1.3600</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vMerge w:val="continue"/>
            <w:noWrap w:val="0"/>
            <w:vAlign w:val="center"/>
          </w:tcPr>
          <w:p>
            <w:pPr>
              <w:spacing w:line="240" w:lineRule="exact"/>
              <w:jc w:val="center"/>
              <w:rPr>
                <w:rFonts w:hint="default" w:ascii="Times New Roman" w:hAnsi="Times New Roman" w:eastAsia="宋体" w:cs="Times New Roman"/>
                <w:color w:val="auto"/>
                <w:sz w:val="21"/>
                <w:szCs w:val="21"/>
              </w:rPr>
            </w:pP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NMHC</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1.1431</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0.0572</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滑石粉储罐</w:t>
            </w: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1.4837</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0.3297</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1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橡胶粉储罐</w:t>
            </w:r>
          </w:p>
        </w:tc>
        <w:tc>
          <w:tcPr>
            <w:tcW w:w="1467" w:type="dxa"/>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PM</w:t>
            </w:r>
            <w:r>
              <w:rPr>
                <w:rFonts w:hint="default" w:ascii="Times New Roman" w:hAnsi="Times New Roman" w:eastAsia="宋体" w:cs="Times New Roman"/>
                <w:color w:val="auto"/>
                <w:sz w:val="21"/>
                <w:szCs w:val="21"/>
                <w:vertAlign w:val="subscript"/>
              </w:rPr>
              <w:t>10</w:t>
            </w:r>
          </w:p>
        </w:tc>
        <w:tc>
          <w:tcPr>
            <w:tcW w:w="148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1.4837</w:t>
            </w:r>
          </w:p>
        </w:tc>
        <w:tc>
          <w:tcPr>
            <w:tcW w:w="1484"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color w:val="auto"/>
                <w:sz w:val="21"/>
                <w:szCs w:val="21"/>
              </w:rPr>
              <w:t>0.3297</w:t>
            </w:r>
          </w:p>
        </w:tc>
        <w:tc>
          <w:tcPr>
            <w:tcW w:w="1369" w:type="dxa"/>
            <w:noWrap w:val="0"/>
            <w:vAlign w:val="center"/>
          </w:tcPr>
          <w:p>
            <w:pPr>
              <w:spacing w:line="240" w:lineRule="exa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由表-</w:t>
      </w:r>
      <w:r>
        <w:rPr>
          <w:rFonts w:hint="eastAsia"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P</w:t>
      </w:r>
      <w:r>
        <w:rPr>
          <w:rFonts w:hint="default" w:ascii="Times New Roman" w:hAnsi="Times New Roman" w:eastAsia="宋体" w:cs="Times New Roman"/>
          <w:color w:val="auto"/>
          <w:sz w:val="24"/>
          <w:vertAlign w:val="subscript"/>
        </w:rPr>
        <w:t>max</w:t>
      </w:r>
      <w:r>
        <w:rPr>
          <w:rFonts w:hint="default" w:ascii="Times New Roman" w:hAnsi="Times New Roman" w:eastAsia="宋体" w:cs="Times New Roman"/>
          <w:color w:val="auto"/>
          <w:sz w:val="24"/>
        </w:rPr>
        <w:t>和D</w:t>
      </w:r>
      <w:r>
        <w:rPr>
          <w:rFonts w:hint="default" w:ascii="Times New Roman" w:hAnsi="Times New Roman" w:eastAsia="宋体" w:cs="Times New Roman"/>
          <w:color w:val="auto"/>
          <w:sz w:val="24"/>
          <w:vertAlign w:val="subscript"/>
        </w:rPr>
        <w:t>10%</w:t>
      </w:r>
      <w:r>
        <w:rPr>
          <w:rFonts w:hint="default" w:ascii="Times New Roman" w:hAnsi="Times New Roman" w:eastAsia="宋体" w:cs="Times New Roman"/>
          <w:color w:val="auto"/>
          <w:sz w:val="24"/>
        </w:rPr>
        <w:t>预测和计算结果，根据《环境影响评价技术导则 大气环境》(HJ2.2-2018)分级判据，确定本项目大气环境影响评价工作等级为二级，不进行进一步预测与评价，只对污染物排放量进行核算。</w:t>
      </w:r>
    </w:p>
    <w:p>
      <w:pPr>
        <w:spacing w:line="50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b w:val="0"/>
          <w:bCs w:val="0"/>
          <w:color w:val="auto"/>
          <w:sz w:val="24"/>
          <w:lang w:val="en-US" w:eastAsia="zh-CN"/>
        </w:rPr>
        <w:t>⑸</w:t>
      </w:r>
      <w:r>
        <w:rPr>
          <w:rFonts w:hint="default" w:ascii="Times New Roman" w:hAnsi="Times New Roman" w:eastAsia="宋体" w:cs="Times New Roman"/>
          <w:b w:val="0"/>
          <w:bCs w:val="0"/>
          <w:color w:val="auto"/>
          <w:sz w:val="24"/>
        </w:rPr>
        <w:t>评价范围</w:t>
      </w:r>
    </w:p>
    <w:p>
      <w:pPr>
        <w:spacing w:line="500" w:lineRule="exact"/>
        <w:ind w:firstLine="480" w:firstLineChars="200"/>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根据建设项目污染物排放特点及当地气象条件、自然环境状况确定各环境要素评价范围，依据《环境影响评价技术导则 大气环境》（HJ2.2-2018），确定本项目大气环境影响评价范围为项目厂址为中心区域，5km为边长的矩形区域。</w:t>
      </w:r>
    </w:p>
    <w:p>
      <w:pPr>
        <w:spacing w:line="500" w:lineRule="exact"/>
        <w:ind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b w:val="0"/>
          <w:bCs w:val="0"/>
          <w:color w:val="auto"/>
          <w:sz w:val="24"/>
          <w:lang w:val="en-US" w:eastAsia="zh-CN"/>
        </w:rPr>
        <w:t>⑹</w:t>
      </w:r>
      <w:r>
        <w:rPr>
          <w:rFonts w:hint="default" w:ascii="Times New Roman" w:hAnsi="Times New Roman" w:eastAsia="宋体" w:cs="Times New Roman"/>
          <w:b w:val="0"/>
          <w:bCs w:val="0"/>
          <w:color w:val="auto"/>
          <w:sz w:val="24"/>
        </w:rPr>
        <w:t>污</w:t>
      </w:r>
      <w:r>
        <w:rPr>
          <w:rFonts w:hint="default" w:ascii="Times New Roman" w:hAnsi="Times New Roman" w:eastAsia="宋体" w:cs="Times New Roman"/>
          <w:color w:val="auto"/>
          <w:sz w:val="24"/>
        </w:rPr>
        <w:t>染物排放量核算结果</w:t>
      </w:r>
    </w:p>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大气污染物有组织排放量核算表见表-</w:t>
      </w:r>
      <w:r>
        <w:rPr>
          <w:rFonts w:hint="eastAsia"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w:t>
      </w:r>
    </w:p>
    <w:p>
      <w:pPr>
        <w:spacing w:line="480" w:lineRule="exact"/>
        <w:ind w:firstLine="422" w:firstLineChars="176"/>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 xml:space="preserve">  大气污染物</w:t>
      </w:r>
      <w:r>
        <w:rPr>
          <w:rFonts w:hint="default" w:ascii="Times New Roman" w:hAnsi="Times New Roman" w:eastAsia="宋体" w:cs="Times New Roman"/>
          <w:color w:val="auto"/>
          <w:sz w:val="24"/>
        </w:rPr>
        <w:t>有组织</w:t>
      </w:r>
      <w:r>
        <w:rPr>
          <w:rFonts w:hint="default" w:ascii="Times New Roman" w:hAnsi="Times New Roman" w:eastAsia="宋体" w:cs="Times New Roman"/>
          <w:bCs/>
          <w:color w:val="auto"/>
          <w:sz w:val="24"/>
        </w:rPr>
        <w:t>排放量核算表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5" w:type="dxa"/>
          <w:bottom w:w="0" w:type="dxa"/>
          <w:right w:w="45" w:type="dxa"/>
        </w:tblCellMar>
      </w:tblPr>
      <w:tblGrid>
        <w:gridCol w:w="585"/>
        <w:gridCol w:w="1842"/>
        <w:gridCol w:w="749"/>
        <w:gridCol w:w="1830"/>
        <w:gridCol w:w="1834"/>
        <w:gridCol w:w="1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1842"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排放口</w:t>
            </w:r>
          </w:p>
        </w:tc>
        <w:tc>
          <w:tcPr>
            <w:tcW w:w="749"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污染物</w:t>
            </w:r>
          </w:p>
        </w:tc>
        <w:tc>
          <w:tcPr>
            <w:tcW w:w="1830"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核算排放浓度</w:t>
            </w:r>
          </w:p>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mg/m</w:t>
            </w:r>
            <w:r>
              <w:rPr>
                <w:rFonts w:hint="default" w:ascii="Times New Roman" w:hAnsi="Times New Roman" w:eastAsia="宋体" w:cs="Times New Roman"/>
                <w:color w:val="auto"/>
                <w:kern w:val="0"/>
                <w:sz w:val="21"/>
                <w:szCs w:val="21"/>
                <w:vertAlign w:val="superscript"/>
              </w:rPr>
              <w:t>3</w:t>
            </w:r>
          </w:p>
        </w:tc>
        <w:tc>
          <w:tcPr>
            <w:tcW w:w="18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核算排放速率</w:t>
            </w:r>
          </w:p>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kg/h</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核算年排放量</w:t>
            </w:r>
          </w:p>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174" w:hRule="atLeast"/>
          <w:jc w:val="center"/>
        </w:trPr>
        <w:tc>
          <w:tcPr>
            <w:tcW w:w="8474" w:type="dxa"/>
            <w:gridSpan w:val="6"/>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一般排放口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vMerge w:val="restart"/>
            <w:noWrap w:val="0"/>
            <w:vAlign w:val="center"/>
          </w:tcPr>
          <w:p>
            <w:pPr>
              <w:overflowPunct w:val="0"/>
              <w:autoSpaceDE w:val="0"/>
              <w:autoSpaceDN w:val="0"/>
              <w:adjustRightInd w:val="0"/>
              <w:spacing w:line="240" w:lineRule="exact"/>
              <w:jc w:val="center"/>
              <w:textAlignment w:val="baseline"/>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1</w:t>
            </w:r>
          </w:p>
        </w:tc>
        <w:tc>
          <w:tcPr>
            <w:tcW w:w="1842" w:type="dxa"/>
            <w:vMerge w:val="restart"/>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导热油炉</w:t>
            </w:r>
          </w:p>
        </w:tc>
        <w:tc>
          <w:tcPr>
            <w:tcW w:w="749"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rPr>
              <w:t>烟尘</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kern w:val="0"/>
                <w:sz w:val="21"/>
                <w:szCs w:val="21"/>
                <w:lang w:val="en-US" w:eastAsia="zh-CN"/>
              </w:rPr>
              <w:t>5</w:t>
            </w:r>
          </w:p>
        </w:tc>
        <w:tc>
          <w:tcPr>
            <w:tcW w:w="1834" w:type="dxa"/>
            <w:noWrap w:val="0"/>
            <w:vAlign w:val="center"/>
          </w:tcPr>
          <w:p>
            <w:pPr>
              <w:spacing w:line="240" w:lineRule="exact"/>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0.0</w:t>
            </w:r>
            <w:r>
              <w:rPr>
                <w:rFonts w:hint="eastAsia" w:ascii="Times New Roman" w:hAnsi="Times New Roman" w:eastAsia="宋体" w:cs="Times New Roman"/>
                <w:color w:val="auto"/>
                <w:sz w:val="21"/>
                <w:szCs w:val="21"/>
                <w:lang w:val="en-US" w:eastAsia="zh-CN"/>
              </w:rPr>
              <w:t>1</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0.0</w:t>
            </w:r>
            <w:r>
              <w:rPr>
                <w:rFonts w:hint="eastAsia" w:ascii="Times New Roman" w:hAnsi="Times New Roman" w:eastAsia="宋体" w:cs="Times New Roman"/>
                <w:b w:val="0"/>
                <w:bCs w:val="0"/>
                <w:color w:val="auto"/>
                <w:kern w:val="0"/>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1842" w:type="dxa"/>
            <w:vMerge w:val="continue"/>
            <w:noWrap w:val="0"/>
            <w:vAlign w:val="center"/>
          </w:tcPr>
          <w:p>
            <w:pPr>
              <w:spacing w:line="240" w:lineRule="exact"/>
              <w:jc w:val="center"/>
              <w:rPr>
                <w:rFonts w:hint="default" w:ascii="Times New Roman" w:hAnsi="Times New Roman" w:eastAsia="宋体" w:cs="Times New Roman"/>
                <w:color w:val="auto"/>
                <w:kern w:val="0"/>
                <w:sz w:val="21"/>
                <w:szCs w:val="21"/>
              </w:rPr>
            </w:pPr>
          </w:p>
        </w:tc>
        <w:tc>
          <w:tcPr>
            <w:tcW w:w="749"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35</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0.05</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0.</w:t>
            </w:r>
            <w:r>
              <w:rPr>
                <w:rFonts w:hint="default" w:ascii="Times New Roman" w:hAnsi="Times New Roman" w:eastAsia="宋体" w:cs="Times New Roman"/>
                <w:b w:val="0"/>
                <w:bCs w:val="0"/>
                <w:color w:val="auto"/>
                <w:kern w:val="0"/>
                <w:sz w:val="21"/>
                <w:szCs w:val="21"/>
                <w:lang w:val="en-US" w:eastAsia="zh-CN"/>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1842" w:type="dxa"/>
            <w:vMerge w:val="continue"/>
            <w:noWrap w:val="0"/>
            <w:vAlign w:val="center"/>
          </w:tcPr>
          <w:p>
            <w:pPr>
              <w:spacing w:line="240" w:lineRule="exact"/>
              <w:jc w:val="center"/>
              <w:rPr>
                <w:rFonts w:hint="default" w:ascii="Times New Roman" w:hAnsi="Times New Roman" w:eastAsia="宋体" w:cs="Times New Roman"/>
                <w:color w:val="auto"/>
                <w:kern w:val="0"/>
                <w:sz w:val="21"/>
                <w:szCs w:val="21"/>
              </w:rPr>
            </w:pPr>
          </w:p>
        </w:tc>
        <w:tc>
          <w:tcPr>
            <w:tcW w:w="749"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NOx</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50</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0.15</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0.</w:t>
            </w:r>
            <w:r>
              <w:rPr>
                <w:rFonts w:hint="default" w:ascii="Times New Roman" w:hAnsi="Times New Roman" w:eastAsia="宋体" w:cs="Times New Roman"/>
                <w:b w:val="0"/>
                <w:bCs w:val="0"/>
                <w:color w:val="auto"/>
                <w:kern w:val="0"/>
                <w:sz w:val="21"/>
                <w:szCs w:val="21"/>
                <w:lang w:val="en-US" w:eastAsia="zh-CN"/>
              </w:rPr>
              <w:t>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vMerge w:val="restart"/>
            <w:noWrap w:val="0"/>
            <w:vAlign w:val="center"/>
          </w:tcPr>
          <w:p>
            <w:pPr>
              <w:overflowPunct w:val="0"/>
              <w:autoSpaceDE w:val="0"/>
              <w:autoSpaceDN w:val="0"/>
              <w:adjustRightInd w:val="0"/>
              <w:spacing w:line="240" w:lineRule="exact"/>
              <w:jc w:val="center"/>
              <w:textAlignment w:val="baseline"/>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2</w:t>
            </w:r>
          </w:p>
        </w:tc>
        <w:tc>
          <w:tcPr>
            <w:tcW w:w="1842"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沥青</w:t>
            </w:r>
            <w:r>
              <w:rPr>
                <w:rFonts w:hint="default" w:ascii="Times New Roman" w:hAnsi="Times New Roman" w:eastAsia="宋体" w:cs="Times New Roman"/>
                <w:b w:val="0"/>
                <w:bCs w:val="0"/>
                <w:color w:val="auto"/>
                <w:kern w:val="44"/>
                <w:sz w:val="21"/>
                <w:szCs w:val="21"/>
                <w:lang w:val="en-US" w:eastAsia="zh-CN"/>
              </w:rPr>
              <w:t>加热</w:t>
            </w:r>
            <w:r>
              <w:rPr>
                <w:rFonts w:hint="default" w:ascii="Times New Roman" w:hAnsi="Times New Roman" w:eastAsia="宋体" w:cs="Times New Roman"/>
                <w:b w:val="0"/>
                <w:bCs w:val="0"/>
                <w:color w:val="auto"/>
                <w:sz w:val="21"/>
                <w:szCs w:val="21"/>
                <w:highlight w:val="none"/>
                <w:lang w:val="en-US" w:eastAsia="zh-CN"/>
              </w:rPr>
              <w:t>储存</w:t>
            </w:r>
            <w:r>
              <w:rPr>
                <w:rFonts w:hint="default" w:ascii="Times New Roman" w:hAnsi="Times New Roman" w:eastAsia="宋体" w:cs="Times New Roman"/>
                <w:b w:val="0"/>
                <w:bCs w:val="0"/>
                <w:color w:val="auto"/>
                <w:kern w:val="44"/>
                <w:sz w:val="21"/>
                <w:szCs w:val="21"/>
              </w:rPr>
              <w:t>、</w:t>
            </w:r>
            <w:r>
              <w:rPr>
                <w:rFonts w:hint="default" w:ascii="Times New Roman" w:hAnsi="Times New Roman" w:eastAsia="宋体" w:cs="Times New Roman"/>
                <w:b w:val="0"/>
                <w:bCs w:val="0"/>
                <w:color w:val="auto"/>
                <w:sz w:val="21"/>
                <w:szCs w:val="21"/>
                <w:lang w:val="en-US" w:eastAsia="zh-CN"/>
              </w:rPr>
              <w:t>配料、</w:t>
            </w:r>
            <w:r>
              <w:rPr>
                <w:rFonts w:hint="default" w:ascii="Times New Roman" w:hAnsi="Times New Roman" w:eastAsia="宋体" w:cs="Times New Roman"/>
                <w:b w:val="0"/>
                <w:bCs w:val="0"/>
                <w:color w:val="auto"/>
                <w:sz w:val="21"/>
                <w:szCs w:val="21"/>
              </w:rPr>
              <w:t>搅拌、浸油、涂油</w:t>
            </w:r>
            <w:r>
              <w:rPr>
                <w:rFonts w:hint="default" w:ascii="Times New Roman" w:hAnsi="Times New Roman" w:eastAsia="宋体" w:cs="Times New Roman"/>
                <w:b w:val="0"/>
                <w:bCs w:val="0"/>
                <w:color w:val="auto"/>
                <w:sz w:val="21"/>
                <w:szCs w:val="21"/>
                <w:lang w:val="en-US" w:eastAsia="zh-CN"/>
              </w:rPr>
              <w:t>和覆膜</w:t>
            </w:r>
          </w:p>
        </w:tc>
        <w:tc>
          <w:tcPr>
            <w:tcW w:w="74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沥青烟</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eastAsia" w:ascii="Times New Roman" w:hAnsi="Times New Roman" w:eastAsia="宋体" w:cs="Times New Roman"/>
                <w:b w:val="0"/>
                <w:bCs w:val="0"/>
                <w:color w:val="auto"/>
                <w:kern w:val="0"/>
                <w:sz w:val="21"/>
                <w:szCs w:val="21"/>
                <w:lang w:val="en-US" w:eastAsia="zh-CN"/>
              </w:rPr>
              <w:t>0.89</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0.025</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0.061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1842" w:type="dxa"/>
            <w:vMerge w:val="continue"/>
            <w:noWrap w:val="0"/>
            <w:vAlign w:val="center"/>
          </w:tcPr>
          <w:p>
            <w:pPr>
              <w:spacing w:line="240" w:lineRule="exact"/>
              <w:jc w:val="center"/>
              <w:rPr>
                <w:rFonts w:hint="default" w:ascii="Times New Roman" w:hAnsi="Times New Roman" w:eastAsia="宋体" w:cs="Times New Roman"/>
                <w:color w:val="auto"/>
                <w:kern w:val="0"/>
                <w:sz w:val="21"/>
                <w:szCs w:val="21"/>
              </w:rPr>
            </w:pPr>
          </w:p>
        </w:tc>
        <w:tc>
          <w:tcPr>
            <w:tcW w:w="74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苯并[a]芘</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0.2</w:t>
            </w:r>
            <w:r>
              <w:rPr>
                <w:rFonts w:hint="eastAsia" w:ascii="Times New Roman" w:hAnsi="Times New Roman" w:eastAsia="宋体" w:cs="Times New Roman"/>
                <w:b w:val="0"/>
                <w:bCs w:val="0"/>
                <w:color w:val="auto"/>
                <w:kern w:val="0"/>
                <w:sz w:val="21"/>
                <w:szCs w:val="21"/>
                <w:lang w:val="en-US" w:eastAsia="zh-CN"/>
              </w:rPr>
              <w:t>01</w:t>
            </w:r>
            <w:r>
              <w:rPr>
                <w:rFonts w:hint="default" w:ascii="Times New Roman" w:hAnsi="Times New Roman" w:eastAsia="宋体" w:cs="Times New Roman"/>
                <w:b w:val="0"/>
                <w:bCs w:val="0"/>
                <w:color w:val="auto"/>
                <w:sz w:val="21"/>
                <w:szCs w:val="21"/>
              </w:rPr>
              <w:t>×10</w:t>
            </w:r>
            <w:r>
              <w:rPr>
                <w:rFonts w:hint="default" w:ascii="Times New Roman" w:hAnsi="Times New Roman" w:eastAsia="宋体" w:cs="Times New Roman"/>
                <w:b w:val="0"/>
                <w:bCs w:val="0"/>
                <w:color w:val="auto"/>
                <w:sz w:val="21"/>
                <w:szCs w:val="21"/>
                <w:vertAlign w:val="superscript"/>
              </w:rPr>
              <w:t>-3</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0.058</w:t>
            </w:r>
            <w:r>
              <w:rPr>
                <w:rFonts w:hint="default" w:ascii="Times New Roman" w:hAnsi="Times New Roman" w:eastAsia="宋体" w:cs="Times New Roman"/>
                <w:color w:val="auto"/>
                <w:kern w:val="0"/>
                <w:sz w:val="21"/>
                <w:szCs w:val="21"/>
              </w:rPr>
              <w:t>×10</w:t>
            </w:r>
            <w:r>
              <w:rPr>
                <w:rFonts w:hint="default" w:ascii="Times New Roman" w:hAnsi="Times New Roman" w:eastAsia="宋体" w:cs="Times New Roman"/>
                <w:color w:val="auto"/>
                <w:kern w:val="0"/>
                <w:sz w:val="21"/>
                <w:szCs w:val="21"/>
                <w:vertAlign w:val="superscript"/>
              </w:rPr>
              <w:t>-4</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0.014</w:t>
            </w:r>
            <w:r>
              <w:rPr>
                <w:rFonts w:hint="default" w:ascii="Times New Roman" w:hAnsi="Times New Roman" w:eastAsia="宋体" w:cs="Times New Roman"/>
                <w:b w:val="0"/>
                <w:bCs w:val="0"/>
                <w:color w:val="auto"/>
                <w:sz w:val="21"/>
                <w:szCs w:val="21"/>
              </w:rPr>
              <w:t>×10</w:t>
            </w:r>
            <w:r>
              <w:rPr>
                <w:rFonts w:hint="default" w:ascii="Times New Roman" w:hAnsi="Times New Roman" w:eastAsia="宋体" w:cs="Times New Roman"/>
                <w:b w:val="0"/>
                <w:bCs w:val="0"/>
                <w:color w:val="auto"/>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trHeight w:val="245" w:hRule="atLeast"/>
          <w:jc w:val="center"/>
        </w:trPr>
        <w:tc>
          <w:tcPr>
            <w:tcW w:w="585" w:type="dxa"/>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1842"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p>
        </w:tc>
        <w:tc>
          <w:tcPr>
            <w:tcW w:w="74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非甲烷总烃</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2.</w:t>
            </w:r>
            <w:r>
              <w:rPr>
                <w:rFonts w:hint="eastAsia" w:ascii="Times New Roman" w:hAnsi="Times New Roman" w:eastAsia="宋体" w:cs="Times New Roman"/>
                <w:b w:val="0"/>
                <w:bCs w:val="0"/>
                <w:color w:val="auto"/>
                <w:kern w:val="0"/>
                <w:sz w:val="21"/>
                <w:szCs w:val="21"/>
                <w:lang w:val="en-US" w:eastAsia="zh-CN"/>
              </w:rPr>
              <w:t>50</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0.065</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noWrap w:val="0"/>
            <w:vAlign w:val="center"/>
          </w:tcPr>
          <w:p>
            <w:pPr>
              <w:overflowPunct w:val="0"/>
              <w:autoSpaceDE w:val="0"/>
              <w:autoSpaceDN w:val="0"/>
              <w:adjustRightInd w:val="0"/>
              <w:spacing w:line="240" w:lineRule="exact"/>
              <w:jc w:val="center"/>
              <w:textAlignment w:val="baseline"/>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3</w:t>
            </w:r>
          </w:p>
        </w:tc>
        <w:tc>
          <w:tcPr>
            <w:tcW w:w="184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sz w:val="21"/>
                <w:szCs w:val="21"/>
                <w:lang w:val="en-US" w:eastAsia="zh-CN"/>
              </w:rPr>
              <w:t>滑石粉储罐</w:t>
            </w:r>
          </w:p>
        </w:tc>
        <w:tc>
          <w:tcPr>
            <w:tcW w:w="74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粉尘</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10</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0.014</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585" w:type="dxa"/>
            <w:noWrap w:val="0"/>
            <w:vAlign w:val="center"/>
          </w:tcPr>
          <w:p>
            <w:pPr>
              <w:overflowPunct w:val="0"/>
              <w:autoSpaceDE w:val="0"/>
              <w:autoSpaceDN w:val="0"/>
              <w:adjustRightInd w:val="0"/>
              <w:spacing w:line="240" w:lineRule="exact"/>
              <w:jc w:val="center"/>
              <w:textAlignment w:val="baseline"/>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w:t>
            </w:r>
          </w:p>
        </w:tc>
        <w:tc>
          <w:tcPr>
            <w:tcW w:w="1842"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橡胶粉储罐</w:t>
            </w:r>
          </w:p>
        </w:tc>
        <w:tc>
          <w:tcPr>
            <w:tcW w:w="749"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rPr>
              <w:t>粉尘</w:t>
            </w:r>
          </w:p>
        </w:tc>
        <w:tc>
          <w:tcPr>
            <w:tcW w:w="183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10</w:t>
            </w:r>
          </w:p>
        </w:tc>
        <w:tc>
          <w:tcPr>
            <w:tcW w:w="1834" w:type="dxa"/>
            <w:noWrap w:val="0"/>
            <w:vAlign w:val="center"/>
          </w:tcPr>
          <w:p>
            <w:pPr>
              <w:spacing w:line="240" w:lineRule="exact"/>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0.014</w:t>
            </w:r>
          </w:p>
        </w:tc>
        <w:tc>
          <w:tcPr>
            <w:tcW w:w="1634"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0.007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restart"/>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一般排放口合计</w:t>
            </w:r>
          </w:p>
        </w:tc>
        <w:tc>
          <w:tcPr>
            <w:tcW w:w="4413" w:type="dxa"/>
            <w:gridSpan w:val="3"/>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粉尘</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烟尘</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w:t>
            </w:r>
            <w:r>
              <w:rPr>
                <w:rFonts w:hint="eastAsia" w:ascii="Times New Roman" w:hAnsi="Times New Roman" w:eastAsia="宋体" w:cs="Times New Roman"/>
                <w:color w:val="auto"/>
                <w:kern w:val="0"/>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NOx</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8474" w:type="dxa"/>
            <w:gridSpan w:val="6"/>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有组织排放总计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restart"/>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有组织排放总计</w:t>
            </w:r>
          </w:p>
        </w:tc>
        <w:tc>
          <w:tcPr>
            <w:tcW w:w="4413" w:type="dxa"/>
            <w:gridSpan w:val="3"/>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粉尘</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烟尘</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lang w:val="en-US"/>
              </w:rPr>
            </w:pPr>
            <w:r>
              <w:rPr>
                <w:rFonts w:hint="default" w:ascii="Times New Roman" w:hAnsi="Times New Roman" w:eastAsia="宋体" w:cs="Times New Roman"/>
                <w:color w:val="auto"/>
                <w:kern w:val="0"/>
                <w:sz w:val="21"/>
                <w:szCs w:val="21"/>
                <w:lang w:val="en-US" w:eastAsia="zh-CN"/>
              </w:rPr>
              <w:t>0.0</w:t>
            </w:r>
            <w:r>
              <w:rPr>
                <w:rFonts w:hint="eastAsia" w:ascii="Times New Roman" w:hAnsi="Times New Roman" w:eastAsia="宋体" w:cs="Times New Roman"/>
                <w:color w:val="auto"/>
                <w:kern w:val="0"/>
                <w:sz w:val="21"/>
                <w:szCs w:val="21"/>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5" w:type="dxa"/>
            <w:bottom w:w="0" w:type="dxa"/>
            <w:right w:w="45" w:type="dxa"/>
          </w:tblCellMar>
        </w:tblPrEx>
        <w:trPr>
          <w:jc w:val="center"/>
        </w:trPr>
        <w:tc>
          <w:tcPr>
            <w:tcW w:w="2427" w:type="dxa"/>
            <w:gridSpan w:val="2"/>
            <w:vMerge w:val="continue"/>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p>
        </w:tc>
        <w:tc>
          <w:tcPr>
            <w:tcW w:w="4413" w:type="dxa"/>
            <w:gridSpan w:val="3"/>
            <w:noWrap w:val="0"/>
            <w:vAlign w:val="center"/>
          </w:tcPr>
          <w:p>
            <w:pPr>
              <w:spacing w:line="240" w:lineRule="exact"/>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NOx</w:t>
            </w:r>
          </w:p>
        </w:tc>
        <w:tc>
          <w:tcPr>
            <w:tcW w:w="1634" w:type="dxa"/>
            <w:noWrap w:val="0"/>
            <w:vAlign w:val="center"/>
          </w:tcPr>
          <w:p>
            <w:pPr>
              <w:overflowPunct w:val="0"/>
              <w:autoSpaceDE w:val="0"/>
              <w:autoSpaceDN w:val="0"/>
              <w:adjustRightInd w:val="0"/>
              <w:spacing w:line="240" w:lineRule="exact"/>
              <w:jc w:val="center"/>
              <w:textAlignment w:val="baseline"/>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en-US" w:eastAsia="zh-CN"/>
              </w:rPr>
              <w:t>0.261</w:t>
            </w:r>
          </w:p>
        </w:tc>
      </w:tr>
    </w:tbl>
    <w:p>
      <w:pPr>
        <w:pStyle w:val="84"/>
        <w:snapToGrid/>
        <w:spacing w:line="500" w:lineRule="exact"/>
        <w:ind w:firstLine="480" w:firstLineChars="200"/>
        <w:rPr>
          <w:rFonts w:hint="default" w:ascii="Times New Roman" w:hAnsi="Times New Roman" w:eastAsia="宋体" w:cs="Times New Roman"/>
          <w:color w:val="auto"/>
          <w:sz w:val="24"/>
        </w:rPr>
      </w:pPr>
      <w:r>
        <w:rPr>
          <w:rFonts w:hint="eastAsia" w:ascii="Times New Roman" w:hAnsi="Times New Roman" w:cs="Times New Roman"/>
          <w:color w:val="auto"/>
          <w:sz w:val="24"/>
          <w:lang w:val="en-US" w:eastAsia="zh-CN"/>
        </w:rPr>
        <w:t>⑺</w:t>
      </w:r>
      <w:r>
        <w:rPr>
          <w:rFonts w:hint="default" w:ascii="Times New Roman" w:hAnsi="Times New Roman" w:eastAsia="宋体" w:cs="Times New Roman"/>
          <w:color w:val="auto"/>
          <w:sz w:val="24"/>
        </w:rPr>
        <w:t>环境空气影响分析结论</w:t>
      </w:r>
    </w:p>
    <w:p>
      <w:pPr>
        <w:pStyle w:val="84"/>
        <w:snapToGrid/>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综上所述，本项目针对各大气污染源采取相应的污染防治措施后，最大限度的降低了大气污染物的排放量，各项污染物实现达标排放，不会对环境空气造成明显不利影响。本项目大气环境影响评价自查表见表-</w:t>
      </w:r>
      <w:r>
        <w:rPr>
          <w:rFonts w:hint="eastAsia" w:ascii="Times New Roman" w:hAnsi="Times New Roman" w:eastAsia="宋体" w:cs="Times New Roman"/>
          <w:color w:val="auto"/>
          <w:sz w:val="24"/>
          <w:lang w:val="en-US" w:eastAsia="zh-CN"/>
        </w:rPr>
        <w:t>8</w:t>
      </w:r>
      <w:r>
        <w:rPr>
          <w:rFonts w:hint="default" w:ascii="Times New Roman" w:hAnsi="Times New Roman" w:eastAsia="宋体" w:cs="Times New Roman"/>
          <w:color w:val="auto"/>
          <w:sz w:val="24"/>
        </w:rPr>
        <w:t>。</w:t>
      </w:r>
    </w:p>
    <w:p>
      <w:pPr>
        <w:widowControl/>
        <w:adjustRightInd w:val="0"/>
        <w:snapToGrid w:val="0"/>
        <w:spacing w:line="420" w:lineRule="exact"/>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表-</w:t>
      </w:r>
      <w:r>
        <w:rPr>
          <w:rFonts w:hint="eastAsia" w:ascii="Times New Roman" w:hAnsi="Times New Roman" w:eastAsia="宋体" w:cs="Times New Roman"/>
          <w:bCs/>
          <w:color w:val="auto"/>
          <w:sz w:val="24"/>
          <w:lang w:val="en-US" w:eastAsia="zh-CN"/>
        </w:rPr>
        <w:t>8</w:t>
      </w:r>
      <w:r>
        <w:rPr>
          <w:rFonts w:hint="default" w:ascii="Times New Roman" w:hAnsi="Times New Roman" w:eastAsia="宋体" w:cs="Times New Roman"/>
          <w:bCs/>
          <w:color w:val="auto"/>
          <w:sz w:val="24"/>
        </w:rPr>
        <w:t xml:space="preserve">  建设项目大气环境影响评价自查表</w:t>
      </w:r>
    </w:p>
    <w:tbl>
      <w:tblPr>
        <w:tblStyle w:val="26"/>
        <w:tblW w:w="9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483"/>
        <w:gridCol w:w="788"/>
        <w:gridCol w:w="163"/>
        <w:gridCol w:w="335"/>
        <w:gridCol w:w="18"/>
        <w:gridCol w:w="598"/>
        <w:gridCol w:w="258"/>
        <w:gridCol w:w="128"/>
        <w:gridCol w:w="318"/>
        <w:gridCol w:w="205"/>
        <w:gridCol w:w="42"/>
        <w:gridCol w:w="498"/>
        <w:gridCol w:w="453"/>
        <w:gridCol w:w="584"/>
        <w:gridCol w:w="198"/>
        <w:gridCol w:w="169"/>
        <w:gridCol w:w="508"/>
        <w:gridCol w:w="443"/>
        <w:gridCol w:w="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5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工作内容</w:t>
            </w:r>
          </w:p>
        </w:tc>
        <w:tc>
          <w:tcPr>
            <w:tcW w:w="6657"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自查项目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评价等级与范围</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评价等级</w:t>
            </w:r>
          </w:p>
        </w:tc>
        <w:tc>
          <w:tcPr>
            <w:tcW w:w="130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一级□</w:t>
            </w:r>
          </w:p>
        </w:tc>
        <w:tc>
          <w:tcPr>
            <w:tcW w:w="3084"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二级</w:t>
            </w:r>
            <w:r>
              <w:rPr>
                <w:rFonts w:hint="default" w:ascii="Times New Roman" w:hAnsi="Times New Roman" w:eastAsia="宋体" w:cs="Times New Roman"/>
                <w:color w:val="auto"/>
                <w:sz w:val="21"/>
                <w:szCs w:val="21"/>
              </w:rPr>
              <w:sym w:font="Wingdings 2" w:char="0052"/>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三级</w:t>
            </w:r>
            <w:r>
              <w:rPr>
                <w:rFonts w:hint="default" w:ascii="Times New Roman" w:hAnsi="Times New Roman" w:eastAsia="宋体" w:cs="Times New Roman"/>
                <w:color w:val="auto"/>
                <w:sz w:val="21"/>
                <w:szCs w:val="21"/>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评价范围</w:t>
            </w:r>
          </w:p>
        </w:tc>
        <w:tc>
          <w:tcPr>
            <w:tcW w:w="130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边长=50km□</w:t>
            </w:r>
          </w:p>
        </w:tc>
        <w:tc>
          <w:tcPr>
            <w:tcW w:w="3084"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边长5~50km□</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边长=5km</w:t>
            </w:r>
            <w:r>
              <w:rPr>
                <w:rFonts w:hint="default" w:ascii="Times New Roman" w:hAnsi="Times New Roman" w:eastAsia="宋体" w:cs="Times New Roman"/>
                <w:color w:val="auto"/>
                <w:sz w:val="21"/>
                <w:szCs w:val="21"/>
              </w:rPr>
              <w:sym w:font="Wingdings 2" w:char="0052"/>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r>
              <w:rPr>
                <w:rFonts w:hint="default" w:ascii="Times New Roman" w:hAnsi="Times New Roman" w:eastAsia="宋体" w:cs="Times New Roman"/>
                <w:color w:val="auto"/>
                <w:sz w:val="21"/>
                <w:szCs w:val="21"/>
              </w:rPr>
              <w:t>排放量</w:t>
            </w:r>
          </w:p>
        </w:tc>
        <w:tc>
          <w:tcPr>
            <w:tcW w:w="130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≥2000t/a</w:t>
            </w:r>
            <w:r>
              <w:rPr>
                <w:rFonts w:hint="default" w:ascii="Times New Roman" w:hAnsi="Times New Roman" w:cs="Times New Roman"/>
                <w:color w:val="auto"/>
                <w:sz w:val="21"/>
                <w:szCs w:val="21"/>
                <w:highlight w:val="none"/>
              </w:rPr>
              <w:t>□</w:t>
            </w:r>
          </w:p>
        </w:tc>
        <w:tc>
          <w:tcPr>
            <w:tcW w:w="3084"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500~2000t/a</w:t>
            </w:r>
            <w:r>
              <w:rPr>
                <w:rFonts w:hint="default" w:ascii="Times New Roman" w:hAnsi="Times New Roman" w:cs="Times New Roman"/>
                <w:color w:val="auto"/>
                <w:sz w:val="21"/>
                <w:szCs w:val="21"/>
                <w:highlight w:val="none"/>
              </w:rPr>
              <w:t>□</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＜500t/a</w:t>
            </w:r>
            <w:r>
              <w:rPr>
                <w:rFonts w:hint="default"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基本污染物（</w:t>
            </w:r>
            <w:r>
              <w:rPr>
                <w:rFonts w:hint="default" w:ascii="Times New Roman" w:hAnsi="Times New Roman" w:cs="Times New Roman"/>
                <w:color w:val="auto"/>
                <w:sz w:val="21"/>
                <w:szCs w:val="21"/>
                <w:highlight w:val="none"/>
                <w:lang w:val="en-US" w:eastAsia="zh-CN"/>
              </w:rPr>
              <w:t>PM</w:t>
            </w:r>
            <w:r>
              <w:rPr>
                <w:rFonts w:hint="default" w:ascii="Times New Roman" w:hAnsi="Times New Roman" w:cs="Times New Roman"/>
                <w:color w:val="auto"/>
                <w:sz w:val="21"/>
                <w:szCs w:val="21"/>
                <w:highlight w:val="none"/>
                <w:vertAlign w:val="subscript"/>
                <w:lang w:val="en-US" w:eastAsia="zh-CN"/>
              </w:rPr>
              <w:t>10</w:t>
            </w:r>
            <w:r>
              <w:rPr>
                <w:rFonts w:hint="default" w:ascii="Times New Roman" w:hAnsi="Times New Roman" w:cs="Times New Roman"/>
                <w:color w:val="auto"/>
                <w:sz w:val="21"/>
                <w:szCs w:val="21"/>
                <w:highlight w:val="none"/>
                <w:lang w:val="en-US" w:eastAsia="zh-CN"/>
              </w:rPr>
              <w:t>、SO</w:t>
            </w:r>
            <w:r>
              <w:rPr>
                <w:rFonts w:hint="default" w:ascii="Times New Roman" w:hAnsi="Times New Roman" w:cs="Times New Roman"/>
                <w:color w:val="auto"/>
                <w:sz w:val="21"/>
                <w:szCs w:val="21"/>
                <w:highlight w:val="none"/>
                <w:vertAlign w:val="subscript"/>
                <w:lang w:val="en-US" w:eastAsia="zh-CN"/>
              </w:rPr>
              <w:t>2</w:t>
            </w:r>
            <w:r>
              <w:rPr>
                <w:rFonts w:hint="default" w:ascii="Times New Roman" w:hAnsi="Times New Roman" w:cs="Times New Roman"/>
                <w:color w:val="auto"/>
                <w:sz w:val="21"/>
                <w:szCs w:val="21"/>
                <w:highlight w:val="none"/>
                <w:lang w:val="en-US" w:eastAsia="zh-CN"/>
              </w:rPr>
              <w:t>、NOx</w:t>
            </w:r>
            <w:r>
              <w:rPr>
                <w:rFonts w:hint="default" w:ascii="Times New Roman" w:hAnsi="Times New Roman" w:eastAsia="宋体" w:cs="Times New Roman"/>
                <w:color w:val="auto"/>
                <w:sz w:val="21"/>
                <w:szCs w:val="21"/>
              </w:rPr>
              <w:t>）</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其他污染物（</w:t>
            </w:r>
            <w:r>
              <w:rPr>
                <w:rFonts w:hint="default" w:ascii="Times New Roman" w:hAnsi="Times New Roman" w:cs="Times New Roman"/>
                <w:color w:val="auto"/>
                <w:sz w:val="21"/>
                <w:szCs w:val="21"/>
                <w:highlight w:val="none"/>
                <w:lang w:val="en-US" w:eastAsia="zh-CN"/>
              </w:rPr>
              <w:t>沥青烟</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rPr>
              <w:t>苯并[a]芘</w:t>
            </w:r>
            <w:r>
              <w:rPr>
                <w:rFonts w:hint="eastAsia" w:ascii="Times New Roman" w:hAnsi="Times New Roman" w:eastAsia="宋体" w:cs="Times New Roman"/>
                <w:color w:val="auto"/>
                <w:sz w:val="21"/>
                <w:szCs w:val="21"/>
                <w:lang w:eastAsia="zh-CN"/>
              </w:rPr>
              <w:t>、</w:t>
            </w:r>
            <w:r>
              <w:rPr>
                <w:rFonts w:hint="eastAsia" w:ascii="Times New Roman" w:hAnsi="Times New Roman" w:cs="Times New Roman"/>
                <w:color w:val="auto"/>
                <w:sz w:val="21"/>
                <w:szCs w:val="21"/>
                <w:highlight w:val="none"/>
                <w:lang w:val="en-US" w:eastAsia="zh-CN"/>
              </w:rPr>
              <w:t>非甲烷总烃</w:t>
            </w:r>
            <w:r>
              <w:rPr>
                <w:rFonts w:hint="default" w:ascii="Times New Roman" w:hAnsi="Times New Roman" w:eastAsia="宋体" w:cs="Times New Roman"/>
                <w:color w:val="auto"/>
                <w:sz w:val="21"/>
                <w:szCs w:val="21"/>
              </w:rPr>
              <w:t>）</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xml:space="preserve">  包括二次PM2.5□</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不包括二次PM2.5☑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评价标准</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评价标准</w:t>
            </w:r>
          </w:p>
        </w:tc>
        <w:tc>
          <w:tcPr>
            <w:tcW w:w="78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国家标准☑</w:t>
            </w:r>
          </w:p>
        </w:tc>
        <w:tc>
          <w:tcPr>
            <w:tcW w:w="137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地方标准</w:t>
            </w:r>
            <w:r>
              <w:rPr>
                <w:rFonts w:hint="default" w:ascii="Times New Roman" w:hAnsi="Times New Roman" w:eastAsia="宋体" w:cs="Times New Roman"/>
                <w:color w:val="auto"/>
                <w:sz w:val="21"/>
                <w:szCs w:val="21"/>
              </w:rPr>
              <w:sym w:font="Wingdings 2" w:char="0052"/>
            </w:r>
          </w:p>
        </w:tc>
        <w:tc>
          <w:tcPr>
            <w:tcW w:w="2228"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附录D□</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现状评价</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环境功能区</w:t>
            </w:r>
          </w:p>
        </w:tc>
        <w:tc>
          <w:tcPr>
            <w:tcW w:w="12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一类区□</w:t>
            </w:r>
          </w:p>
        </w:tc>
        <w:tc>
          <w:tcPr>
            <w:tcW w:w="3102"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二类区☑</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一类区和二类区□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评价基准年</w:t>
            </w:r>
          </w:p>
        </w:tc>
        <w:tc>
          <w:tcPr>
            <w:tcW w:w="6657"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r>
              <w:rPr>
                <w:rFonts w:hint="eastAsia" w:ascii="Times New Roman" w:hAnsi="Times New Roman" w:eastAsia="宋体" w:cs="Times New Roman"/>
                <w:color w:val="auto"/>
                <w:sz w:val="21"/>
                <w:szCs w:val="21"/>
                <w:lang w:val="en-US" w:eastAsia="zh-CN"/>
              </w:rPr>
              <w:t>21</w:t>
            </w:r>
            <w:r>
              <w:rPr>
                <w:rFonts w:hint="default" w:ascii="Times New Roman" w:hAnsi="Times New Roman" w:eastAsia="宋体" w:cs="Times New Roman"/>
                <w:color w:val="auto"/>
                <w:sz w:val="21"/>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环境空气质量现状调查数据来源</w:t>
            </w:r>
          </w:p>
        </w:tc>
        <w:tc>
          <w:tcPr>
            <w:tcW w:w="12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长期例行监测数据□</w:t>
            </w:r>
          </w:p>
        </w:tc>
        <w:tc>
          <w:tcPr>
            <w:tcW w:w="3102"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主管部门发布的数据☑</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现状补充监测□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现状评价</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达标区□</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不达标区☑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调查</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调查内容</w:t>
            </w:r>
          </w:p>
        </w:tc>
        <w:tc>
          <w:tcPr>
            <w:tcW w:w="2288"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本项目正常排放源☑</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本项目非正常排放源□</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现有污染源□</w:t>
            </w:r>
          </w:p>
        </w:tc>
        <w:tc>
          <w:tcPr>
            <w:tcW w:w="1063"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拟替代的污染源□</w:t>
            </w:r>
          </w:p>
        </w:tc>
        <w:tc>
          <w:tcPr>
            <w:tcW w:w="191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其他在建、拟建项目污染源□</w:t>
            </w:r>
          </w:p>
        </w:tc>
        <w:tc>
          <w:tcPr>
            <w:tcW w:w="1394"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区域污染源□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大气环境影响预测与评价</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预测模型</w:t>
            </w:r>
          </w:p>
        </w:tc>
        <w:tc>
          <w:tcPr>
            <w:tcW w:w="9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AERMOD□</w:t>
            </w:r>
          </w:p>
        </w:tc>
        <w:tc>
          <w:tcPr>
            <w:tcW w:w="95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ADMS□</w:t>
            </w:r>
          </w:p>
        </w:tc>
        <w:tc>
          <w:tcPr>
            <w:tcW w:w="951"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AUSTAL2000□</w:t>
            </w:r>
          </w:p>
        </w:tc>
        <w:tc>
          <w:tcPr>
            <w:tcW w:w="9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EDMS/AEDT□</w:t>
            </w:r>
          </w:p>
        </w:tc>
        <w:tc>
          <w:tcPr>
            <w:tcW w:w="951"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CALPUFF□</w:t>
            </w:r>
          </w:p>
        </w:tc>
        <w:tc>
          <w:tcPr>
            <w:tcW w:w="9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网格模型□</w:t>
            </w:r>
          </w:p>
        </w:tc>
        <w:tc>
          <w:tcPr>
            <w:tcW w:w="951"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预测范围</w:t>
            </w:r>
          </w:p>
        </w:tc>
        <w:tc>
          <w:tcPr>
            <w:tcW w:w="12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边长≥50km□</w:t>
            </w:r>
          </w:p>
        </w:tc>
        <w:tc>
          <w:tcPr>
            <w:tcW w:w="3102"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边长5~50km□</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边长=5km□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预测因子</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预测因子（</w:t>
            </w:r>
            <w:r>
              <w:rPr>
                <w:rFonts w:hint="default" w:ascii="Times New Roman" w:hAnsi="Times New Roman" w:eastAsia="宋体" w:cs="Times New Roman"/>
                <w:color w:val="auto"/>
                <w:sz w:val="21"/>
                <w:szCs w:val="21"/>
                <w:vertAlign w:val="subscript"/>
              </w:rPr>
              <w:t>0</w:t>
            </w:r>
            <w:r>
              <w:rPr>
                <w:rFonts w:hint="default" w:ascii="Times New Roman" w:hAnsi="Times New Roman" w:eastAsia="宋体" w:cs="Times New Roman"/>
                <w:color w:val="auto"/>
                <w:sz w:val="21"/>
                <w:szCs w:val="21"/>
              </w:rPr>
              <w:t>）</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color w:val="auto"/>
                <w:sz w:val="21"/>
                <w:szCs w:val="21"/>
              </w:rPr>
              <w:t>包括二次PM2.5□</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不包括二次PM2.5☑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正常排放短期浓度贡献值</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最大占标率≤100%□</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正常排放年均浓度贡献值</w:t>
            </w:r>
          </w:p>
        </w:tc>
        <w:tc>
          <w:tcPr>
            <w:tcW w:w="78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一类区</w:t>
            </w:r>
          </w:p>
        </w:tc>
        <w:tc>
          <w:tcPr>
            <w:tcW w:w="3600"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最大占标率≤10%□</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78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二类区</w:t>
            </w:r>
          </w:p>
        </w:tc>
        <w:tc>
          <w:tcPr>
            <w:tcW w:w="3600" w:type="dxa"/>
            <w:gridSpan w:val="12"/>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最大占标率≤30%□</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本项目</w:t>
            </w:r>
            <w:r>
              <w:rPr>
                <w:rFonts w:hint="default" w:ascii="Times New Roman" w:hAnsi="Times New Roman" w:eastAsia="宋体" w:cs="Times New Roman"/>
                <w:color w:val="auto"/>
                <w:sz w:val="21"/>
                <w:szCs w:val="21"/>
              </w:rPr>
              <w:t>最大占标率＞30%□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非正常排放1h浓度贡献值</w:t>
            </w:r>
          </w:p>
        </w:tc>
        <w:tc>
          <w:tcPr>
            <w:tcW w:w="2288" w:type="dxa"/>
            <w:gridSpan w:val="7"/>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非正常持续时长（）h</w:t>
            </w:r>
          </w:p>
        </w:tc>
        <w:tc>
          <w:tcPr>
            <w:tcW w:w="2100"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非正常</w:t>
            </w:r>
            <w:r>
              <w:rPr>
                <w:rFonts w:hint="default" w:ascii="Times New Roman" w:hAnsi="Times New Roman" w:eastAsia="宋体" w:cs="Times New Roman"/>
                <w:color w:val="auto"/>
                <w:sz w:val="21"/>
                <w:szCs w:val="21"/>
              </w:rPr>
              <w:t>占标率≤100%□</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非正常</w:t>
            </w:r>
            <w:r>
              <w:rPr>
                <w:rFonts w:hint="default" w:ascii="Times New Roman" w:hAnsi="Times New Roman" w:eastAsia="宋体" w:cs="Times New Roman"/>
                <w:color w:val="auto"/>
                <w:sz w:val="21"/>
                <w:szCs w:val="21"/>
              </w:rPr>
              <w:t>占标率＞100%□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保证率日平均浓度和年平均浓度叠加值</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叠加</w:t>
            </w:r>
            <w:r>
              <w:rPr>
                <w:rFonts w:hint="default" w:ascii="Times New Roman" w:hAnsi="Times New Roman" w:eastAsia="宋体" w:cs="Times New Roman"/>
                <w:color w:val="auto"/>
                <w:sz w:val="21"/>
                <w:szCs w:val="21"/>
              </w:rPr>
              <w:t>达标□</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C</w:t>
            </w:r>
            <w:r>
              <w:rPr>
                <w:rFonts w:hint="default" w:ascii="Times New Roman" w:hAnsi="Times New Roman" w:eastAsia="宋体" w:cs="Times New Roman"/>
                <w:color w:val="auto"/>
                <w:sz w:val="21"/>
                <w:szCs w:val="21"/>
                <w:vertAlign w:val="subscript"/>
              </w:rPr>
              <w:t>叠加</w:t>
            </w:r>
            <w:r>
              <w:rPr>
                <w:rFonts w:hint="default" w:ascii="Times New Roman" w:hAnsi="Times New Roman" w:eastAsia="宋体" w:cs="Times New Roman"/>
                <w:color w:val="auto"/>
                <w:sz w:val="21"/>
                <w:szCs w:val="21"/>
              </w:rPr>
              <w:t>不达标□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区域环境质量的整体变化情况</w:t>
            </w:r>
          </w:p>
        </w:tc>
        <w:tc>
          <w:tcPr>
            <w:tcW w:w="4388" w:type="dxa"/>
            <w:gridSpan w:val="1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k≤-20%□</w:t>
            </w:r>
          </w:p>
        </w:tc>
        <w:tc>
          <w:tcPr>
            <w:tcW w:w="2269"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k＞-20%□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环境监测计划</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污染源监测</w:t>
            </w:r>
          </w:p>
        </w:tc>
        <w:tc>
          <w:tcPr>
            <w:tcW w:w="2606"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监测因子：（颗粒物、二氧化硫、氮氧化物、</w:t>
            </w:r>
            <w:r>
              <w:rPr>
                <w:rFonts w:hint="eastAsia" w:ascii="Times New Roman" w:hAnsi="Times New Roman" w:eastAsia="宋体" w:cs="Times New Roman"/>
                <w:color w:val="auto"/>
                <w:sz w:val="21"/>
                <w:szCs w:val="21"/>
                <w:lang w:val="en-US" w:eastAsia="zh-CN"/>
              </w:rPr>
              <w:t>非甲烷总烃</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苯并[a]芘、沥青烟）</w:t>
            </w:r>
          </w:p>
        </w:tc>
        <w:tc>
          <w:tcPr>
            <w:tcW w:w="1980"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有组织废气监测☑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无组织废气监测☑</w:t>
            </w:r>
          </w:p>
        </w:tc>
        <w:tc>
          <w:tcPr>
            <w:tcW w:w="2071"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环境质量监测</w:t>
            </w:r>
          </w:p>
        </w:tc>
        <w:tc>
          <w:tcPr>
            <w:tcW w:w="2606" w:type="dxa"/>
            <w:gridSpan w:val="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监测因子：（）</w:t>
            </w:r>
          </w:p>
        </w:tc>
        <w:tc>
          <w:tcPr>
            <w:tcW w:w="1980"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监测点位数（）</w:t>
            </w:r>
          </w:p>
        </w:tc>
        <w:tc>
          <w:tcPr>
            <w:tcW w:w="2071"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评价结论</w:t>
            </w: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环境影响</w:t>
            </w:r>
          </w:p>
        </w:tc>
        <w:tc>
          <w:tcPr>
            <w:tcW w:w="6657"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可以接受☑     不可以接受□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大气环境防护距离</w:t>
            </w:r>
          </w:p>
        </w:tc>
        <w:tc>
          <w:tcPr>
            <w:tcW w:w="6657" w:type="dxa"/>
            <w:gridSpan w:val="18"/>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距（）厂界最远（）m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p>
        </w:tc>
        <w:tc>
          <w:tcPr>
            <w:tcW w:w="14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污染源年排放量</w:t>
            </w:r>
          </w:p>
        </w:tc>
        <w:tc>
          <w:tcPr>
            <w:tcW w:w="128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0.182</w:t>
            </w:r>
            <w:r>
              <w:rPr>
                <w:rFonts w:hint="default" w:ascii="Times New Roman" w:hAnsi="Times New Roman" w:eastAsia="宋体" w:cs="Times New Roman"/>
                <w:color w:val="auto"/>
                <w:sz w:val="21"/>
                <w:szCs w:val="21"/>
              </w:rPr>
              <w:t>）t/a</w:t>
            </w:r>
          </w:p>
        </w:tc>
        <w:tc>
          <w:tcPr>
            <w:tcW w:w="1525" w:type="dxa"/>
            <w:gridSpan w:val="6"/>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NO</w:t>
            </w:r>
            <w:r>
              <w:rPr>
                <w:rFonts w:hint="default" w:ascii="Times New Roman" w:hAnsi="Times New Roman" w:eastAsia="宋体" w:cs="Times New Roman"/>
                <w:color w:val="auto"/>
                <w:sz w:val="21"/>
                <w:szCs w:val="21"/>
                <w:vertAlign w:val="subscript"/>
              </w:rPr>
              <w:t>x</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0.261</w:t>
            </w:r>
            <w:r>
              <w:rPr>
                <w:rFonts w:hint="default" w:ascii="Times New Roman" w:hAnsi="Times New Roman" w:eastAsia="宋体" w:cs="Times New Roman"/>
                <w:color w:val="auto"/>
                <w:sz w:val="21"/>
                <w:szCs w:val="21"/>
              </w:rPr>
              <w:t>）t/a</w:t>
            </w:r>
          </w:p>
        </w:tc>
        <w:tc>
          <w:tcPr>
            <w:tcW w:w="1775"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颗粒物</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0.039</w:t>
            </w:r>
            <w:r>
              <w:rPr>
                <w:rFonts w:hint="default" w:ascii="Times New Roman" w:hAnsi="Times New Roman" w:eastAsia="宋体" w:cs="Times New Roman"/>
                <w:color w:val="auto"/>
                <w:sz w:val="21"/>
                <w:szCs w:val="21"/>
              </w:rPr>
              <w:t>）t/a</w:t>
            </w:r>
          </w:p>
        </w:tc>
        <w:tc>
          <w:tcPr>
            <w:tcW w:w="2071"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非甲烷总烃</w:t>
            </w:r>
            <w:r>
              <w:rPr>
                <w:rFonts w:hint="default"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0.157</w:t>
            </w:r>
            <w:r>
              <w:rPr>
                <w:rFonts w:hint="default" w:ascii="Times New Roman" w:hAnsi="Times New Roman" w:eastAsia="宋体" w:cs="Times New Roman"/>
                <w:color w:val="auto"/>
                <w:sz w:val="21"/>
                <w:szCs w:val="21"/>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12" w:type="dxa"/>
            <w:gridSpan w:val="20"/>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注：“□”为勾选项，填“√”；“（）”为内容填写项</w:t>
            </w:r>
          </w:p>
        </w:tc>
      </w:tr>
    </w:tbl>
    <w:p>
      <w:pPr>
        <w:spacing w:line="500" w:lineRule="exact"/>
        <w:ind w:firstLine="482" w:firstLineChars="200"/>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sz w:val="24"/>
          <w:lang w:val="en-US" w:eastAsia="zh-CN"/>
        </w:rPr>
        <w:t>三</w:t>
      </w:r>
      <w:r>
        <w:rPr>
          <w:rFonts w:hint="default" w:ascii="Times New Roman" w:hAnsi="Times New Roman" w:eastAsia="宋体" w:cs="Times New Roman"/>
          <w:b/>
          <w:bCs/>
          <w:color w:val="auto"/>
          <w:sz w:val="24"/>
        </w:rPr>
        <w:t>、废气监测计划</w:t>
      </w:r>
    </w:p>
    <w:p>
      <w:pPr>
        <w:spacing w:line="500" w:lineRule="exact"/>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根据《排污单位自行监测技术指南</w:t>
      </w:r>
      <w:r>
        <w:rPr>
          <w:rFonts w:hint="eastAsia" w:ascii="Times New Roman" w:hAnsi="Times New Roman" w:eastAsia="宋体" w:cs="Times New Roman"/>
          <w:color w:val="auto"/>
          <w:sz w:val="24"/>
          <w:lang w:val="en-US" w:eastAsia="zh-CN"/>
        </w:rPr>
        <w:t xml:space="preserve"> </w:t>
      </w:r>
      <w:r>
        <w:rPr>
          <w:rFonts w:hint="default" w:ascii="Times New Roman" w:hAnsi="Times New Roman" w:eastAsia="宋体" w:cs="Times New Roman"/>
          <w:color w:val="auto"/>
          <w:sz w:val="24"/>
        </w:rPr>
        <w:t>总则》（HJ819-2017）</w:t>
      </w:r>
      <w:r>
        <w:rPr>
          <w:rFonts w:hint="eastAsia" w:ascii="Times New Roman" w:hAnsi="Times New Roman" w:eastAsia="宋体" w:cs="Times New Roman"/>
          <w:color w:val="auto"/>
          <w:sz w:val="24"/>
          <w:szCs w:val="24"/>
          <w:highlight w:val="none"/>
          <w:lang w:val="en-US" w:eastAsia="zh-CN"/>
        </w:rPr>
        <w:t>、《排污许可证申请与核发技术规范 陶瓷砖瓦工业》（HJ 954-2018）和</w:t>
      </w:r>
      <w:r>
        <w:rPr>
          <w:rFonts w:hint="default" w:ascii="Times New Roman" w:hAnsi="Times New Roman" w:eastAsia="宋体" w:cs="Times New Roman"/>
          <w:color w:val="auto"/>
          <w:sz w:val="24"/>
          <w:szCs w:val="24"/>
          <w:highlight w:val="none"/>
          <w:lang w:val="en-US" w:eastAsia="zh-CN"/>
        </w:rPr>
        <w:t>《排污单位自行监测技术指南 火力发电及锅炉》</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HJ820-2017</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rPr>
        <w:t>，制定了本项目的废气监测计划，具体见表-</w:t>
      </w:r>
      <w:r>
        <w:rPr>
          <w:rFonts w:hint="eastAsia"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rPr>
        <w:t>。</w:t>
      </w:r>
    </w:p>
    <w:p>
      <w:pPr>
        <w:spacing w:line="460" w:lineRule="atLeast"/>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表-</w:t>
      </w:r>
      <w:r>
        <w:rPr>
          <w:rFonts w:hint="eastAsia"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rPr>
        <w:t xml:space="preserve">  废气环境监测计划一览表 </w:t>
      </w:r>
    </w:p>
    <w:tbl>
      <w:tblPr>
        <w:tblStyle w:val="26"/>
        <w:tblW w:w="9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6" w:type="dxa"/>
          <w:bottom w:w="0" w:type="dxa"/>
          <w:right w:w="0" w:type="dxa"/>
        </w:tblCellMar>
      </w:tblPr>
      <w:tblGrid>
        <w:gridCol w:w="767"/>
        <w:gridCol w:w="3078"/>
        <w:gridCol w:w="1559"/>
        <w:gridCol w:w="2757"/>
        <w:gridCol w:w="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566" w:hRule="atLeast"/>
          <w:jc w:val="center"/>
        </w:trPr>
        <w:tc>
          <w:tcPr>
            <w:tcW w:w="76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监测项目</w:t>
            </w:r>
          </w:p>
        </w:tc>
        <w:tc>
          <w:tcPr>
            <w:tcW w:w="3078"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测点布设</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监测频次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监测因子</w:t>
            </w:r>
          </w:p>
        </w:tc>
        <w:tc>
          <w:tcPr>
            <w:tcW w:w="860"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监测实施机构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73" w:hRule="atLeast"/>
          <w:jc w:val="center"/>
        </w:trPr>
        <w:tc>
          <w:tcPr>
            <w:tcW w:w="767" w:type="dxa"/>
            <w:vMerge w:val="restart"/>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有组织废气</w:t>
            </w:r>
          </w:p>
        </w:tc>
        <w:tc>
          <w:tcPr>
            <w:tcW w:w="3078" w:type="dxa"/>
            <w:vMerge w:val="restart"/>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pacing w:val="4"/>
                <w:szCs w:val="21"/>
              </w:rPr>
              <w:t>导热油炉</w:t>
            </w:r>
            <w:r>
              <w:rPr>
                <w:rFonts w:hint="default" w:ascii="Times New Roman" w:hAnsi="Times New Roman" w:eastAsia="宋体" w:cs="Times New Roman"/>
                <w:color w:val="auto"/>
                <w:szCs w:val="21"/>
              </w:rPr>
              <w:t>排气筒</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每年一次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颗粒物、二氧化硫</w:t>
            </w:r>
          </w:p>
        </w:tc>
        <w:tc>
          <w:tcPr>
            <w:tcW w:w="860" w:type="dxa"/>
            <w:vMerge w:val="restart"/>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委托有资质的监测单位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73" w:hRule="atLeast"/>
          <w:jc w:val="center"/>
        </w:trPr>
        <w:tc>
          <w:tcPr>
            <w:tcW w:w="767"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eastAsia" w:ascii="Times New Roman" w:hAnsi="Times New Roman" w:eastAsia="宋体" w:cs="Times New Roman"/>
                <w:color w:val="auto"/>
                <w:szCs w:val="21"/>
                <w:lang w:val="en-US" w:eastAsia="zh-CN"/>
              </w:rPr>
            </w:pPr>
          </w:p>
        </w:tc>
        <w:tc>
          <w:tcPr>
            <w:tcW w:w="3078"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pacing w:val="4"/>
                <w:szCs w:val="21"/>
              </w:rPr>
            </w:pP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每</w:t>
            </w:r>
            <w:r>
              <w:rPr>
                <w:rFonts w:hint="eastAsia" w:ascii="Times New Roman" w:hAnsi="Times New Roman" w:eastAsia="宋体" w:cs="Times New Roman"/>
                <w:color w:val="auto"/>
                <w:szCs w:val="21"/>
                <w:lang w:val="en-US" w:eastAsia="zh-CN"/>
              </w:rPr>
              <w:t>月</w:t>
            </w:r>
            <w:r>
              <w:rPr>
                <w:rFonts w:hint="default" w:ascii="Times New Roman" w:hAnsi="Times New Roman" w:eastAsia="宋体" w:cs="Times New Roman"/>
                <w:color w:val="auto"/>
                <w:szCs w:val="21"/>
              </w:rPr>
              <w:t>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氮氧化物</w:t>
            </w:r>
          </w:p>
        </w:tc>
        <w:tc>
          <w:tcPr>
            <w:tcW w:w="860"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73" w:hRule="atLeast"/>
          <w:jc w:val="center"/>
        </w:trPr>
        <w:tc>
          <w:tcPr>
            <w:tcW w:w="767"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c>
          <w:tcPr>
            <w:tcW w:w="3078"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pacing w:val="4"/>
                <w:szCs w:val="21"/>
                <w:lang w:val="en-US"/>
              </w:rPr>
            </w:pPr>
            <w:r>
              <w:rPr>
                <w:rFonts w:hint="default" w:ascii="Times New Roman" w:hAnsi="Times New Roman" w:eastAsia="宋体" w:cs="Times New Roman"/>
                <w:color w:val="auto"/>
                <w:kern w:val="0"/>
                <w:sz w:val="21"/>
                <w:szCs w:val="21"/>
                <w:lang w:val="en-US" w:eastAsia="zh-CN"/>
              </w:rPr>
              <w:t>沥青加热储存</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val="en-US" w:eastAsia="zh-CN"/>
              </w:rPr>
              <w:t>配料、</w:t>
            </w:r>
            <w:r>
              <w:rPr>
                <w:rFonts w:hint="default" w:ascii="Times New Roman" w:hAnsi="Times New Roman" w:eastAsia="宋体" w:cs="Times New Roman"/>
                <w:color w:val="auto"/>
                <w:kern w:val="0"/>
                <w:sz w:val="21"/>
                <w:szCs w:val="21"/>
              </w:rPr>
              <w:t>搅拌、浸油、涂油</w:t>
            </w:r>
            <w:r>
              <w:rPr>
                <w:rFonts w:hint="default" w:ascii="Times New Roman" w:hAnsi="Times New Roman" w:eastAsia="宋体" w:cs="Times New Roman"/>
                <w:color w:val="auto"/>
                <w:kern w:val="0"/>
                <w:sz w:val="21"/>
                <w:szCs w:val="21"/>
                <w:lang w:val="en-US" w:eastAsia="zh-CN"/>
              </w:rPr>
              <w:t>和覆膜</w:t>
            </w:r>
            <w:r>
              <w:rPr>
                <w:rFonts w:hint="eastAsia" w:ascii="Times New Roman" w:hAnsi="Times New Roman" w:eastAsia="宋体" w:cs="Times New Roman"/>
                <w:color w:val="auto"/>
                <w:kern w:val="0"/>
                <w:sz w:val="21"/>
                <w:szCs w:val="21"/>
                <w:lang w:val="en-US" w:eastAsia="zh-CN"/>
              </w:rPr>
              <w:t>排气筒</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每半年一次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苯并[a]芘、沥青烟</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非甲烷总烃</w:t>
            </w:r>
          </w:p>
        </w:tc>
        <w:tc>
          <w:tcPr>
            <w:tcW w:w="860"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73" w:hRule="atLeast"/>
          <w:jc w:val="center"/>
        </w:trPr>
        <w:tc>
          <w:tcPr>
            <w:tcW w:w="767"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c>
          <w:tcPr>
            <w:tcW w:w="3078"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rPr>
              <w:t>橡胶粉储罐</w:t>
            </w:r>
            <w:r>
              <w:rPr>
                <w:rFonts w:hint="eastAsia" w:ascii="Times New Roman" w:hAnsi="Times New Roman" w:eastAsia="宋体" w:cs="Times New Roman"/>
                <w:color w:val="auto"/>
                <w:kern w:val="0"/>
                <w:sz w:val="21"/>
                <w:szCs w:val="21"/>
                <w:lang w:val="en-US" w:eastAsia="zh-CN"/>
              </w:rPr>
              <w:t>排气筒</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每年一次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颗粒物</w:t>
            </w:r>
          </w:p>
        </w:tc>
        <w:tc>
          <w:tcPr>
            <w:tcW w:w="860"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273" w:hRule="atLeast"/>
          <w:jc w:val="center"/>
        </w:trPr>
        <w:tc>
          <w:tcPr>
            <w:tcW w:w="767"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c>
          <w:tcPr>
            <w:tcW w:w="3078" w:type="dxa"/>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滑石粉储罐</w:t>
            </w:r>
            <w:r>
              <w:rPr>
                <w:rFonts w:hint="eastAsia" w:ascii="Times New Roman" w:hAnsi="Times New Roman" w:eastAsia="宋体" w:cs="Times New Roman"/>
                <w:color w:val="auto"/>
                <w:kern w:val="0"/>
                <w:sz w:val="21"/>
                <w:szCs w:val="21"/>
                <w:lang w:val="en-US" w:eastAsia="zh-CN"/>
              </w:rPr>
              <w:t>排气筒</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每年一次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颗粒物</w:t>
            </w:r>
          </w:p>
        </w:tc>
        <w:tc>
          <w:tcPr>
            <w:tcW w:w="860" w:type="dxa"/>
            <w:vMerge w:val="continue"/>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6" w:type="dxa"/>
            <w:bottom w:w="0" w:type="dxa"/>
            <w:right w:w="0" w:type="dxa"/>
          </w:tblCellMar>
        </w:tblPrEx>
        <w:trPr>
          <w:trHeight w:val="577" w:hRule="atLeast"/>
          <w:jc w:val="center"/>
        </w:trPr>
        <w:tc>
          <w:tcPr>
            <w:tcW w:w="767" w:type="dxa"/>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无组织废气</w:t>
            </w:r>
          </w:p>
        </w:tc>
        <w:tc>
          <w:tcPr>
            <w:tcW w:w="3078"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厂界上风向1个参照点</w:t>
            </w:r>
          </w:p>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下风向4个监控点</w:t>
            </w:r>
          </w:p>
        </w:tc>
        <w:tc>
          <w:tcPr>
            <w:tcW w:w="1559"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每年一次</w:t>
            </w:r>
          </w:p>
        </w:tc>
        <w:tc>
          <w:tcPr>
            <w:tcW w:w="2757" w:type="dxa"/>
            <w:noWrap w:val="0"/>
            <w:vAlign w:val="center"/>
          </w:tcPr>
          <w:p>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rPr>
              <w:t>颗粒物、苯并[a]芘、沥青烟</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非甲烷总烃</w:t>
            </w:r>
          </w:p>
        </w:tc>
        <w:tc>
          <w:tcPr>
            <w:tcW w:w="860" w:type="dxa"/>
            <w:vMerge w:val="continue"/>
            <w:noWrap w:val="0"/>
            <w:vAlign w:val="center"/>
          </w:tcPr>
          <w:p>
            <w:pPr>
              <w:keepNext w:val="0"/>
              <w:keepLines w:val="0"/>
              <w:pageBreakBefore w:val="0"/>
              <w:widowControl/>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p>
        </w:tc>
      </w:tr>
    </w:tbl>
    <w:p>
      <w:pPr>
        <w:rPr>
          <w:rFonts w:hint="default" w:ascii="Times New Roman" w:hAnsi="Times New Roman" w:eastAsia="宋体" w:cs="Times New Roman"/>
          <w:b/>
          <w:color w:val="auto"/>
          <w:szCs w:val="21"/>
        </w:rPr>
      </w:pPr>
    </w:p>
    <w:p>
      <w:pPr>
        <w:rPr>
          <w:rFonts w:hint="default" w:ascii="Times New Roman" w:hAnsi="Times New Roman" w:eastAsia="宋体" w:cs="Times New Roman"/>
          <w:b/>
          <w:color w:val="auto"/>
          <w:szCs w:val="21"/>
        </w:rPr>
      </w:pPr>
    </w:p>
    <w:p>
      <w:pPr>
        <w:rPr>
          <w:rFonts w:hint="default" w:ascii="Times New Roman" w:hAnsi="Times New Roman" w:eastAsia="宋体" w:cs="Times New Roman"/>
          <w:color w:val="auto"/>
        </w:rPr>
      </w:pPr>
    </w:p>
    <w:p>
      <w:pPr>
        <w:rPr>
          <w:rFonts w:hint="default" w:ascii="Times New Roman" w:hAnsi="Times New Roman" w:eastAsia="宋体" w:cs="Times New Roman"/>
          <w:b/>
          <w:bCs/>
          <w:color w:val="auto"/>
          <w:sz w:val="24"/>
          <w:szCs w:val="24"/>
        </w:rPr>
        <w:sectPr>
          <w:footerReference r:id="rId11" w:type="default"/>
          <w:footerReference r:id="rId12" w:type="even"/>
          <w:pgSz w:w="11906" w:h="16838"/>
          <w:pgMar w:top="1701" w:right="1531" w:bottom="1701" w:left="1531" w:header="851" w:footer="851" w:gutter="0"/>
          <w:pgBorders>
            <w:top w:val="none" w:sz="0" w:space="0"/>
            <w:left w:val="none" w:sz="0" w:space="0"/>
            <w:bottom w:val="none" w:sz="0" w:space="0"/>
            <w:right w:val="none" w:sz="0" w:space="0"/>
          </w:pgBorders>
          <w:pgNumType w:fmt="decimal" w:start="1"/>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 xml:space="preserve">附件1 </w:t>
      </w:r>
      <w:r>
        <w:rPr>
          <w:rFonts w:hint="eastAsia" w:ascii="Times New Roman" w:hAnsi="Times New Roman" w:eastAsia="宋体" w:cs="Times New Roman"/>
          <w:b/>
          <w:bCs/>
          <w:color w:val="auto"/>
          <w:sz w:val="24"/>
          <w:szCs w:val="24"/>
        </w:rPr>
        <w:t>委托书</w:t>
      </w:r>
      <w:bookmarkStart w:id="23" w:name="_GoBack"/>
      <w:bookmarkEnd w:id="23"/>
    </w:p>
    <w:p>
      <w:pPr>
        <w:rPr>
          <w:rFonts w:ascii="Times New Roman" w:hAnsi="Times New Roman" w:eastAsia="宋体" w:cs="Times New Roman"/>
          <w:color w:val="auto"/>
          <w:szCs w:val="24"/>
        </w:rPr>
      </w:pPr>
    </w:p>
    <w:p>
      <w:pPr>
        <w:rPr>
          <w:rFonts w:hint="eastAsia" w:eastAsiaTheme="minorEastAsia"/>
          <w:color w:val="auto"/>
          <w:lang w:eastAsia="zh-CN"/>
        </w:rPr>
      </w:pPr>
    </w:p>
    <w:p>
      <w:pPr>
        <w:rPr>
          <w:rFonts w:hint="eastAsia" w:eastAsiaTheme="minorEastAsia"/>
          <w:color w:val="auto"/>
          <w:lang w:eastAsia="zh-CN"/>
        </w:rPr>
        <w:sectPr>
          <w:footerReference r:id="rId13" w:type="default"/>
          <w:footerReference r:id="rId14" w:type="even"/>
          <w:pgSz w:w="11906" w:h="16838"/>
          <w:pgMar w:top="1701" w:right="1531" w:bottom="1701" w:left="1531" w:header="851" w:footer="851" w:gutter="0"/>
          <w:pgBorders>
            <w:top w:val="none" w:sz="0" w:space="0"/>
            <w:left w:val="none" w:sz="0" w:space="0"/>
            <w:bottom w:val="none" w:sz="0" w:space="0"/>
            <w:right w:val="none" w:sz="0" w:space="0"/>
          </w:pgBorders>
          <w:pgNumType w:fmt="decimal" w:start="1"/>
          <w:cols w:space="720" w:num="1"/>
          <w:docGrid w:linePitch="312" w:charSpace="0"/>
        </w:sectPr>
      </w:pPr>
      <w:r>
        <w:rPr>
          <w:rFonts w:hint="eastAsia" w:eastAsiaTheme="minorEastAsia"/>
          <w:color w:val="auto"/>
          <w:lang w:eastAsia="zh-CN"/>
        </w:rPr>
        <w:drawing>
          <wp:inline distT="0" distB="0" distL="114300" distR="114300">
            <wp:extent cx="5377180" cy="7698105"/>
            <wp:effectExtent l="0" t="0" r="13970" b="17145"/>
            <wp:docPr id="100" name="图片 100" descr="1e4b7f7c6aa7546a0cbe526ae4ab5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1e4b7f7c6aa7546a0cbe526ae4ab56f"/>
                    <pic:cNvPicPr>
                      <a:picLocks noChangeAspect="1"/>
                    </pic:cNvPicPr>
                  </pic:nvPicPr>
                  <pic:blipFill>
                    <a:blip r:embed="rId42"/>
                    <a:srcRect t="1677" b="17758"/>
                    <a:stretch>
                      <a:fillRect/>
                    </a:stretch>
                  </pic:blipFill>
                  <pic:spPr>
                    <a:xfrm>
                      <a:off x="0" y="0"/>
                      <a:ext cx="5377180" cy="7698105"/>
                    </a:xfrm>
                    <a:prstGeom prst="rect">
                      <a:avLst/>
                    </a:prstGeom>
                  </pic:spPr>
                </pic:pic>
              </a:graphicData>
            </a:graphic>
          </wp:inline>
        </w:drawing>
      </w:r>
    </w:p>
    <w:p>
      <w:pP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附件2 备案证</w:t>
      </w: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anchor distT="0" distB="0" distL="114300" distR="114300" simplePos="0" relativeHeight="251686912" behindDoc="0" locked="0" layoutInCell="1" allowOverlap="1">
            <wp:simplePos x="0" y="0"/>
            <wp:positionH relativeFrom="column">
              <wp:posOffset>179705</wp:posOffset>
            </wp:positionH>
            <wp:positionV relativeFrom="paragraph">
              <wp:posOffset>85725</wp:posOffset>
            </wp:positionV>
            <wp:extent cx="8455660" cy="5837555"/>
            <wp:effectExtent l="0" t="0" r="7620" b="2540"/>
            <wp:wrapNone/>
            <wp:docPr id="13" name="图片 13" descr="86a21770a3f9a5c497d495b7773e2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6a21770a3f9a5c497d495b7773e23a"/>
                    <pic:cNvPicPr>
                      <a:picLocks noChangeAspect="1"/>
                    </pic:cNvPicPr>
                  </pic:nvPicPr>
                  <pic:blipFill>
                    <a:blip r:embed="rId43"/>
                    <a:srcRect l="2081" t="4374" b="5463"/>
                    <a:stretch>
                      <a:fillRect/>
                    </a:stretch>
                  </pic:blipFill>
                  <pic:spPr>
                    <a:xfrm>
                      <a:off x="0" y="0"/>
                      <a:ext cx="8455660" cy="5837555"/>
                    </a:xfrm>
                    <a:prstGeom prst="rect">
                      <a:avLst/>
                    </a:prstGeom>
                  </pic:spPr>
                </pic:pic>
              </a:graphicData>
            </a:graphic>
          </wp:anchor>
        </w:drawing>
      </w:r>
    </w:p>
    <w:p>
      <w:pPr>
        <w:rPr>
          <w:rFonts w:hint="eastAsia" w:ascii="Times New Roman" w:hAnsi="Times New Roman" w:eastAsia="宋体" w:cs="Times New Roman"/>
          <w:b/>
          <w:bCs/>
          <w:color w:val="auto"/>
          <w:sz w:val="24"/>
          <w:szCs w:val="24"/>
        </w:rPr>
        <w:sectPr>
          <w:headerReference r:id="rId15" w:type="default"/>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rPr>
        <w:t>附件</w:t>
      </w:r>
      <w:r>
        <w:rPr>
          <w:rFonts w:hint="eastAsia" w:ascii="Times New Roman" w:hAnsi="Times New Roman" w:eastAsia="宋体" w:cs="Times New Roman"/>
          <w:b/>
          <w:bCs/>
          <w:color w:val="auto"/>
          <w:sz w:val="24"/>
          <w:szCs w:val="24"/>
          <w:lang w:val="en-US" w:eastAsia="zh-CN"/>
        </w:rPr>
        <w:t>3</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土地证明</w:t>
      </w: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eastAsia="zh-CN"/>
        </w:rPr>
        <w:drawing>
          <wp:inline distT="0" distB="0" distL="114300" distR="114300">
            <wp:extent cx="6544945" cy="4867910"/>
            <wp:effectExtent l="0" t="0" r="7620" b="635"/>
            <wp:docPr id="14" name="图片 14" descr="b2385ee33ab41d6140101a48b667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b2385ee33ab41d6140101a48b667d17"/>
                    <pic:cNvPicPr>
                      <a:picLocks noChangeAspect="1"/>
                    </pic:cNvPicPr>
                  </pic:nvPicPr>
                  <pic:blipFill>
                    <a:blip r:embed="rId44"/>
                    <a:srcRect l="13271" t="7771" r="16975"/>
                    <a:stretch>
                      <a:fillRect/>
                    </a:stretch>
                  </pic:blipFill>
                  <pic:spPr>
                    <a:xfrm>
                      <a:off x="0" y="0"/>
                      <a:ext cx="6544945" cy="4867910"/>
                    </a:xfrm>
                    <a:prstGeom prst="rect">
                      <a:avLst/>
                    </a:prstGeom>
                  </pic:spPr>
                </pic:pic>
              </a:graphicData>
            </a:graphic>
          </wp:inline>
        </w:drawing>
      </w: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rPr>
        <w:t>附件</w:t>
      </w:r>
      <w:r>
        <w:rPr>
          <w:rFonts w:hint="eastAsia" w:ascii="Times New Roman" w:hAnsi="Times New Roman" w:eastAsia="宋体" w:cs="Times New Roman"/>
          <w:b/>
          <w:bCs/>
          <w:color w:val="auto"/>
          <w:sz w:val="24"/>
          <w:szCs w:val="24"/>
          <w:lang w:val="en-US" w:eastAsia="zh-CN"/>
        </w:rPr>
        <w:t>4</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土地利用规划图</w:t>
      </w: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6473190" cy="9147810"/>
            <wp:effectExtent l="0" t="0" r="3810" b="6350"/>
            <wp:docPr id="15" name="图片 15" descr="9.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规划图"/>
                    <pic:cNvPicPr>
                      <a:picLocks noChangeAspect="1"/>
                    </pic:cNvPicPr>
                  </pic:nvPicPr>
                  <pic:blipFill>
                    <a:blip r:embed="rId45"/>
                    <a:stretch>
                      <a:fillRect/>
                    </a:stretch>
                  </pic:blipFill>
                  <pic:spPr>
                    <a:xfrm>
                      <a:off x="0" y="0"/>
                      <a:ext cx="6473190" cy="9147810"/>
                    </a:xfrm>
                    <a:prstGeom prst="rect">
                      <a:avLst/>
                    </a:prstGeom>
                  </pic:spPr>
                </pic:pic>
              </a:graphicData>
            </a:graphic>
          </wp:inline>
        </w:drawing>
      </w:r>
    </w:p>
    <w:p>
      <w:pPr>
        <w:rPr>
          <w:rFonts w:hint="eastAsia"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rPr>
        <w:t>附件</w:t>
      </w:r>
      <w:r>
        <w:rPr>
          <w:rFonts w:hint="eastAsia" w:ascii="Times New Roman" w:hAnsi="Times New Roman" w:eastAsia="宋体" w:cs="Times New Roman"/>
          <w:b/>
          <w:bCs/>
          <w:color w:val="auto"/>
          <w:sz w:val="24"/>
          <w:szCs w:val="24"/>
          <w:lang w:val="en-US" w:eastAsia="zh-CN"/>
        </w:rPr>
        <w:t>5</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监测报告</w:t>
      </w: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8873490" cy="6272530"/>
            <wp:effectExtent l="0" t="0" r="10160" b="0"/>
            <wp:docPr id="32" name="图片 32" descr="20221014000203278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0221014000203278_页面_01"/>
                    <pic:cNvPicPr>
                      <a:picLocks noChangeAspect="1"/>
                    </pic:cNvPicPr>
                  </pic:nvPicPr>
                  <pic:blipFill>
                    <a:blip r:embed="rId46"/>
                    <a:stretch>
                      <a:fillRect/>
                    </a:stretch>
                  </pic:blipFill>
                  <pic:spPr>
                    <a:xfrm rot="16200000">
                      <a:off x="0" y="0"/>
                      <a:ext cx="8873490" cy="6272530"/>
                    </a:xfrm>
                    <a:prstGeom prst="rect">
                      <a:avLst/>
                    </a:prstGeom>
                  </pic:spPr>
                </pic:pic>
              </a:graphicData>
            </a:graphic>
          </wp:inline>
        </w:drawing>
      </w:r>
    </w:p>
    <w:p>
      <w:pPr>
        <w:rPr>
          <w:rFonts w:hint="eastAsia" w:ascii="Times New Roman" w:hAnsi="Times New Roman" w:eastAsia="宋体" w:cs="Times New Roman"/>
          <w:b/>
          <w:bCs/>
          <w:color w:val="auto"/>
          <w:sz w:val="24"/>
          <w:szCs w:val="24"/>
          <w:lang w:eastAsia="zh-CN"/>
        </w:rPr>
      </w:pPr>
    </w:p>
    <w:p>
      <w:pPr>
        <w:rPr>
          <w:rFonts w:hint="eastAsia" w:ascii="Times New Roman" w:hAnsi="Times New Roman" w:eastAsia="宋体" w:cs="Times New Roman"/>
          <w:b/>
          <w:bCs/>
          <w:color w:val="auto"/>
          <w:sz w:val="24"/>
          <w:szCs w:val="24"/>
          <w:lang w:eastAsia="zh-CN"/>
        </w:rPr>
      </w:pPr>
    </w:p>
    <w:p>
      <w:pPr>
        <w:rPr>
          <w:rFonts w:hint="eastAsia" w:ascii="Times New Roman" w:hAnsi="Times New Roman" w:eastAsia="宋体" w:cs="Times New Roman"/>
          <w:b/>
          <w:bCs/>
          <w:color w:val="auto"/>
          <w:sz w:val="24"/>
          <w:szCs w:val="24"/>
          <w:lang w:eastAsia="zh-CN"/>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87180" cy="6493510"/>
            <wp:effectExtent l="0" t="0" r="5080" b="10160"/>
            <wp:docPr id="33" name="图片 33" descr="20221014000203278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0221014000203278_页面_02"/>
                    <pic:cNvPicPr>
                      <a:picLocks noChangeAspect="1"/>
                    </pic:cNvPicPr>
                  </pic:nvPicPr>
                  <pic:blipFill>
                    <a:blip r:embed="rId47"/>
                    <a:stretch>
                      <a:fillRect/>
                    </a:stretch>
                  </pic:blipFill>
                  <pic:spPr>
                    <a:xfrm rot="16200000">
                      <a:off x="0" y="0"/>
                      <a:ext cx="9187180" cy="649351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28760" cy="6452870"/>
            <wp:effectExtent l="0" t="0" r="2540" b="3810"/>
            <wp:docPr id="34" name="图片 34" descr="20221014000203278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0221014000203278_页面_03"/>
                    <pic:cNvPicPr>
                      <a:picLocks noChangeAspect="1"/>
                    </pic:cNvPicPr>
                  </pic:nvPicPr>
                  <pic:blipFill>
                    <a:blip r:embed="rId48"/>
                    <a:stretch>
                      <a:fillRect/>
                    </a:stretch>
                  </pic:blipFill>
                  <pic:spPr>
                    <a:xfrm rot="16200000">
                      <a:off x="0" y="0"/>
                      <a:ext cx="9128760" cy="645287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26855" cy="6450965"/>
            <wp:effectExtent l="0" t="0" r="4445" b="5715"/>
            <wp:docPr id="35" name="图片 35" descr="20221014000203278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0221014000203278_页面_05"/>
                    <pic:cNvPicPr>
                      <a:picLocks noChangeAspect="1"/>
                    </pic:cNvPicPr>
                  </pic:nvPicPr>
                  <pic:blipFill>
                    <a:blip r:embed="rId49"/>
                    <a:stretch>
                      <a:fillRect/>
                    </a:stretch>
                  </pic:blipFill>
                  <pic:spPr>
                    <a:xfrm rot="16200000">
                      <a:off x="0" y="0"/>
                      <a:ext cx="9126855" cy="645096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72575" cy="6483985"/>
            <wp:effectExtent l="0" t="0" r="3810" b="3175"/>
            <wp:docPr id="36" name="图片 36" descr="20221014000203278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0221014000203278_页面_07"/>
                    <pic:cNvPicPr>
                      <a:picLocks noChangeAspect="1"/>
                    </pic:cNvPicPr>
                  </pic:nvPicPr>
                  <pic:blipFill>
                    <a:blip r:embed="rId50"/>
                    <a:stretch>
                      <a:fillRect/>
                    </a:stretch>
                  </pic:blipFill>
                  <pic:spPr>
                    <a:xfrm rot="16200000">
                      <a:off x="0" y="0"/>
                      <a:ext cx="9172575" cy="648398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084310" cy="6421120"/>
            <wp:effectExtent l="0" t="0" r="1905" b="5080"/>
            <wp:docPr id="37" name="图片 37" descr="20221014000203278_页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0221014000203278_页面_09"/>
                    <pic:cNvPicPr>
                      <a:picLocks noChangeAspect="1"/>
                    </pic:cNvPicPr>
                  </pic:nvPicPr>
                  <pic:blipFill>
                    <a:blip r:embed="rId51"/>
                    <a:stretch>
                      <a:fillRect/>
                    </a:stretch>
                  </pic:blipFill>
                  <pic:spPr>
                    <a:xfrm rot="16200000">
                      <a:off x="0" y="0"/>
                      <a:ext cx="9084310" cy="642112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05900" cy="6436360"/>
            <wp:effectExtent l="0" t="0" r="8255" b="5080"/>
            <wp:docPr id="38" name="图片 38" descr="20221014000203278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0221014000203278_页面_11"/>
                    <pic:cNvPicPr>
                      <a:picLocks noChangeAspect="1"/>
                    </pic:cNvPicPr>
                  </pic:nvPicPr>
                  <pic:blipFill>
                    <a:blip r:embed="rId52"/>
                    <a:stretch>
                      <a:fillRect/>
                    </a:stretch>
                  </pic:blipFill>
                  <pic:spPr>
                    <a:xfrm rot="16200000">
                      <a:off x="0" y="0"/>
                      <a:ext cx="9105900" cy="643636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44635" cy="6464300"/>
            <wp:effectExtent l="0" t="0" r="1905" b="9525"/>
            <wp:docPr id="39" name="图片 39" descr="20221014000203278_页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20221014000203278_页面_12"/>
                    <pic:cNvPicPr>
                      <a:picLocks noChangeAspect="1"/>
                    </pic:cNvPicPr>
                  </pic:nvPicPr>
                  <pic:blipFill>
                    <a:blip r:embed="rId53"/>
                    <a:stretch>
                      <a:fillRect/>
                    </a:stretch>
                  </pic:blipFill>
                  <pic:spPr>
                    <a:xfrm rot="16200000">
                      <a:off x="0" y="0"/>
                      <a:ext cx="9144635" cy="646430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54795" cy="6471920"/>
            <wp:effectExtent l="0" t="0" r="5080" b="10160"/>
            <wp:docPr id="40" name="图片 40" descr="20221014000203278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20221014000203278_页面_13"/>
                    <pic:cNvPicPr>
                      <a:picLocks noChangeAspect="1"/>
                    </pic:cNvPicPr>
                  </pic:nvPicPr>
                  <pic:blipFill>
                    <a:blip r:embed="rId54"/>
                    <a:stretch>
                      <a:fillRect/>
                    </a:stretch>
                  </pic:blipFill>
                  <pic:spPr>
                    <a:xfrm rot="16200000">
                      <a:off x="0" y="0"/>
                      <a:ext cx="9154795" cy="647192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230995" cy="6525260"/>
            <wp:effectExtent l="0" t="0" r="5715" b="9525"/>
            <wp:docPr id="42" name="图片 42" descr="20221014000203278_页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0221014000203278_页面_14"/>
                    <pic:cNvPicPr>
                      <a:picLocks noChangeAspect="1"/>
                    </pic:cNvPicPr>
                  </pic:nvPicPr>
                  <pic:blipFill>
                    <a:blip r:embed="rId55"/>
                    <a:stretch>
                      <a:fillRect/>
                    </a:stretch>
                  </pic:blipFill>
                  <pic:spPr>
                    <a:xfrm rot="16200000">
                      <a:off x="0" y="0"/>
                      <a:ext cx="9230995" cy="652526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44000" cy="6463665"/>
            <wp:effectExtent l="0" t="0" r="2540" b="10160"/>
            <wp:docPr id="43" name="图片 43" descr="20221014000203278_页面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0221014000203278_页面_15"/>
                    <pic:cNvPicPr>
                      <a:picLocks noChangeAspect="1"/>
                    </pic:cNvPicPr>
                  </pic:nvPicPr>
                  <pic:blipFill>
                    <a:blip r:embed="rId56"/>
                    <a:stretch>
                      <a:fillRect/>
                    </a:stretch>
                  </pic:blipFill>
                  <pic:spPr>
                    <a:xfrm rot="16200000">
                      <a:off x="0" y="0"/>
                      <a:ext cx="9144000" cy="646366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228455" cy="6523355"/>
            <wp:effectExtent l="0" t="0" r="7620" b="1270"/>
            <wp:docPr id="44" name="图片 44" descr="20221014000203278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0221014000203278_页面_16"/>
                    <pic:cNvPicPr>
                      <a:picLocks noChangeAspect="1"/>
                    </pic:cNvPicPr>
                  </pic:nvPicPr>
                  <pic:blipFill>
                    <a:blip r:embed="rId57"/>
                    <a:stretch>
                      <a:fillRect/>
                    </a:stretch>
                  </pic:blipFill>
                  <pic:spPr>
                    <a:xfrm rot="16200000">
                      <a:off x="0" y="0"/>
                      <a:ext cx="9228455" cy="652335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56065" cy="6472555"/>
            <wp:effectExtent l="0" t="0" r="4445" b="8890"/>
            <wp:docPr id="45" name="图片 45" descr="20221014000203278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20221014000203278_页面_17"/>
                    <pic:cNvPicPr>
                      <a:picLocks noChangeAspect="1"/>
                    </pic:cNvPicPr>
                  </pic:nvPicPr>
                  <pic:blipFill>
                    <a:blip r:embed="rId58"/>
                    <a:stretch>
                      <a:fillRect/>
                    </a:stretch>
                  </pic:blipFill>
                  <pic:spPr>
                    <a:xfrm rot="16200000">
                      <a:off x="0" y="0"/>
                      <a:ext cx="9156065" cy="647255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71940" cy="6483985"/>
            <wp:effectExtent l="0" t="0" r="3810" b="3810"/>
            <wp:docPr id="46" name="图片 46" descr="20221014000203278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0221014000203278_页面_18"/>
                    <pic:cNvPicPr>
                      <a:picLocks noChangeAspect="1"/>
                    </pic:cNvPicPr>
                  </pic:nvPicPr>
                  <pic:blipFill>
                    <a:blip r:embed="rId59"/>
                    <a:stretch>
                      <a:fillRect/>
                    </a:stretch>
                  </pic:blipFill>
                  <pic:spPr>
                    <a:xfrm rot="16200000">
                      <a:off x="0" y="0"/>
                      <a:ext cx="9171940" cy="648398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2250" cy="6440805"/>
            <wp:effectExtent l="0" t="0" r="3810" b="9525"/>
            <wp:docPr id="47" name="图片 47" descr="20221014000203278_页面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20221014000203278_页面_19"/>
                    <pic:cNvPicPr>
                      <a:picLocks noChangeAspect="1"/>
                    </pic:cNvPicPr>
                  </pic:nvPicPr>
                  <pic:blipFill>
                    <a:blip r:embed="rId60"/>
                    <a:stretch>
                      <a:fillRect/>
                    </a:stretch>
                  </pic:blipFill>
                  <pic:spPr>
                    <a:xfrm rot="16200000">
                      <a:off x="0" y="0"/>
                      <a:ext cx="9112250" cy="644080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095740" cy="6429375"/>
            <wp:effectExtent l="0" t="0" r="4445" b="4445"/>
            <wp:docPr id="48" name="图片 48" descr="20221014000203278_页面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20221014000203278_页面_20"/>
                    <pic:cNvPicPr>
                      <a:picLocks noChangeAspect="1"/>
                    </pic:cNvPicPr>
                  </pic:nvPicPr>
                  <pic:blipFill>
                    <a:blip r:embed="rId61"/>
                    <a:stretch>
                      <a:fillRect/>
                    </a:stretch>
                  </pic:blipFill>
                  <pic:spPr>
                    <a:xfrm rot="16200000">
                      <a:off x="0" y="0"/>
                      <a:ext cx="9095740" cy="642937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7330" cy="6444615"/>
            <wp:effectExtent l="0" t="0" r="0" b="4445"/>
            <wp:docPr id="49" name="图片 49" descr="20221014000203278_页面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20221014000203278_页面_21"/>
                    <pic:cNvPicPr>
                      <a:picLocks noChangeAspect="1"/>
                    </pic:cNvPicPr>
                  </pic:nvPicPr>
                  <pic:blipFill>
                    <a:blip r:embed="rId62"/>
                    <a:stretch>
                      <a:fillRect/>
                    </a:stretch>
                  </pic:blipFill>
                  <pic:spPr>
                    <a:xfrm rot="16200000">
                      <a:off x="0" y="0"/>
                      <a:ext cx="9117330" cy="644461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56065" cy="6471920"/>
            <wp:effectExtent l="0" t="0" r="5080" b="8890"/>
            <wp:docPr id="50" name="图片 50" descr="20221014000203278_页面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20221014000203278_页面_22"/>
                    <pic:cNvPicPr>
                      <a:picLocks noChangeAspect="1"/>
                    </pic:cNvPicPr>
                  </pic:nvPicPr>
                  <pic:blipFill>
                    <a:blip r:embed="rId63"/>
                    <a:stretch>
                      <a:fillRect/>
                    </a:stretch>
                  </pic:blipFill>
                  <pic:spPr>
                    <a:xfrm rot="16200000">
                      <a:off x="0" y="0"/>
                      <a:ext cx="9156065" cy="647192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7330" cy="6444615"/>
            <wp:effectExtent l="0" t="0" r="0" b="4445"/>
            <wp:docPr id="51" name="图片 51" descr="20221014000203278_页面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20221014000203278_页面_23"/>
                    <pic:cNvPicPr>
                      <a:picLocks noChangeAspect="1"/>
                    </pic:cNvPicPr>
                  </pic:nvPicPr>
                  <pic:blipFill>
                    <a:blip r:embed="rId64"/>
                    <a:stretch>
                      <a:fillRect/>
                    </a:stretch>
                  </pic:blipFill>
                  <pic:spPr>
                    <a:xfrm rot="16200000">
                      <a:off x="0" y="0"/>
                      <a:ext cx="9117330" cy="644461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45270" cy="6464300"/>
            <wp:effectExtent l="0" t="0" r="1905" b="8890"/>
            <wp:docPr id="52" name="图片 52" descr="20221014000203278_页面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20221014000203278_页面_24"/>
                    <pic:cNvPicPr>
                      <a:picLocks noChangeAspect="1"/>
                    </pic:cNvPicPr>
                  </pic:nvPicPr>
                  <pic:blipFill>
                    <a:blip r:embed="rId65"/>
                    <a:stretch>
                      <a:fillRect/>
                    </a:stretch>
                  </pic:blipFill>
                  <pic:spPr>
                    <a:xfrm rot="16200000">
                      <a:off x="0" y="0"/>
                      <a:ext cx="9145270" cy="646430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1615" cy="6440805"/>
            <wp:effectExtent l="0" t="0" r="3810" b="10160"/>
            <wp:docPr id="53" name="图片 53" descr="20221014000203278_页面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20221014000203278_页面_25"/>
                    <pic:cNvPicPr>
                      <a:picLocks noChangeAspect="1"/>
                    </pic:cNvPicPr>
                  </pic:nvPicPr>
                  <pic:blipFill>
                    <a:blip r:embed="rId66"/>
                    <a:stretch>
                      <a:fillRect/>
                    </a:stretch>
                  </pic:blipFill>
                  <pic:spPr>
                    <a:xfrm rot="16200000">
                      <a:off x="0" y="0"/>
                      <a:ext cx="9111615" cy="644080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55430" cy="6471920"/>
            <wp:effectExtent l="0" t="0" r="5080" b="9525"/>
            <wp:docPr id="54" name="图片 54" descr="20221014000203278_页面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20221014000203278_页面_26"/>
                    <pic:cNvPicPr>
                      <a:picLocks noChangeAspect="1"/>
                    </pic:cNvPicPr>
                  </pic:nvPicPr>
                  <pic:blipFill>
                    <a:blip r:embed="rId67"/>
                    <a:stretch>
                      <a:fillRect/>
                    </a:stretch>
                  </pic:blipFill>
                  <pic:spPr>
                    <a:xfrm rot="16200000">
                      <a:off x="0" y="0"/>
                      <a:ext cx="9155430" cy="647192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38920" cy="6459855"/>
            <wp:effectExtent l="0" t="0" r="6350" b="4445"/>
            <wp:docPr id="55" name="图片 55" descr="20221014000203278_页面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20221014000203278_页面_27"/>
                    <pic:cNvPicPr>
                      <a:picLocks noChangeAspect="1"/>
                    </pic:cNvPicPr>
                  </pic:nvPicPr>
                  <pic:blipFill>
                    <a:blip r:embed="rId68"/>
                    <a:stretch>
                      <a:fillRect/>
                    </a:stretch>
                  </pic:blipFill>
                  <pic:spPr>
                    <a:xfrm rot="16200000">
                      <a:off x="0" y="0"/>
                      <a:ext cx="9138920" cy="645985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209405" cy="6510020"/>
            <wp:effectExtent l="0" t="0" r="10160" b="9525"/>
            <wp:docPr id="56" name="图片 56" descr="20221014000203278_页面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20221014000203278_页面_28"/>
                    <pic:cNvPicPr>
                      <a:picLocks noChangeAspect="1"/>
                    </pic:cNvPicPr>
                  </pic:nvPicPr>
                  <pic:blipFill>
                    <a:blip r:embed="rId69"/>
                    <a:stretch>
                      <a:fillRect/>
                    </a:stretch>
                  </pic:blipFill>
                  <pic:spPr>
                    <a:xfrm rot="16200000">
                      <a:off x="0" y="0"/>
                      <a:ext cx="9209405" cy="651002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87815" cy="6494780"/>
            <wp:effectExtent l="0" t="0" r="3810" b="9525"/>
            <wp:docPr id="57" name="图片 57" descr="20221014000203278_页面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20221014000203278_页面_29"/>
                    <pic:cNvPicPr>
                      <a:picLocks noChangeAspect="1"/>
                    </pic:cNvPicPr>
                  </pic:nvPicPr>
                  <pic:blipFill>
                    <a:blip r:embed="rId70"/>
                    <a:stretch>
                      <a:fillRect/>
                    </a:stretch>
                  </pic:blipFill>
                  <pic:spPr>
                    <a:xfrm rot="16200000">
                      <a:off x="0" y="0"/>
                      <a:ext cx="9187815" cy="649478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6695" cy="6443980"/>
            <wp:effectExtent l="0" t="0" r="635" b="5080"/>
            <wp:docPr id="58" name="图片 58" descr="20221014000203278_页面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20221014000203278_页面_30"/>
                    <pic:cNvPicPr>
                      <a:picLocks noChangeAspect="1"/>
                    </pic:cNvPicPr>
                  </pic:nvPicPr>
                  <pic:blipFill>
                    <a:blip r:embed="rId71"/>
                    <a:stretch>
                      <a:fillRect/>
                    </a:stretch>
                  </pic:blipFill>
                  <pic:spPr>
                    <a:xfrm rot="16200000">
                      <a:off x="0" y="0"/>
                      <a:ext cx="9116695" cy="644398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9117330" cy="6444615"/>
            <wp:effectExtent l="0" t="0" r="0" b="4445"/>
            <wp:docPr id="59" name="图片 59" descr="20221014000203278_页面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20221014000203278_页面_31"/>
                    <pic:cNvPicPr>
                      <a:picLocks noChangeAspect="1"/>
                    </pic:cNvPicPr>
                  </pic:nvPicPr>
                  <pic:blipFill>
                    <a:blip r:embed="rId72"/>
                    <a:stretch>
                      <a:fillRect/>
                    </a:stretch>
                  </pic:blipFill>
                  <pic:spPr>
                    <a:xfrm rot="16200000">
                      <a:off x="0" y="0"/>
                      <a:ext cx="9117330" cy="6444615"/>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eastAsia="zh-CN"/>
        </w:rPr>
        <w:drawing>
          <wp:inline distT="0" distB="0" distL="114300" distR="114300">
            <wp:extent cx="9163685" cy="6478270"/>
            <wp:effectExtent l="0" t="0" r="9525" b="1270"/>
            <wp:docPr id="60" name="图片 60" descr="20221014000203278_页面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20221014000203278_页面_32"/>
                    <pic:cNvPicPr>
                      <a:picLocks noChangeAspect="1"/>
                    </pic:cNvPicPr>
                  </pic:nvPicPr>
                  <pic:blipFill>
                    <a:blip r:embed="rId73"/>
                    <a:stretch>
                      <a:fillRect/>
                    </a:stretch>
                  </pic:blipFill>
                  <pic:spPr>
                    <a:xfrm rot="16200000">
                      <a:off x="0" y="0"/>
                      <a:ext cx="9163685" cy="6478270"/>
                    </a:xfrm>
                    <a:prstGeom prst="rect">
                      <a:avLst/>
                    </a:prstGeom>
                  </pic:spPr>
                </pic:pic>
              </a:graphicData>
            </a:graphic>
          </wp:inline>
        </w:drawing>
      </w:r>
    </w:p>
    <w:p>
      <w:pPr>
        <w:rPr>
          <w:rFonts w:hint="eastAsia" w:ascii="Times New Roman" w:hAnsi="Times New Roman" w:eastAsia="宋体" w:cs="Times New Roman"/>
          <w:b/>
          <w:bCs/>
          <w:color w:val="auto"/>
          <w:sz w:val="24"/>
          <w:szCs w:val="24"/>
        </w:rPr>
      </w:pPr>
    </w:p>
    <w:p>
      <w:pPr>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rPr>
        <w:t>附件</w:t>
      </w:r>
      <w:r>
        <w:rPr>
          <w:rFonts w:hint="eastAsia" w:ascii="Times New Roman" w:hAnsi="Times New Roman" w:eastAsia="宋体" w:cs="Times New Roman"/>
          <w:b/>
          <w:bCs/>
          <w:color w:val="auto"/>
          <w:sz w:val="24"/>
          <w:szCs w:val="24"/>
          <w:lang w:val="en-US" w:eastAsia="zh-CN"/>
        </w:rPr>
        <w:t>6</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专家意见</w:t>
      </w: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6476365" cy="9164320"/>
            <wp:effectExtent l="0" t="0" r="635" b="635"/>
            <wp:docPr id="1" name="图片 1" descr="扫描全能王-定制版 2023-02-10 13.10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扫描全能王-定制版 2023-02-10 13.10_页面_1"/>
                    <pic:cNvPicPr>
                      <a:picLocks noChangeAspect="1"/>
                    </pic:cNvPicPr>
                  </pic:nvPicPr>
                  <pic:blipFill>
                    <a:blip r:embed="rId74"/>
                    <a:stretch>
                      <a:fillRect/>
                    </a:stretch>
                  </pic:blipFill>
                  <pic:spPr>
                    <a:xfrm>
                      <a:off x="0" y="0"/>
                      <a:ext cx="6476365" cy="9164320"/>
                    </a:xfrm>
                    <a:prstGeom prst="rect">
                      <a:avLst/>
                    </a:prstGeom>
                  </pic:spPr>
                </pic:pic>
              </a:graphicData>
            </a:graphic>
          </wp:inline>
        </w:drawing>
      </w: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6478270" cy="9098915"/>
            <wp:effectExtent l="0" t="0" r="9525" b="1270"/>
            <wp:docPr id="4" name="图片 4" descr="扫描全能王-定制版 2023-02-10 13.10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扫描全能王-定制版 2023-02-10 13.10_页面_2"/>
                    <pic:cNvPicPr>
                      <a:picLocks noChangeAspect="1"/>
                    </pic:cNvPicPr>
                  </pic:nvPicPr>
                  <pic:blipFill>
                    <a:blip r:embed="rId75"/>
                    <a:stretch>
                      <a:fillRect/>
                    </a:stretch>
                  </pic:blipFill>
                  <pic:spPr>
                    <a:xfrm>
                      <a:off x="0" y="0"/>
                      <a:ext cx="6478270" cy="9098915"/>
                    </a:xfrm>
                    <a:prstGeom prst="rect">
                      <a:avLst/>
                    </a:prstGeom>
                  </pic:spPr>
                </pic:pic>
              </a:graphicData>
            </a:graphic>
          </wp:inline>
        </w:drawing>
      </w:r>
    </w:p>
    <w:p>
      <w:pPr>
        <w:rPr>
          <w:rFonts w:hint="eastAsia"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sectPr>
          <w:pgSz w:w="11906" w:h="16838"/>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cs="Times New Roman"/>
          <w:b/>
          <w:color w:val="auto"/>
          <w:szCs w:val="21"/>
        </w:rPr>
        <w:drawing>
          <wp:anchor distT="0" distB="0" distL="114300" distR="114300" simplePos="0" relativeHeight="251670528" behindDoc="1" locked="0" layoutInCell="1" allowOverlap="1">
            <wp:simplePos x="0" y="0"/>
            <wp:positionH relativeFrom="column">
              <wp:posOffset>1677035</wp:posOffset>
            </wp:positionH>
            <wp:positionV relativeFrom="paragraph">
              <wp:posOffset>-1341120</wp:posOffset>
            </wp:positionV>
            <wp:extent cx="6006465" cy="9084310"/>
            <wp:effectExtent l="0" t="0" r="2540" b="13335"/>
            <wp:wrapNone/>
            <wp:docPr id="2" name="图片 2" descr="附图1 地理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附图1 地理位置图"/>
                    <pic:cNvPicPr>
                      <a:picLocks noChangeAspect="1" noChangeArrowheads="1"/>
                    </pic:cNvPicPr>
                  </pic:nvPicPr>
                  <pic:blipFill>
                    <a:blip r:embed="rId76" cstate="print">
                      <a:extLst>
                        <a:ext uri="{28A0092B-C50C-407E-A947-70E740481C1C}">
                          <a14:useLocalDpi xmlns:a14="http://schemas.microsoft.com/office/drawing/2010/main" val="0"/>
                        </a:ext>
                      </a:extLst>
                    </a:blip>
                    <a:srcRect l="6024" t="3593" r="7950" b="4497"/>
                    <a:stretch>
                      <a:fillRect/>
                    </a:stretch>
                  </pic:blipFill>
                  <pic:spPr>
                    <a:xfrm rot="5400000">
                      <a:off x="0" y="0"/>
                      <a:ext cx="6006465" cy="9084310"/>
                    </a:xfrm>
                    <a:prstGeom prst="rect">
                      <a:avLst/>
                    </a:prstGeom>
                    <a:noFill/>
                    <a:ln>
                      <a:noFill/>
                    </a:ln>
                    <a:effectLst/>
                  </pic:spPr>
                </pic:pic>
              </a:graphicData>
            </a:graphic>
          </wp:anchor>
        </w:drawing>
      </w: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图1</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地理位置图</w: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cs="Times New Roman"/>
          <w:color w:val="auto"/>
        </w:rPr>
        <mc:AlternateContent>
          <mc:Choice Requires="wps">
            <w:drawing>
              <wp:anchor distT="0" distB="0" distL="114300" distR="114300" simplePos="0" relativeHeight="251668480" behindDoc="0" locked="0" layoutInCell="1" allowOverlap="1">
                <wp:simplePos x="0" y="0"/>
                <wp:positionH relativeFrom="column">
                  <wp:posOffset>3555365</wp:posOffset>
                </wp:positionH>
                <wp:positionV relativeFrom="paragraph">
                  <wp:posOffset>146050</wp:posOffset>
                </wp:positionV>
                <wp:extent cx="1184910" cy="382270"/>
                <wp:effectExtent l="414020" t="6350" r="20320" b="430530"/>
                <wp:wrapNone/>
                <wp:docPr id="265"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81145"/>
                            <a:gd name="adj2" fmla="val 153971"/>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279.95pt;margin-top:11.5pt;height:30.1pt;width:93.3pt;z-index:251668480;v-text-anchor:middle;mso-width-relative:page;mso-height-relative:page;" filled="f" stroked="t" coordsize="21600,21600" o:gfxdata="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BZksC+2gAAAAkBAAAPAAAAAAAAAAEAIAAAACIAAABkcnMv&#10;ZG93bnJldi54bWxQSwECFAAUAAAACACHTuJAAJADvqwCAAA+BQAADgAAAAAAAAABACAAAAApAQAA&#10;ZHJzL2Uyb0RvYy54bWxQSwUGAAAAAAYABgBZAQAARwYAAAAA&#10;" adj="-6727,44058">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color w:val="auto"/>
        </w:rPr>
        <mc:AlternateContent>
          <mc:Choice Requires="wps">
            <w:drawing>
              <wp:anchor distT="0" distB="0" distL="114300" distR="114300" simplePos="0" relativeHeight="251669504" behindDoc="0" locked="0" layoutInCell="1" allowOverlap="1">
                <wp:simplePos x="0" y="0"/>
                <wp:positionH relativeFrom="column">
                  <wp:posOffset>3046095</wp:posOffset>
                </wp:positionH>
                <wp:positionV relativeFrom="paragraph">
                  <wp:posOffset>26035</wp:posOffset>
                </wp:positionV>
                <wp:extent cx="125095" cy="107950"/>
                <wp:effectExtent l="10795" t="12700" r="16510" b="12700"/>
                <wp:wrapNone/>
                <wp:docPr id="268" name="等腰三角形 268"/>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39.85pt;margin-top:2.05pt;height:8.5pt;width:9.85pt;z-index:251669504;v-text-anchor:middle;mso-width-relative:page;mso-height-relative:page;" fillcolor="#FF0000" filled="t" stroked="t" coordsize="21600,21600" o:gfxdata="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nvdUX9oAAAAI&#10;AQAADwAAAAAAAAABACAAAAAiAAAAZHJzL2Rvd25yZXYueG1sUEsBAhQAFAAAAAgAh07iQF30/BaM&#10;AgAADwUAAA4AAAAAAAAAAQAgAAAAKQEAAGRycy9lMm9Eb2MueG1sUEsFBgAAAAAGAAYAWQEAACcG&#10;AAAAAA==&#10;" adj="10800">
                <v:fill on="t" focussize="0,0"/>
                <v:stroke weight="1pt" color="#000000 [3213]" miterlimit="8" joinstyle="miter"/>
                <v:imagedata o:title=""/>
                <o:lock v:ext="edit" aspectratio="f"/>
                <v:textbox>
                  <w:txbxContent>
                    <w:p>
                      <w:pPr>
                        <w:jc w:val="center"/>
                      </w:pP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2</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大宁产业集聚区</w:t>
      </w:r>
      <w:r>
        <w:rPr>
          <w:rFonts w:hint="eastAsia" w:ascii="Times New Roman" w:hAnsi="Times New Roman" w:eastAsia="宋体" w:cs="Times New Roman"/>
          <w:b/>
          <w:bCs/>
          <w:color w:val="auto"/>
          <w:sz w:val="24"/>
          <w:szCs w:val="24"/>
          <w:lang w:val="en-US" w:eastAsia="zh-CN"/>
        </w:rPr>
        <w:t>规划图</w:t>
      </w:r>
    </w:p>
    <w:p>
      <w:pPr>
        <w:rPr>
          <w:rFonts w:ascii="Times New Roman" w:hAnsi="Times New Roman" w:eastAsia="宋体" w:cs="Times New Roman"/>
          <w:b/>
          <w:bCs/>
          <w:color w:val="auto"/>
          <w:sz w:val="24"/>
          <w:szCs w:val="24"/>
        </w:rPr>
      </w:pPr>
      <w:r>
        <w:rPr>
          <w:color w:val="auto"/>
        </w:rPr>
        <mc:AlternateContent>
          <mc:Choice Requires="wps">
            <w:drawing>
              <wp:anchor distT="0" distB="0" distL="114300" distR="114300" simplePos="0" relativeHeight="251691008" behindDoc="0" locked="0" layoutInCell="1" allowOverlap="1">
                <wp:simplePos x="0" y="0"/>
                <wp:positionH relativeFrom="column">
                  <wp:posOffset>2780665</wp:posOffset>
                </wp:positionH>
                <wp:positionV relativeFrom="paragraph">
                  <wp:posOffset>3093085</wp:posOffset>
                </wp:positionV>
                <wp:extent cx="125095" cy="107950"/>
                <wp:effectExtent l="10795" t="12700" r="15240" b="8890"/>
                <wp:wrapNone/>
                <wp:docPr id="21" name="等腰三角形 21"/>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18.95pt;margin-top:243.55pt;height:8.5pt;width:9.85pt;z-index:251691008;v-text-anchor:middle;mso-width-relative:page;mso-height-relative:page;" fillcolor="#FF0000" filled="t" stroked="t" coordsize="21600,21600" o:gfxdata="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2vHYF3AAAAAsBAAAPAAAA&#10;AAAAAAEAIAAAACIAAABkcnMvZG93bnJldi54bWxQSwECFAAUAAAACACHTuJAdWWjv4MCAAACBQAA&#10;DgAAAAAAAAABACAAAAArAQAAZHJzL2Uyb0RvYy54bWxQSwUGAAAAAAYABgBZAQAAIAYAAAAA&#10;" adj="10800">
                <v:fill on="t" focussize="0,0"/>
                <v:stroke weight="1pt" color="#000000 [3213]" miterlimit="8" joinstyle="miter"/>
                <v:imagedata o:title=""/>
                <o:lock v:ext="edit" aspectratio="f"/>
              </v:shape>
            </w:pict>
          </mc:Fallback>
        </mc:AlternateContent>
      </w:r>
      <w:r>
        <w:rPr>
          <w:color w:val="auto"/>
          <w:highlight w:val="none"/>
        </w:rPr>
        <w:drawing>
          <wp:inline distT="0" distB="0" distL="0" distR="0">
            <wp:extent cx="8616315" cy="6094730"/>
            <wp:effectExtent l="0" t="0" r="889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77" cstate="print"/>
                    <a:stretch>
                      <a:fillRect/>
                    </a:stretch>
                  </pic:blipFill>
                  <pic:spPr>
                    <a:xfrm>
                      <a:off x="0" y="0"/>
                      <a:ext cx="8616315" cy="6094730"/>
                    </a:xfrm>
                    <a:prstGeom prst="rect">
                      <a:avLst/>
                    </a:prstGeom>
                  </pic:spPr>
                </pic:pic>
              </a:graphicData>
            </a:graphic>
          </wp:inline>
        </w:drawing>
      </w:r>
      <w:r>
        <w:rPr>
          <w:rFonts w:ascii="Times New Roman" w:hAnsi="Times New Roman" w:cs="Times New Roman"/>
          <w:color w:val="auto"/>
        </w:rPr>
        <mc:AlternateContent>
          <mc:Choice Requires="wps">
            <w:drawing>
              <wp:anchor distT="0" distB="0" distL="114300" distR="114300" simplePos="0" relativeHeight="251689984" behindDoc="0" locked="0" layoutInCell="1" allowOverlap="1">
                <wp:simplePos x="0" y="0"/>
                <wp:positionH relativeFrom="column">
                  <wp:posOffset>1342390</wp:posOffset>
                </wp:positionH>
                <wp:positionV relativeFrom="paragraph">
                  <wp:posOffset>2160905</wp:posOffset>
                </wp:positionV>
                <wp:extent cx="1184910" cy="382270"/>
                <wp:effectExtent l="6350" t="6350" r="330835" b="647700"/>
                <wp:wrapNone/>
                <wp:docPr id="19"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74574"/>
                            <a:gd name="adj2" fmla="val 208076"/>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105.7pt;margin-top:170.15pt;height:30.1pt;width:93.3pt;z-index:251689984;v-text-anchor:middle;mso-width-relative:page;mso-height-relative:page;" filled="f" stroked="t" coordsize="21600,21600" o:gfxdata="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Aba2ZdsAAAALAQAADwAAAAAAAAABACAAAAAiAAAAZHJzL2Rv&#10;d25yZXYueG1sUEsBAhQAFAAAAAgAh07iQHfErlepAgAAPAUAAA4AAAAAAAAAAQAgAAAAKgEAAGRy&#10;cy9lMm9Eb2MueG1sUEsFBgAAAAAGAAYAWQEAAEUGAAAAAA==&#10;" adj="26908,55744">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3</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大宁县城市总体规划图</w:t>
      </w:r>
    </w:p>
    <w:p>
      <w:pPr>
        <w:rPr>
          <w:rFonts w:hint="eastAsia" w:eastAsiaTheme="minorEastAsia"/>
          <w:color w:val="auto"/>
          <w:lang w:eastAsia="zh-CN"/>
        </w:rPr>
      </w:pP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647700</wp:posOffset>
                </wp:positionH>
                <wp:positionV relativeFrom="paragraph">
                  <wp:posOffset>3976370</wp:posOffset>
                </wp:positionV>
                <wp:extent cx="1431290" cy="506095"/>
                <wp:effectExtent l="0" t="0" r="0" b="0"/>
                <wp:wrapNone/>
                <wp:docPr id="17" name="文本框 17"/>
                <wp:cNvGraphicFramePr/>
                <a:graphic xmlns:a="http://schemas.openxmlformats.org/drawingml/2006/main">
                  <a:graphicData uri="http://schemas.microsoft.com/office/word/2010/wordprocessingShape">
                    <wps:wsp>
                      <wps:cNvSpPr txBox="1"/>
                      <wps:spPr>
                        <a:xfrm>
                          <a:off x="1188085" y="4714240"/>
                          <a:ext cx="1431290" cy="506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00"/>
                                <w:sz w:val="22"/>
                                <w:szCs w:val="24"/>
                              </w:rPr>
                            </w:pPr>
                            <w:r>
                              <w:rPr>
                                <w:rFonts w:hint="default" w:ascii="Times New Roman" w:hAnsi="Times New Roman" w:eastAsia="宋体" w:cs="Times New Roman"/>
                                <w:b/>
                                <w:bCs/>
                                <w:color w:val="FF0000"/>
                                <w:sz w:val="22"/>
                                <w:szCs w:val="24"/>
                                <w:lang w:val="en-US" w:eastAsia="zh-CN"/>
                              </w:rPr>
                              <w:t>本项目位于</w:t>
                            </w:r>
                            <w:r>
                              <w:rPr>
                                <w:rFonts w:hint="default" w:ascii="Times New Roman" w:hAnsi="Times New Roman" w:eastAsia="宋体" w:cs="Times New Roman"/>
                                <w:b/>
                                <w:bCs/>
                                <w:color w:val="FF0000"/>
                                <w:sz w:val="22"/>
                                <w:szCs w:val="24"/>
                              </w:rPr>
                              <w:t>西边界约6.5km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pt;margin-top:313.1pt;height:39.85pt;width:112.7pt;z-index:251688960;mso-width-relative:page;mso-height-relative:page;" filled="f" stroked="f" coordsize="21600,21600" o:gfxdata="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lmKOctwAAAALAQAADwAAAAAA&#10;AAABACAAAAAiAAAAZHJzL2Rvd25yZXYueG1sUEsBAhQAFAAAAAgAh07iQNdy7b1IAgAAdAQAAA4A&#10;AAAAAAAAAQAgAAAAKwEAAGRycy9lMm9Eb2MueG1sUEsFBgAAAAAGAAYAWQEAAOUFAAAAAA==&#10;">
                <v:fill on="f" focussize="0,0"/>
                <v:stroke on="f" weight="0.5pt"/>
                <v:imagedata o:title=""/>
                <o:lock v:ext="edit" aspectratio="f"/>
                <v:textbox>
                  <w:txbxContent>
                    <w:p>
                      <w:pPr>
                        <w:rPr>
                          <w:rFonts w:hint="default" w:ascii="Times New Roman" w:hAnsi="Times New Roman" w:eastAsia="宋体" w:cs="Times New Roman"/>
                          <w:b/>
                          <w:bCs/>
                          <w:color w:val="FF0000"/>
                          <w:sz w:val="22"/>
                          <w:szCs w:val="24"/>
                        </w:rPr>
                      </w:pPr>
                      <w:r>
                        <w:rPr>
                          <w:rFonts w:hint="default" w:ascii="Times New Roman" w:hAnsi="Times New Roman" w:eastAsia="宋体" w:cs="Times New Roman"/>
                          <w:b/>
                          <w:bCs/>
                          <w:color w:val="FF0000"/>
                          <w:sz w:val="22"/>
                          <w:szCs w:val="24"/>
                          <w:lang w:val="en-US" w:eastAsia="zh-CN"/>
                        </w:rPr>
                        <w:t>本项目位于</w:t>
                      </w:r>
                      <w:r>
                        <w:rPr>
                          <w:rFonts w:hint="default" w:ascii="Times New Roman" w:hAnsi="Times New Roman" w:eastAsia="宋体" w:cs="Times New Roman"/>
                          <w:b/>
                          <w:bCs/>
                          <w:color w:val="FF0000"/>
                          <w:sz w:val="22"/>
                          <w:szCs w:val="24"/>
                        </w:rPr>
                        <w:t>西边界约6.5km</w:t>
                      </w:r>
                    </w:p>
                  </w:txbxContent>
                </v:textbox>
              </v:shape>
            </w:pict>
          </mc:Fallback>
        </mc:AlternateContent>
      </w:r>
      <w:r>
        <w:rPr>
          <w:rFonts w:hint="eastAsia" w:eastAsiaTheme="minorEastAsia"/>
          <w:color w:val="auto"/>
          <w:lang w:eastAsia="zh-CN"/>
        </w:rPr>
        <w:drawing>
          <wp:inline distT="0" distB="0" distL="114300" distR="114300">
            <wp:extent cx="9029065" cy="6062980"/>
            <wp:effectExtent l="0" t="0" r="6350" b="3810"/>
            <wp:docPr id="3" name="图片 3" descr="13大宁总规——总图-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3大宁总规——总图-Model"/>
                    <pic:cNvPicPr>
                      <a:picLocks noChangeAspect="1"/>
                    </pic:cNvPicPr>
                  </pic:nvPicPr>
                  <pic:blipFill>
                    <a:blip r:embed="rId78"/>
                    <a:stretch>
                      <a:fillRect/>
                    </a:stretch>
                  </pic:blipFill>
                  <pic:spPr>
                    <a:xfrm>
                      <a:off x="0" y="0"/>
                      <a:ext cx="9029065" cy="6062980"/>
                    </a:xfrm>
                    <a:prstGeom prst="rect">
                      <a:avLst/>
                    </a:prstGeom>
                  </pic:spPr>
                </pic:pic>
              </a:graphicData>
            </a:graphic>
          </wp:inline>
        </w:drawing>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-21590</wp:posOffset>
                </wp:positionH>
                <wp:positionV relativeFrom="paragraph">
                  <wp:posOffset>3745230</wp:posOffset>
                </wp:positionV>
                <wp:extent cx="1159510" cy="5080"/>
                <wp:effectExtent l="0" t="49530" r="6350" b="53340"/>
                <wp:wrapNone/>
                <wp:docPr id="16" name="直接箭头连接符 16"/>
                <wp:cNvGraphicFramePr/>
                <a:graphic xmlns:a="http://schemas.openxmlformats.org/drawingml/2006/main">
                  <a:graphicData uri="http://schemas.microsoft.com/office/word/2010/wordprocessingShape">
                    <wps:wsp>
                      <wps:cNvCnPr/>
                      <wps:spPr>
                        <a:xfrm flipH="1">
                          <a:off x="518795" y="4483100"/>
                          <a:ext cx="1159510" cy="508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7pt;margin-top:294.9pt;height:0.4pt;width:91.3pt;z-index:251687936;mso-width-relative:page;mso-height-relative:page;" filled="f" stroked="t" coordsize="21600,21600" o:gfxdata="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jaWF&#10;2wAAAAoBAAAPAAAAAAAAAAEAIAAAACIAAABkcnMvZG93bnJldi54bWxQSwECFAAUAAAACACHTuJA&#10;IDJBRh4CAAD5AwAADgAAAAAAAAABACAAAAAqAQAAZHJzL2Uyb0RvYy54bWxQSwUGAAAAAAYABgBZ&#10;AQAAugUAAAAA&#10;">
                <v:fill on="f" focussize="0,0"/>
                <v:stroke weight="1.5pt" color="#FF0000 [3204]" miterlimit="8"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6051550</wp:posOffset>
                </wp:positionH>
                <wp:positionV relativeFrom="paragraph">
                  <wp:posOffset>6010910</wp:posOffset>
                </wp:positionV>
                <wp:extent cx="1668780" cy="306070"/>
                <wp:effectExtent l="0" t="0" r="0" b="0"/>
                <wp:wrapNone/>
                <wp:docPr id="41" name="文本框 41"/>
                <wp:cNvGraphicFramePr/>
                <a:graphic xmlns:a="http://schemas.openxmlformats.org/drawingml/2006/main">
                  <a:graphicData uri="http://schemas.microsoft.com/office/word/2010/wordprocessingShape">
                    <wps:wsp>
                      <wps:cNvSpPr txBox="1"/>
                      <wps:spPr>
                        <a:xfrm>
                          <a:off x="6793230" y="6748780"/>
                          <a:ext cx="1668780" cy="306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cs="Times New Roman" w:eastAsiaTheme="minorEastAsia"/>
                                <w:color w:val="FF0000"/>
                                <w:sz w:val="24"/>
                                <w:szCs w:val="28"/>
                                <w:lang w:val="en-US" w:eastAsia="zh-CN"/>
                              </w:rPr>
                            </w:pPr>
                            <w:r>
                              <w:rPr>
                                <w:rFonts w:hint="eastAsia" w:ascii="Times New Roman" w:hAnsi="Times New Roman" w:cs="Times New Roman"/>
                                <w:color w:val="FF0000"/>
                                <w:sz w:val="24"/>
                                <w:szCs w:val="28"/>
                                <w:lang w:val="en-US" w:eastAsia="zh-CN"/>
                              </w:rPr>
                              <w:t>本项目位于</w:t>
                            </w:r>
                            <w:r>
                              <w:rPr>
                                <w:rFonts w:hint="default" w:ascii="Times New Roman" w:hAnsi="Times New Roman" w:cs="Times New Roman"/>
                                <w:color w:val="FF0000"/>
                                <w:sz w:val="24"/>
                                <w:szCs w:val="28"/>
                                <w:lang w:val="en-US" w:eastAsia="zh-CN"/>
                              </w:rPr>
                              <w:t>南侧100m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6.5pt;margin-top:473.3pt;height:24.1pt;width:131.4pt;z-index:251666432;mso-width-relative:page;mso-height-relative:page;" filled="f" stroked="f" coordsize="21600,21600" o:gfxdata="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2XwJd0AAAAMAQAADwAAAAAAAAAB&#10;ACAAAAAiAAAAZHJzL2Rvd25yZXYueG1sUEsBAhQAFAAAAAgAh07iQOuqq51EAgAAdAQAAA4AAAAA&#10;AAAAAQAgAAAALAEAAGRycy9lMm9Eb2MueG1sUEsFBgAAAAAGAAYAWQEAAOIFAAAAAA==&#10;">
                <v:fill on="f" focussize="0,0"/>
                <v:stroke on="f" weight="0.5pt"/>
                <v:imagedata o:title=""/>
                <o:lock v:ext="edit" aspectratio="f"/>
                <v:textbox>
                  <w:txbxContent>
                    <w:p>
                      <w:pPr>
                        <w:rPr>
                          <w:rFonts w:hint="default" w:ascii="Times New Roman" w:hAnsi="Times New Roman" w:cs="Times New Roman" w:eastAsiaTheme="minorEastAsia"/>
                          <w:color w:val="FF0000"/>
                          <w:sz w:val="24"/>
                          <w:szCs w:val="28"/>
                          <w:lang w:val="en-US" w:eastAsia="zh-CN"/>
                        </w:rPr>
                      </w:pPr>
                      <w:r>
                        <w:rPr>
                          <w:rFonts w:hint="eastAsia" w:ascii="Times New Roman" w:hAnsi="Times New Roman" w:cs="Times New Roman"/>
                          <w:color w:val="FF0000"/>
                          <w:sz w:val="24"/>
                          <w:szCs w:val="28"/>
                          <w:lang w:val="en-US" w:eastAsia="zh-CN"/>
                        </w:rPr>
                        <w:t>本项目位于</w:t>
                      </w:r>
                      <w:r>
                        <w:rPr>
                          <w:rFonts w:hint="default" w:ascii="Times New Roman" w:hAnsi="Times New Roman" w:cs="Times New Roman"/>
                          <w:color w:val="FF0000"/>
                          <w:sz w:val="24"/>
                          <w:szCs w:val="28"/>
                          <w:lang w:val="en-US" w:eastAsia="zh-CN"/>
                        </w:rPr>
                        <w:t>南侧100m</w:t>
                      </w:r>
                    </w:p>
                  </w:txbxContent>
                </v:textbox>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6009005</wp:posOffset>
                </wp:positionH>
                <wp:positionV relativeFrom="paragraph">
                  <wp:posOffset>5989955</wp:posOffset>
                </wp:positionV>
                <wp:extent cx="20955" cy="168910"/>
                <wp:effectExtent l="41910" t="1270" r="51435" b="1270"/>
                <wp:wrapNone/>
                <wp:docPr id="7" name="直接箭头连接符 7"/>
                <wp:cNvGraphicFramePr/>
                <a:graphic xmlns:a="http://schemas.openxmlformats.org/drawingml/2006/main">
                  <a:graphicData uri="http://schemas.microsoft.com/office/word/2010/wordprocessingShape">
                    <wps:wsp>
                      <wps:cNvCnPr/>
                      <wps:spPr>
                        <a:xfrm flipH="1">
                          <a:off x="6591935" y="6738620"/>
                          <a:ext cx="20955" cy="16891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73.15pt;margin-top:471.65pt;height:13.3pt;width:1.65pt;z-index:251667456;mso-width-relative:page;mso-height-relative:page;" filled="f" stroked="t" coordsize="21600,21600" o:gfxdata="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EdUXdoA&#10;AAALAQAADwAAAAAAAAABACAAAAAiAAAAZHJzL2Rvd25yZXYueG1sUEsBAhQAFAAAAAgAh07iQLhE&#10;rqkdAgAA+AMAAA4AAAAAAAAAAQAgAAAAKQEAAGRycy9lMm9Eb2MueG1sUEsFBgAAAAAGAAYAWQEA&#10;ALgFAAAAAA==&#10;">
                <v:fill on="f" focussize="0,0"/>
                <v:stroke weight="1.5pt" color="#FF0000 [3204]" miterlimit="8" joinstyle="miter" endarrow="open"/>
                <v:imagedata o:title=""/>
                <o:lock v:ext="edit" aspectratio="f"/>
              </v:shape>
            </w:pict>
          </mc:Fallback>
        </mc:AlternateContent>
      </w:r>
    </w:p>
    <w:p>
      <w:pPr>
        <w:rPr>
          <w:color w:val="auto"/>
        </w:rPr>
      </w:pPr>
    </w:p>
    <w:p>
      <w:pPr>
        <w:rPr>
          <w:color w:val="auto"/>
        </w:rPr>
        <w:sectPr>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4</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山西省生态环境管控单元图</w:t>
      </w:r>
    </w:p>
    <w:p>
      <w:pPr>
        <w:rPr>
          <w:color w:val="auto"/>
        </w:rPr>
      </w:pPr>
      <w:r>
        <w:rPr>
          <w:rFonts w:ascii="Times New Roman" w:hAnsi="Times New Roman" w:cs="Times New Roman"/>
          <w:color w:val="auto"/>
        </w:rPr>
        <mc:AlternateContent>
          <mc:Choice Requires="wps">
            <w:drawing>
              <wp:anchor distT="0" distB="0" distL="114300" distR="114300" simplePos="0" relativeHeight="251677696" behindDoc="0" locked="0" layoutInCell="1" allowOverlap="1">
                <wp:simplePos x="0" y="0"/>
                <wp:positionH relativeFrom="column">
                  <wp:posOffset>133350</wp:posOffset>
                </wp:positionH>
                <wp:positionV relativeFrom="paragraph">
                  <wp:posOffset>4488815</wp:posOffset>
                </wp:positionV>
                <wp:extent cx="1184910" cy="382270"/>
                <wp:effectExtent l="0" t="0" r="358140" b="665480"/>
                <wp:wrapNone/>
                <wp:docPr id="266"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74574"/>
                            <a:gd name="adj2" fmla="val 208076"/>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10.5pt;margin-top:353.45pt;height:30.1pt;width:93.3pt;z-index:251677696;v-text-anchor:middle;mso-width-relative:page;mso-height-relative:page;" filled="f" stroked="t" coordsize="21600,21600" o:gfxdata="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8WBSAdoAAAAKAQAADwAAAAAAAAABACAAAAAiAAAAZHJzL2Rv&#10;d25yZXYueG1sUEsBAhQAFAAAAAgAh07iQGLFaRuqAgAAPQUAAA4AAAAAAAAAAQAgAAAAKQEAAGRy&#10;cy9lMm9Eb2MueG1sUEsFBgAAAAAGAAYAWQEAAEUGAAAAAA==&#10;" adj="26908,55744">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r>
        <w:rPr>
          <w:color w:val="auto"/>
        </w:rPr>
        <mc:AlternateContent>
          <mc:Choice Requires="wps">
            <w:drawing>
              <wp:anchor distT="0" distB="0" distL="114300" distR="114300" simplePos="0" relativeHeight="251661312" behindDoc="0" locked="0" layoutInCell="1" allowOverlap="1">
                <wp:simplePos x="0" y="0"/>
                <wp:positionH relativeFrom="column">
                  <wp:posOffset>1583055</wp:posOffset>
                </wp:positionH>
                <wp:positionV relativeFrom="paragraph">
                  <wp:posOffset>5439410</wp:posOffset>
                </wp:positionV>
                <wp:extent cx="125095" cy="107950"/>
                <wp:effectExtent l="19050" t="19050" r="46355" b="25400"/>
                <wp:wrapNone/>
                <wp:docPr id="234" name="等腰三角形 234"/>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24.65pt;margin-top:428.3pt;height:8.5pt;width:9.85pt;z-index:251661312;v-text-anchor:middle;mso-width-relative:page;mso-height-relative:page;" fillcolor="#FF0000" filled="t" stroked="t" coordsize="21600,21600" o:gfxdata="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STckL3AAAAAsBAAAP&#10;AAAAAAAAAAEAIAAAACIAAABkcnMvZG93bnJldi54bWxQSwECFAAUAAAACACHTuJAp9VSDYYCAAAE&#10;BQAADgAAAAAAAAABACAAAAArAQAAZHJzL2Uyb0RvYy54bWxQSwUGAAAAAAYABgBZAQAAIwYAAAAA&#10;" adj="10800">
                <v:fill on="t" focussize="0,0"/>
                <v:stroke weight="1pt" color="#000000 [3213]" miterlimit="8" joinstyle="miter"/>
                <v:imagedata o:title=""/>
                <o:lock v:ext="edit" aspectratio="f"/>
              </v:shape>
            </w:pict>
          </mc:Fallback>
        </mc:AlternateContent>
      </w:r>
      <w:r>
        <w:rPr>
          <w:color w:val="auto"/>
        </w:rPr>
        <w:drawing>
          <wp:inline distT="0" distB="0" distL="0" distR="0">
            <wp:extent cx="6651625" cy="9023985"/>
            <wp:effectExtent l="0" t="0" r="0" b="571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noChangeArrowheads="1"/>
                    </pic:cNvPicPr>
                  </pic:nvPicPr>
                  <pic:blipFill>
                    <a:blip r:embed="rId79" cstate="print">
                      <a:extLst>
                        <a:ext uri="{28A0092B-C50C-407E-A947-70E740481C1C}">
                          <a14:useLocalDpi xmlns:a14="http://schemas.microsoft.com/office/drawing/2010/main" val="0"/>
                        </a:ext>
                      </a:extLst>
                    </a:blip>
                    <a:srcRect l="18010" t="24165" r="16671" b="12619"/>
                    <a:stretch>
                      <a:fillRect/>
                    </a:stretch>
                  </pic:blipFill>
                  <pic:spPr>
                    <a:xfrm>
                      <a:off x="0" y="0"/>
                      <a:ext cx="6661959" cy="9037538"/>
                    </a:xfrm>
                    <a:prstGeom prst="rect">
                      <a:avLst/>
                    </a:prstGeom>
                    <a:noFill/>
                    <a:ln>
                      <a:noFill/>
                    </a:ln>
                  </pic:spPr>
                </pic:pic>
              </a:graphicData>
            </a:graphic>
          </wp:inline>
        </w:drawing>
      </w:r>
    </w:p>
    <w:p>
      <w:pPr>
        <w:rPr>
          <w:color w:val="auto"/>
        </w:rPr>
      </w:pPr>
    </w:p>
    <w:p>
      <w:pPr>
        <w:rPr>
          <w:color w:val="auto"/>
        </w:rPr>
        <w:sectPr>
          <w:pgSz w:w="11906" w:h="16838"/>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5</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临汾市</w:t>
      </w:r>
      <w:r>
        <w:rPr>
          <w:rFonts w:hint="eastAsia" w:ascii="Times New Roman" w:hAnsi="Times New Roman" w:eastAsia="宋体" w:cs="Times New Roman"/>
          <w:b/>
          <w:bCs/>
          <w:color w:val="auto"/>
          <w:sz w:val="24"/>
          <w:szCs w:val="24"/>
        </w:rPr>
        <w:t>生态环境管控单元图</w:t>
      </w:r>
    </w:p>
    <w:p>
      <w:pPr>
        <w:rPr>
          <w:color w:val="auto"/>
        </w:rPr>
        <w:sectPr>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cs="Times New Roman"/>
          <w:color w:val="auto"/>
        </w:rPr>
        <mc:AlternateContent>
          <mc:Choice Requires="wps">
            <w:drawing>
              <wp:anchor distT="0" distB="0" distL="114300" distR="114300" simplePos="0" relativeHeight="251679744" behindDoc="0" locked="0" layoutInCell="1" allowOverlap="1">
                <wp:simplePos x="0" y="0"/>
                <wp:positionH relativeFrom="column">
                  <wp:posOffset>2279650</wp:posOffset>
                </wp:positionH>
                <wp:positionV relativeFrom="paragraph">
                  <wp:posOffset>1616710</wp:posOffset>
                </wp:positionV>
                <wp:extent cx="1184910" cy="382270"/>
                <wp:effectExtent l="571500" t="0" r="15240" b="379730"/>
                <wp:wrapNone/>
                <wp:docPr id="269"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94925"/>
                            <a:gd name="adj2" fmla="val 138309"/>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179.5pt;margin-top:127.3pt;height:30.1pt;width:93.3pt;z-index:251679744;v-text-anchor:middle;mso-width-relative:page;mso-height-relative:page;" filled="f" stroked="t" coordsize="21600,21600" o:gfxdata="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BK4Z5O2gAAAAsBAAAPAAAAAAAAAAEAIAAAACIAAABkcnMv&#10;ZG93bnJldi54bWxQSwECFAAUAAAACACHTuJApT7eiqwCAAA+BQAADgAAAAAAAAABACAAAAApAQAA&#10;ZHJzL2Uyb0RvYy54bWxQSwUGAAAAAAYABgBZAQAARwYAAAAA&#10;" adj="-9704,40675">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r>
        <w:rPr>
          <w:color w:val="auto"/>
        </w:rPr>
        <mc:AlternateContent>
          <mc:Choice Requires="wps">
            <w:drawing>
              <wp:anchor distT="0" distB="0" distL="114300" distR="114300" simplePos="0" relativeHeight="251662336" behindDoc="0" locked="0" layoutInCell="1" allowOverlap="1">
                <wp:simplePos x="0" y="0"/>
                <wp:positionH relativeFrom="column">
                  <wp:posOffset>1595120</wp:posOffset>
                </wp:positionH>
                <wp:positionV relativeFrom="paragraph">
                  <wp:posOffset>2315845</wp:posOffset>
                </wp:positionV>
                <wp:extent cx="125095" cy="107950"/>
                <wp:effectExtent l="19050" t="19050" r="46355" b="25400"/>
                <wp:wrapNone/>
                <wp:docPr id="233" name="等腰三角形 233"/>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25.6pt;margin-top:182.35pt;height:8.5pt;width:9.85pt;z-index:251662336;v-text-anchor:middle;mso-width-relative:page;mso-height-relative:page;" fillcolor="#FF0000" filled="t" stroked="t" coordsize="21600,21600" o:gfxdata="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ILL8W9wA&#10;AAALAQAADwAAAAAAAAABACAAAAAiAAAAZHJzL2Rvd25yZXYueG1sUEsBAhQAFAAAAAgAh07iQJoy&#10;XfaNAgAADwUAAA4AAAAAAAAAAQAgAAAAKwEAAGRycy9lMm9Eb2MueG1sUEsFBgAAAAAGAAYAWQEA&#10;ACoGAAAAAA==&#10;" adj="10800">
                <v:fill on="t" focussize="0,0"/>
                <v:stroke weight="1pt" color="#000000 [3213]" miterlimit="8" joinstyle="miter"/>
                <v:imagedata o:title=""/>
                <o:lock v:ext="edit" aspectratio="f"/>
                <v:textbox>
                  <w:txbxContent>
                    <w:p>
                      <w:pPr>
                        <w:jc w:val="center"/>
                      </w:pPr>
                    </w:p>
                  </w:txbxContent>
                </v:textbox>
              </v:shape>
            </w:pict>
          </mc:Fallback>
        </mc:AlternateContent>
      </w:r>
      <w:r>
        <w:rPr>
          <w:rFonts w:hint="eastAsia" w:ascii="Times New Roman" w:hAnsi="Times New Roman" w:cs="Times New Roman"/>
          <w:b/>
          <w:color w:val="auto"/>
          <w:szCs w:val="21"/>
        </w:rPr>
        <w:drawing>
          <wp:anchor distT="0" distB="0" distL="114300" distR="114300" simplePos="0" relativeHeight="251678720" behindDoc="1" locked="0" layoutInCell="1" allowOverlap="1">
            <wp:simplePos x="0" y="0"/>
            <wp:positionH relativeFrom="column">
              <wp:posOffset>0</wp:posOffset>
            </wp:positionH>
            <wp:positionV relativeFrom="paragraph">
              <wp:posOffset>0</wp:posOffset>
            </wp:positionV>
            <wp:extent cx="8901430" cy="6298565"/>
            <wp:effectExtent l="0" t="0" r="13970" b="6985"/>
            <wp:wrapNone/>
            <wp:docPr id="267" name="图片 26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图片1"/>
                    <pic:cNvPicPr>
                      <a:picLocks noChangeAspect="1"/>
                    </pic:cNvPicPr>
                  </pic:nvPicPr>
                  <pic:blipFill>
                    <a:blip r:embed="rId80"/>
                    <a:stretch>
                      <a:fillRect/>
                    </a:stretch>
                  </pic:blipFill>
                  <pic:spPr>
                    <a:xfrm>
                      <a:off x="0" y="0"/>
                      <a:ext cx="8901430" cy="6298565"/>
                    </a:xfrm>
                    <a:prstGeom prst="rect">
                      <a:avLst/>
                    </a:prstGeom>
                  </pic:spPr>
                </pic:pic>
              </a:graphicData>
            </a:graphic>
          </wp:anchor>
        </w:drawing>
      </w: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6</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山西省主体功能区划图</w:t>
      </w:r>
    </w:p>
    <w:p>
      <w:pPr>
        <w:rPr>
          <w:color w:val="auto"/>
        </w:rPr>
        <w:sectPr>
          <w:pgSz w:w="11906" w:h="16838"/>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r>
        <w:rPr>
          <w:rFonts w:ascii="Times New Roman" w:hAnsi="Times New Roman" w:cs="Times New Roman"/>
          <w:color w:val="auto"/>
        </w:rPr>
        <mc:AlternateContent>
          <mc:Choice Requires="wps">
            <w:drawing>
              <wp:anchor distT="0" distB="0" distL="114300" distR="114300" simplePos="0" relativeHeight="251676672" behindDoc="0" locked="0" layoutInCell="1" allowOverlap="1">
                <wp:simplePos x="0" y="0"/>
                <wp:positionH relativeFrom="column">
                  <wp:posOffset>191135</wp:posOffset>
                </wp:positionH>
                <wp:positionV relativeFrom="paragraph">
                  <wp:posOffset>5264150</wp:posOffset>
                </wp:positionV>
                <wp:extent cx="1184910" cy="382270"/>
                <wp:effectExtent l="0" t="0" r="148590" b="417830"/>
                <wp:wrapNone/>
                <wp:docPr id="270"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58037"/>
                            <a:gd name="adj2" fmla="val 146852"/>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15.05pt;margin-top:414.5pt;height:30.1pt;width:93.3pt;z-index:251676672;v-text-anchor:middle;mso-width-relative:page;mso-height-relative:page;" filled="f" stroked="t" coordsize="21600,21600" o:gfxdata="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bxRKy9cAAAAKAQAADwAAAAAAAAABACAAAAAiAAAAZHJzL2Rvd25y&#10;ZXYueG1sUEsBAhQAFAAAAAgAh07iQFQbZhqqAgAAPQUAAA4AAAAAAAAAAQAgAAAAJgEAAGRycy9l&#10;Mm9Eb2MueG1sUEsFBgAAAAAGAAYAWQEAAEIGAAAAAA==&#10;" adj="23336,42520">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r>
        <w:rPr>
          <w:color w:val="auto"/>
        </w:rPr>
        <mc:AlternateContent>
          <mc:Choice Requires="wps">
            <w:drawing>
              <wp:anchor distT="0" distB="0" distL="114300" distR="114300" simplePos="0" relativeHeight="251660288" behindDoc="0" locked="0" layoutInCell="1" allowOverlap="1">
                <wp:simplePos x="0" y="0"/>
                <wp:positionH relativeFrom="column">
                  <wp:posOffset>1470025</wp:posOffset>
                </wp:positionH>
                <wp:positionV relativeFrom="paragraph">
                  <wp:posOffset>5965825</wp:posOffset>
                </wp:positionV>
                <wp:extent cx="125095" cy="107950"/>
                <wp:effectExtent l="19050" t="19050" r="46355" b="25400"/>
                <wp:wrapNone/>
                <wp:docPr id="238" name="等腰三角形 238"/>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115.75pt;margin-top:469.75pt;height:8.5pt;width:9.85pt;z-index:251660288;v-text-anchor:middle;mso-width-relative:page;mso-height-relative:page;" fillcolor="#FF0000" filled="t" stroked="t" coordsize="21600,21600" o:gfxdata="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CZ/TyfcAAAACwEAAA8A&#10;AAAAAAAAAQAgAAAAIgAAAGRycy9kb3ducmV2LnhtbFBLAQIUABQAAAAIAIdO4kALoVMYhQIAAAQF&#10;AAAOAAAAAAAAAAEAIAAAACsBAABkcnMvZTJvRG9jLnhtbFBLBQYAAAAABgAGAFkBAAAiBgAAAAA=&#10;" adj="10800">
                <v:fill on="t" focussize="0,0"/>
                <v:stroke weight="1pt" color="#000000 [3213]" miterlimit="8" joinstyle="miter"/>
                <v:imagedata o:title=""/>
                <o:lock v:ext="edit" aspectratio="f"/>
              </v:shape>
            </w:pict>
          </mc:Fallback>
        </mc:AlternateContent>
      </w:r>
      <w:r>
        <w:rPr>
          <w:color w:val="auto"/>
        </w:rPr>
        <w:drawing>
          <wp:inline distT="0" distB="0" distL="0" distR="0">
            <wp:extent cx="6422390" cy="9312910"/>
            <wp:effectExtent l="0" t="0" r="0" b="254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81"/>
                    <a:stretch>
                      <a:fillRect/>
                    </a:stretch>
                  </pic:blipFill>
                  <pic:spPr>
                    <a:xfrm>
                      <a:off x="0" y="0"/>
                      <a:ext cx="6425814" cy="9318186"/>
                    </a:xfrm>
                    <a:prstGeom prst="rect">
                      <a:avLst/>
                    </a:prstGeom>
                  </pic:spPr>
                </pic:pic>
              </a:graphicData>
            </a:graphic>
          </wp:inline>
        </w:drawing>
      </w: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7</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大宁县生态功能区划图</w:t>
      </w:r>
    </w:p>
    <w:p>
      <w:pPr>
        <w:rPr>
          <w:color w:val="auto"/>
        </w:rPr>
      </w:pPr>
      <w:r>
        <w:rPr>
          <w:rFonts w:ascii="Times New Roman" w:hAnsi="Times New Roman" w:cs="Times New Roman"/>
          <w:b/>
          <w:color w:val="auto"/>
          <w:szCs w:val="21"/>
        </w:rPr>
        <w:drawing>
          <wp:anchor distT="0" distB="0" distL="114300" distR="114300" simplePos="0" relativeHeight="251675648" behindDoc="1" locked="0" layoutInCell="1" allowOverlap="1">
            <wp:simplePos x="0" y="0"/>
            <wp:positionH relativeFrom="column">
              <wp:posOffset>1805940</wp:posOffset>
            </wp:positionH>
            <wp:positionV relativeFrom="paragraph">
              <wp:posOffset>-1385570</wp:posOffset>
            </wp:positionV>
            <wp:extent cx="6190615" cy="9095740"/>
            <wp:effectExtent l="0" t="0" r="10160" b="635"/>
            <wp:wrapNone/>
            <wp:docPr id="271" name="图片 271" descr="附图6 生态功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附图6 生态功能"/>
                    <pic:cNvPicPr>
                      <a:picLocks noChangeAspect="1" noChangeArrowheads="1"/>
                    </pic:cNvPicPr>
                  </pic:nvPicPr>
                  <pic:blipFill>
                    <a:blip r:embed="rId82" cstate="print">
                      <a:extLst>
                        <a:ext uri="{28A0092B-C50C-407E-A947-70E740481C1C}">
                          <a14:useLocalDpi xmlns:a14="http://schemas.microsoft.com/office/drawing/2010/main" val="0"/>
                        </a:ext>
                      </a:extLst>
                    </a:blip>
                    <a:srcRect l="3166" t="3470" r="7761" b="4034"/>
                    <a:stretch>
                      <a:fillRect/>
                    </a:stretch>
                  </pic:blipFill>
                  <pic:spPr>
                    <a:xfrm rot="5400000">
                      <a:off x="0" y="0"/>
                      <a:ext cx="6190615" cy="9095740"/>
                    </a:xfrm>
                    <a:prstGeom prst="rect">
                      <a:avLst/>
                    </a:prstGeom>
                    <a:noFill/>
                    <a:ln>
                      <a:noFill/>
                    </a:ln>
                    <a:effectLst/>
                  </pic:spPr>
                </pic:pic>
              </a:graphicData>
            </a:graphic>
          </wp:anchor>
        </w:drawing>
      </w:r>
    </w:p>
    <w:p>
      <w:pPr>
        <w:rPr>
          <w:rFonts w:hint="eastAsia"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cs="Times New Roman"/>
          <w:color w:val="auto"/>
        </w:rPr>
        <mc:AlternateContent>
          <mc:Choice Requires="wps">
            <w:drawing>
              <wp:anchor distT="0" distB="0" distL="114300" distR="114300" simplePos="0" relativeHeight="251673600" behindDoc="0" locked="0" layoutInCell="1" allowOverlap="1">
                <wp:simplePos x="0" y="0"/>
                <wp:positionH relativeFrom="column">
                  <wp:posOffset>1360170</wp:posOffset>
                </wp:positionH>
                <wp:positionV relativeFrom="paragraph">
                  <wp:posOffset>101600</wp:posOffset>
                </wp:positionV>
                <wp:extent cx="1184910" cy="382270"/>
                <wp:effectExtent l="0" t="0" r="415290" b="589280"/>
                <wp:wrapNone/>
                <wp:docPr id="276"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79627"/>
                            <a:gd name="adj2" fmla="val 188143"/>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107.1pt;margin-top:8pt;height:30.1pt;width:93.3pt;z-index:251673600;v-text-anchor:middle;mso-width-relative:page;mso-height-relative:page;" filled="f" stroked="t" coordsize="21600,21600" o:gfxdata="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K9oKc/XAAAACQEAAA8AAAAAAAAAAQAgAAAAIgAAAGRycy9kb3du&#10;cmV2LnhtbFBLAQIUABQAAAAIAIdO4kBFDZu1qwIAAD0FAAAOAAAAAAAAAAEAIAAAACYBAABkcnMv&#10;ZTJvRG9jLnhtbFBLBQYAAAAABgAGAFkBAABDBgAAAAA=&#10;" adj="27999,51439">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color w:val="auto"/>
        </w:rPr>
        <mc:AlternateContent>
          <mc:Choice Requires="wps">
            <w:drawing>
              <wp:anchor distT="0" distB="0" distL="114300" distR="114300" simplePos="0" relativeHeight="251674624" behindDoc="0" locked="0" layoutInCell="1" allowOverlap="1">
                <wp:simplePos x="0" y="0"/>
                <wp:positionH relativeFrom="column">
                  <wp:posOffset>2882900</wp:posOffset>
                </wp:positionH>
                <wp:positionV relativeFrom="paragraph">
                  <wp:posOffset>111760</wp:posOffset>
                </wp:positionV>
                <wp:extent cx="125095" cy="107950"/>
                <wp:effectExtent l="19050" t="19050" r="46355" b="25400"/>
                <wp:wrapNone/>
                <wp:docPr id="275" name="等腰三角形 275"/>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27pt;margin-top:8.8pt;height:8.5pt;width:9.85pt;z-index:251674624;v-text-anchor:middle;mso-width-relative:page;mso-height-relative:page;" fillcolor="#FF0000" filled="t" stroked="t" coordsize="21600,21600" o:gfxdata="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s26db2gAAAAkB&#10;AAAPAAAAAAAAAAEAIAAAACIAAABkcnMvZG93bnJldi54bWxQSwECFAAUAAAACACHTuJA7Uy2qIsC&#10;AAAPBQAADgAAAAAAAAABACAAAAApAQAAZHJzL2Uyb0RvYy54bWxQSwUGAAAAAAYABgBZAQAAJgYA&#10;AAAA&#10;" adj="10800">
                <v:fill on="t" focussize="0,0"/>
                <v:stroke weight="1pt" color="#000000 [3213]" miterlimit="8" joinstyle="miter"/>
                <v:imagedata o:title=""/>
                <o:lock v:ext="edit" aspectratio="f"/>
                <v:textbox>
                  <w:txbxContent>
                    <w:p>
                      <w:pPr>
                        <w:jc w:val="center"/>
                      </w:pP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cs="Times New Roman"/>
          <w:b/>
          <w:color w:val="auto"/>
          <w:szCs w:val="21"/>
        </w:rPr>
        <w:drawing>
          <wp:anchor distT="0" distB="0" distL="114300" distR="114300" simplePos="0" relativeHeight="251672576" behindDoc="1" locked="0" layoutInCell="1" allowOverlap="1">
            <wp:simplePos x="0" y="0"/>
            <wp:positionH relativeFrom="column">
              <wp:posOffset>1757680</wp:posOffset>
            </wp:positionH>
            <wp:positionV relativeFrom="paragraph">
              <wp:posOffset>-1125855</wp:posOffset>
            </wp:positionV>
            <wp:extent cx="6138545" cy="8807450"/>
            <wp:effectExtent l="0" t="0" r="12700" b="14605"/>
            <wp:wrapNone/>
            <wp:docPr id="277" name="图片 277" descr="附图7 生态经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附图7 生态经济"/>
                    <pic:cNvPicPr>
                      <a:picLocks noChangeAspect="1" noChangeArrowheads="1"/>
                    </pic:cNvPicPr>
                  </pic:nvPicPr>
                  <pic:blipFill>
                    <a:blip r:embed="rId83" cstate="print">
                      <a:extLst>
                        <a:ext uri="{28A0092B-C50C-407E-A947-70E740481C1C}">
                          <a14:useLocalDpi xmlns:a14="http://schemas.microsoft.com/office/drawing/2010/main" val="0"/>
                        </a:ext>
                      </a:extLst>
                    </a:blip>
                    <a:srcRect l="3067" t="4330" r="7895" b="5363"/>
                    <a:stretch>
                      <a:fillRect/>
                    </a:stretch>
                  </pic:blipFill>
                  <pic:spPr>
                    <a:xfrm rot="5400000">
                      <a:off x="0" y="0"/>
                      <a:ext cx="6138545" cy="8807450"/>
                    </a:xfrm>
                    <a:prstGeom prst="rect">
                      <a:avLst/>
                    </a:prstGeom>
                    <a:noFill/>
                    <a:ln>
                      <a:noFill/>
                    </a:ln>
                    <a:effectLst/>
                  </pic:spPr>
                </pic:pic>
              </a:graphicData>
            </a:graphic>
          </wp:anchor>
        </w:drawing>
      </w: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8</w:t>
      </w:r>
      <w:r>
        <w:rPr>
          <w:rFonts w:hint="eastAsia" w:ascii="Times New Roman" w:hAnsi="Times New Roman" w:eastAsia="宋体" w:cs="Times New Roman"/>
          <w:b/>
          <w:bCs/>
          <w:color w:val="auto"/>
          <w:sz w:val="24"/>
          <w:szCs w:val="24"/>
        </w:rPr>
        <w:t xml:space="preserve"> 大宁县生态经济区划图</w: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cs="Times New Roman"/>
          <w:color w:val="auto"/>
        </w:rPr>
        <mc:AlternateContent>
          <mc:Choice Requires="wps">
            <w:drawing>
              <wp:anchor distT="0" distB="0" distL="114300" distR="114300" simplePos="0" relativeHeight="251671552" behindDoc="0" locked="0" layoutInCell="1" allowOverlap="1">
                <wp:simplePos x="0" y="0"/>
                <wp:positionH relativeFrom="column">
                  <wp:posOffset>1191895</wp:posOffset>
                </wp:positionH>
                <wp:positionV relativeFrom="paragraph">
                  <wp:posOffset>150495</wp:posOffset>
                </wp:positionV>
                <wp:extent cx="1184910" cy="382270"/>
                <wp:effectExtent l="0" t="0" r="415290" b="589280"/>
                <wp:wrapNone/>
                <wp:docPr id="280"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79627"/>
                            <a:gd name="adj2" fmla="val 188143"/>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93.85pt;margin-top:11.85pt;height:30.1pt;width:93.3pt;z-index:251671552;v-text-anchor:middle;mso-width-relative:page;mso-height-relative:page;" filled="f" stroked="t" coordsize="21600,21600" o:gfxdata="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CQ/NkAAAAJAQAADwAAAAAAAAABACAAAAAiAAAAZHJzL2Rv&#10;d25yZXYueG1sUEsBAhQAFAAAAAgAh07iQEiYn92rAgAAPQUAAA4AAAAAAAAAAQAgAAAAKAEAAGRy&#10;cy9lMm9Eb2MueG1sUEsFBgAAAAAGAAYAWQEAAEUGAAAAAA==&#10;" adj="27999,51439">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color w:val="auto"/>
        </w:rPr>
        <mc:AlternateContent>
          <mc:Choice Requires="wps">
            <w:drawing>
              <wp:anchor distT="0" distB="0" distL="114300" distR="114300" simplePos="0" relativeHeight="251671552" behindDoc="0" locked="0" layoutInCell="1" allowOverlap="1">
                <wp:simplePos x="0" y="0"/>
                <wp:positionH relativeFrom="column">
                  <wp:posOffset>2722880</wp:posOffset>
                </wp:positionH>
                <wp:positionV relativeFrom="paragraph">
                  <wp:posOffset>154940</wp:posOffset>
                </wp:positionV>
                <wp:extent cx="125095" cy="107950"/>
                <wp:effectExtent l="19050" t="19050" r="46355" b="25400"/>
                <wp:wrapNone/>
                <wp:docPr id="279" name="等腰三角形 279"/>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14.4pt;margin-top:12.2pt;height:8.5pt;width:9.85pt;z-index:251671552;v-text-anchor:middle;mso-width-relative:page;mso-height-relative:page;" fillcolor="#FF0000" filled="t" stroked="t" coordsize="21600,21600" o:gfxdata="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qlIWLdoAAAAJ&#10;AQAADwAAAAAAAAABACAAAAAiAAAAZHJzL2Rvd25yZXYueG1sUEsBAhQAFAAAAAgAh07iQIxqU4+M&#10;AgAADwUAAA4AAAAAAAAAAQAgAAAAKQEAAGRycy9lMm9Eb2MueG1sUEsFBgAAAAAGAAYAWQEAACcG&#10;AAAAAA==&#10;" adj="10800">
                <v:fill on="t" focussize="0,0"/>
                <v:stroke weight="1pt" color="#000000 [3213]" miterlimit="8" joinstyle="miter"/>
                <v:imagedata o:title=""/>
                <o:lock v:ext="edit" aspectratio="f"/>
                <v:textbox>
                  <w:txbxContent>
                    <w:p>
                      <w:pPr>
                        <w:jc w:val="center"/>
                      </w:pP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rPr>
        <w:sectPr>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9</w:t>
      </w:r>
      <w:r>
        <w:rPr>
          <w:rFonts w:hint="eastAsia" w:ascii="Times New Roman" w:hAnsi="Times New Roman" w:eastAsia="宋体" w:cs="Times New Roman"/>
          <w:b/>
          <w:bCs/>
          <w:color w:val="auto"/>
          <w:sz w:val="24"/>
          <w:szCs w:val="24"/>
        </w:rPr>
        <w:t xml:space="preserve"> 大宁县</w:t>
      </w:r>
      <w:r>
        <w:rPr>
          <w:rFonts w:hint="eastAsia" w:ascii="Times New Roman" w:hAnsi="Times New Roman" w:eastAsia="宋体" w:cs="Times New Roman"/>
          <w:b/>
          <w:bCs/>
          <w:color w:val="auto"/>
          <w:sz w:val="24"/>
          <w:szCs w:val="24"/>
          <w:lang w:val="en-US" w:eastAsia="zh-CN"/>
        </w:rPr>
        <w:t>城镇</w:t>
      </w:r>
      <w:r>
        <w:rPr>
          <w:rFonts w:hint="eastAsia" w:ascii="Times New Roman" w:hAnsi="Times New Roman" w:eastAsia="宋体" w:cs="Times New Roman"/>
          <w:b/>
          <w:bCs/>
          <w:color w:val="auto"/>
          <w:sz w:val="24"/>
          <w:szCs w:val="24"/>
        </w:rPr>
        <w:t>水源地图</w:t>
      </w:r>
    </w:p>
    <w:p>
      <w:pPr>
        <w:rPr>
          <w:rFonts w:ascii="Times New Roman" w:hAnsi="Times New Roman" w:eastAsia="宋体" w:cs="Times New Roman"/>
          <w:b/>
          <w:bCs/>
          <w:color w:val="auto"/>
          <w:sz w:val="24"/>
          <w:szCs w:val="24"/>
        </w:rPr>
      </w:pPr>
    </w:p>
    <w:p>
      <w:pPr>
        <w:rPr>
          <w:rFonts w:hint="eastAsia" w:ascii="Times New Roman" w:hAnsi="Times New Roman" w:eastAsia="宋体" w:cs="Times New Roman"/>
          <w:b/>
          <w:bCs/>
          <w:color w:val="auto"/>
          <w:sz w:val="24"/>
          <w:szCs w:val="24"/>
          <w:lang w:eastAsia="zh-CN"/>
        </w:rPr>
      </w:pP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-165735</wp:posOffset>
                </wp:positionH>
                <wp:positionV relativeFrom="paragraph">
                  <wp:posOffset>3002915</wp:posOffset>
                </wp:positionV>
                <wp:extent cx="1668780" cy="30607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668780" cy="306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cs="Times New Roman" w:eastAsiaTheme="minorEastAsia"/>
                                <w:color w:val="FF0000"/>
                                <w:sz w:val="24"/>
                                <w:szCs w:val="28"/>
                                <w:lang w:val="en-US" w:eastAsia="zh-CN"/>
                              </w:rPr>
                            </w:pPr>
                            <w:r>
                              <w:rPr>
                                <w:rFonts w:hint="eastAsia" w:ascii="Times New Roman" w:hAnsi="Times New Roman" w:cs="Times New Roman"/>
                                <w:color w:val="FF0000"/>
                                <w:sz w:val="24"/>
                                <w:szCs w:val="28"/>
                                <w:lang w:val="en-US" w:eastAsia="zh-CN"/>
                              </w:rPr>
                              <w:t>本项目位于西</w:t>
                            </w:r>
                            <w:r>
                              <w:rPr>
                                <w:rFonts w:hint="default" w:ascii="Times New Roman" w:hAnsi="Times New Roman" w:cs="Times New Roman"/>
                                <w:color w:val="FF0000"/>
                                <w:sz w:val="24"/>
                                <w:szCs w:val="28"/>
                                <w:lang w:val="en-US" w:eastAsia="zh-CN"/>
                              </w:rPr>
                              <w:t>侧</w:t>
                            </w:r>
                            <w:r>
                              <w:rPr>
                                <w:rFonts w:hint="eastAsia" w:ascii="Times New Roman" w:hAnsi="Times New Roman" w:cs="Times New Roman"/>
                                <w:color w:val="FF0000"/>
                                <w:sz w:val="24"/>
                                <w:szCs w:val="28"/>
                                <w:lang w:val="en-US" w:eastAsia="zh-CN"/>
                              </w:rPr>
                              <w:t>8.5k</w:t>
                            </w:r>
                            <w:r>
                              <w:rPr>
                                <w:rFonts w:hint="default" w:ascii="Times New Roman" w:hAnsi="Times New Roman" w:cs="Times New Roman"/>
                                <w:color w:val="FF0000"/>
                                <w:sz w:val="24"/>
                                <w:szCs w:val="28"/>
                                <w:lang w:val="en-US" w:eastAsia="zh-CN"/>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05pt;margin-top:236.45pt;height:24.1pt;width:131.4pt;z-index:251664384;mso-width-relative:page;mso-height-relative:page;" filled="f" stroked="f" coordsize="21600,21600" o:gfxdata="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mJz0jdAAAACwEAAA8AAAAAAAAAAQAgAAAAIgAA&#10;AGRycy9kb3ducmV2LnhtbFBLAQIUABQAAAAIAIdO4kDEVFyaPAIAAGgEAAAOAAAAAAAAAAEAIAAA&#10;ACwBAABkcnMvZTJvRG9jLnhtbFBLBQYAAAAABgAGAFkBAADaBQAAAAA=&#10;">
                <v:fill on="f" focussize="0,0"/>
                <v:stroke on="f" weight="0.5pt"/>
                <v:imagedata o:title=""/>
                <o:lock v:ext="edit" aspectratio="f"/>
                <v:textbox>
                  <w:txbxContent>
                    <w:p>
                      <w:pPr>
                        <w:rPr>
                          <w:rFonts w:hint="default" w:ascii="Times New Roman" w:hAnsi="Times New Roman" w:cs="Times New Roman" w:eastAsiaTheme="minorEastAsia"/>
                          <w:color w:val="FF0000"/>
                          <w:sz w:val="24"/>
                          <w:szCs w:val="28"/>
                          <w:lang w:val="en-US" w:eastAsia="zh-CN"/>
                        </w:rPr>
                      </w:pPr>
                      <w:r>
                        <w:rPr>
                          <w:rFonts w:hint="eastAsia" w:ascii="Times New Roman" w:hAnsi="Times New Roman" w:cs="Times New Roman"/>
                          <w:color w:val="FF0000"/>
                          <w:sz w:val="24"/>
                          <w:szCs w:val="28"/>
                          <w:lang w:val="en-US" w:eastAsia="zh-CN"/>
                        </w:rPr>
                        <w:t>本项目位于西</w:t>
                      </w:r>
                      <w:r>
                        <w:rPr>
                          <w:rFonts w:hint="default" w:ascii="Times New Roman" w:hAnsi="Times New Roman" w:cs="Times New Roman"/>
                          <w:color w:val="FF0000"/>
                          <w:sz w:val="24"/>
                          <w:szCs w:val="28"/>
                          <w:lang w:val="en-US" w:eastAsia="zh-CN"/>
                        </w:rPr>
                        <w:t>侧</w:t>
                      </w:r>
                      <w:r>
                        <w:rPr>
                          <w:rFonts w:hint="eastAsia" w:ascii="Times New Roman" w:hAnsi="Times New Roman" w:cs="Times New Roman"/>
                          <w:color w:val="FF0000"/>
                          <w:sz w:val="24"/>
                          <w:szCs w:val="28"/>
                          <w:lang w:val="en-US" w:eastAsia="zh-CN"/>
                        </w:rPr>
                        <w:t>8.5k</w:t>
                      </w:r>
                      <w:r>
                        <w:rPr>
                          <w:rFonts w:hint="default" w:ascii="Times New Roman" w:hAnsi="Times New Roman" w:cs="Times New Roman"/>
                          <w:color w:val="FF0000"/>
                          <w:sz w:val="24"/>
                          <w:szCs w:val="28"/>
                          <w:lang w:val="en-US" w:eastAsia="zh-CN"/>
                        </w:rPr>
                        <w:t>m</w:t>
                      </w:r>
                    </w:p>
                  </w:txbxContent>
                </v:textbox>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39370</wp:posOffset>
                </wp:positionH>
                <wp:positionV relativeFrom="paragraph">
                  <wp:posOffset>3377565</wp:posOffset>
                </wp:positionV>
                <wp:extent cx="316865" cy="3810"/>
                <wp:effectExtent l="0" t="51435" r="6985" b="59055"/>
                <wp:wrapNone/>
                <wp:docPr id="82" name="直接箭头连接符 82"/>
                <wp:cNvGraphicFramePr/>
                <a:graphic xmlns:a="http://schemas.openxmlformats.org/drawingml/2006/main">
                  <a:graphicData uri="http://schemas.microsoft.com/office/word/2010/wordprocessingShape">
                    <wps:wsp>
                      <wps:cNvCnPr/>
                      <wps:spPr>
                        <a:xfrm flipH="1">
                          <a:off x="0" y="0"/>
                          <a:ext cx="316865" cy="381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1pt;margin-top:265.95pt;height:0.3pt;width:24.95pt;z-index:251665408;mso-width-relative:page;mso-height-relative:page;" filled="f" stroked="t" coordsize="21600,21600" o:gfxdata="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oWew02AAAAAgBAAAPAAAAAAAA&#10;AAEAIAAAACIAAABkcnMvZG93bnJldi54bWxQSwECFAAUAAAACACHTuJAxEX8kxICAADtAwAADgAA&#10;AAAAAAABACAAAAAnAQAAZHJzL2Uyb0RvYy54bWxQSwUGAAAAAAYABgBZAQAAqwUAAAAA&#10;">
                <v:fill on="f" focussize="0,0"/>
                <v:stroke weight="1.5pt" color="#FF0000 [3204]" miterlimit="8" joinstyle="miter" endarrow="open"/>
                <v:imagedata o:title=""/>
                <o:lock v:ext="edit" aspectratio="f"/>
              </v:shape>
            </w:pict>
          </mc:Fallback>
        </mc:AlternateContent>
      </w:r>
      <w:r>
        <w:rPr>
          <w:rFonts w:hint="eastAsia" w:ascii="Times New Roman" w:hAnsi="Times New Roman" w:eastAsia="宋体" w:cs="Times New Roman"/>
          <w:b/>
          <w:bCs/>
          <w:color w:val="auto"/>
          <w:sz w:val="24"/>
          <w:szCs w:val="24"/>
          <w:lang w:eastAsia="zh-CN"/>
        </w:rPr>
        <w:drawing>
          <wp:inline distT="0" distB="0" distL="114300" distR="114300">
            <wp:extent cx="9605010" cy="5706110"/>
            <wp:effectExtent l="0" t="0" r="15240" b="8890"/>
            <wp:docPr id="6" name="图片 6" descr="8cf98c026d2c1d8e24790bc054107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cf98c026d2c1d8e24790bc054107cb"/>
                    <pic:cNvPicPr>
                      <a:picLocks noChangeAspect="1"/>
                    </pic:cNvPicPr>
                  </pic:nvPicPr>
                  <pic:blipFill>
                    <a:blip r:embed="rId84"/>
                    <a:stretch>
                      <a:fillRect/>
                    </a:stretch>
                  </pic:blipFill>
                  <pic:spPr>
                    <a:xfrm>
                      <a:off x="0" y="0"/>
                      <a:ext cx="9605010" cy="570611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10</w:t>
      </w:r>
      <w:r>
        <w:rPr>
          <w:rFonts w:hint="eastAsia" w:ascii="Times New Roman" w:hAnsi="Times New Roman" w:eastAsia="宋体" w:cs="Times New Roman"/>
          <w:b/>
          <w:bCs/>
          <w:color w:val="auto"/>
          <w:sz w:val="24"/>
          <w:szCs w:val="24"/>
        </w:rPr>
        <w:t xml:space="preserve"> 大宁县</w:t>
      </w:r>
      <w:r>
        <w:rPr>
          <w:rFonts w:hint="eastAsia" w:ascii="Times New Roman" w:hAnsi="Times New Roman" w:eastAsia="宋体" w:cs="Times New Roman"/>
          <w:b/>
          <w:bCs/>
          <w:color w:val="auto"/>
          <w:sz w:val="24"/>
          <w:szCs w:val="24"/>
          <w:lang w:val="en-US" w:eastAsia="zh-CN"/>
        </w:rPr>
        <w:t>乡镇</w:t>
      </w:r>
      <w:r>
        <w:rPr>
          <w:rFonts w:hint="eastAsia" w:ascii="Times New Roman" w:hAnsi="Times New Roman" w:eastAsia="宋体" w:cs="Times New Roman"/>
          <w:b/>
          <w:bCs/>
          <w:color w:val="auto"/>
          <w:sz w:val="24"/>
          <w:szCs w:val="24"/>
        </w:rPr>
        <w:t>水源地图</w: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color w:val="auto"/>
        </w:rPr>
        <w:drawing>
          <wp:anchor distT="0" distB="0" distL="114300" distR="114300" simplePos="0" relativeHeight="251680768" behindDoc="1" locked="0" layoutInCell="1" allowOverlap="1">
            <wp:simplePos x="0" y="0"/>
            <wp:positionH relativeFrom="column">
              <wp:posOffset>887730</wp:posOffset>
            </wp:positionH>
            <wp:positionV relativeFrom="paragraph">
              <wp:posOffset>121285</wp:posOffset>
            </wp:positionV>
            <wp:extent cx="7736840" cy="5838825"/>
            <wp:effectExtent l="0" t="0" r="16510" b="9525"/>
            <wp:wrapNone/>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noChangeArrowheads="1"/>
                    </pic:cNvPicPr>
                  </pic:nvPicPr>
                  <pic:blipFill>
                    <a:blip r:embed="rId85" cstate="print">
                      <a:extLst>
                        <a:ext uri="{28A0092B-C50C-407E-A947-70E740481C1C}">
                          <a14:useLocalDpi xmlns:a14="http://schemas.microsoft.com/office/drawing/2010/main" val="0"/>
                        </a:ext>
                      </a:extLst>
                    </a:blip>
                    <a:srcRect b="9903"/>
                    <a:stretch>
                      <a:fillRect/>
                    </a:stretch>
                  </pic:blipFill>
                  <pic:spPr>
                    <a:xfrm>
                      <a:off x="0" y="0"/>
                      <a:ext cx="7736840" cy="5838825"/>
                    </a:xfrm>
                    <a:prstGeom prst="rect">
                      <a:avLst/>
                    </a:prstGeom>
                    <a:noFill/>
                    <a:ln>
                      <a:noFill/>
                    </a:ln>
                  </pic:spPr>
                </pic:pic>
              </a:graphicData>
            </a:graphic>
          </wp:anchor>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cs="Times New Roman"/>
          <w:color w:val="auto"/>
        </w:rPr>
        <mc:AlternateContent>
          <mc:Choice Requires="wps">
            <w:drawing>
              <wp:anchor distT="0" distB="0" distL="114300" distR="114300" simplePos="0" relativeHeight="251663360" behindDoc="0" locked="0" layoutInCell="1" allowOverlap="1">
                <wp:simplePos x="0" y="0"/>
                <wp:positionH relativeFrom="column">
                  <wp:posOffset>3275965</wp:posOffset>
                </wp:positionH>
                <wp:positionV relativeFrom="paragraph">
                  <wp:posOffset>136525</wp:posOffset>
                </wp:positionV>
                <wp:extent cx="1184910" cy="382270"/>
                <wp:effectExtent l="6350" t="6350" r="8890" b="601980"/>
                <wp:wrapNone/>
                <wp:docPr id="96" name="矩形标注 53"/>
                <wp:cNvGraphicFramePr/>
                <a:graphic xmlns:a="http://schemas.openxmlformats.org/drawingml/2006/main">
                  <a:graphicData uri="http://schemas.microsoft.com/office/word/2010/wordprocessingShape">
                    <wps:wsp>
                      <wps:cNvSpPr/>
                      <wps:spPr>
                        <a:xfrm>
                          <a:off x="0" y="0"/>
                          <a:ext cx="1184910" cy="382270"/>
                        </a:xfrm>
                        <a:prstGeom prst="wedgeRectCallout">
                          <a:avLst>
                            <a:gd name="adj1" fmla="val -29689"/>
                            <a:gd name="adj2" fmla="val 198172"/>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txb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矩形标注 53" o:spid="_x0000_s1026" o:spt="61" type="#_x0000_t61" style="position:absolute;left:0pt;margin-left:257.95pt;margin-top:10.75pt;height:30.1pt;width:93.3pt;z-index:251663360;v-text-anchor:middle;mso-width-relative:page;mso-height-relative:page;" filled="f" stroked="t" coordsize="21600,21600" o:gfxdata="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IZKlpPXAAAACQEAAA8AAAAAAAAAAQAgAAAAIgAAAGRycy9kb3du&#10;cmV2LnhtbFBLAQIUABQAAAAIAIdO4kCbF9dXqwIAAD0FAAAOAAAAAAAAAAEAIAAAACYBAABkcnMv&#10;ZTJvRG9jLnhtbFBLBQYAAAAABgAGAFkBAABDBgAAAAA=&#10;" adj="4387,53605">
                <v:fill on="f" focussize="0,0"/>
                <v:stroke weight="1pt" color="#FF0000 [3209]" miterlimit="8" joinstyle="miter"/>
                <v:imagedata o:title=""/>
                <o:lock v:ext="edit" aspectratio="f"/>
                <v:textbox>
                  <w:txbxContent>
                    <w:p>
                      <w:pPr>
                        <w:jc w:val="center"/>
                        <w:rPr>
                          <w:rFonts w:ascii="宋体" w:hAnsi="宋体" w:eastAsia="宋体"/>
                          <w:b/>
                          <w:bCs/>
                          <w:color w:val="FF0000"/>
                          <w:sz w:val="24"/>
                          <w:szCs w:val="28"/>
                        </w:rPr>
                      </w:pPr>
                      <w:r>
                        <w:rPr>
                          <w:rFonts w:hint="eastAsia" w:ascii="宋体" w:hAnsi="宋体" w:eastAsia="宋体"/>
                          <w:b/>
                          <w:bCs/>
                          <w:color w:val="FF0000"/>
                          <w:sz w:val="24"/>
                          <w:szCs w:val="28"/>
                        </w:rPr>
                        <w:t>项目位置</w:t>
                      </w: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color w:val="auto"/>
        </w:rPr>
        <mc:AlternateContent>
          <mc:Choice Requires="wps">
            <w:drawing>
              <wp:anchor distT="0" distB="0" distL="114300" distR="114300" simplePos="0" relativeHeight="251663360" behindDoc="0" locked="0" layoutInCell="1" allowOverlap="1">
                <wp:simplePos x="0" y="0"/>
                <wp:positionH relativeFrom="column">
                  <wp:posOffset>3408045</wp:posOffset>
                </wp:positionH>
                <wp:positionV relativeFrom="paragraph">
                  <wp:posOffset>166370</wp:posOffset>
                </wp:positionV>
                <wp:extent cx="125095" cy="107950"/>
                <wp:effectExtent l="10795" t="12700" r="16510" b="12700"/>
                <wp:wrapNone/>
                <wp:docPr id="94" name="等腰三角形 94"/>
                <wp:cNvGraphicFramePr/>
                <a:graphic xmlns:a="http://schemas.openxmlformats.org/drawingml/2006/main">
                  <a:graphicData uri="http://schemas.microsoft.com/office/word/2010/wordprocessingShape">
                    <wps:wsp>
                      <wps:cNvSpPr/>
                      <wps:spPr>
                        <a:xfrm>
                          <a:off x="0" y="0"/>
                          <a:ext cx="125095" cy="107950"/>
                        </a:xfrm>
                        <a:prstGeom prst="triangle">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268.35pt;margin-top:13.1pt;height:8.5pt;width:9.85pt;z-index:251663360;v-text-anchor:middle;mso-width-relative:page;mso-height-relative:page;" fillcolor="#FF0000" filled="t" stroked="t" coordsize="21600,21600" o:gfxdata="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eWeFedsAAAAJ&#10;AQAADwAAAAAAAAABACAAAAAiAAAAZHJzL2Rvd25yZXYueG1sUEsBAhQAFAAAAAgAh07iQDdUASiL&#10;AgAADQUAAA4AAAAAAAAAAQAgAAAAKgEAAGRycy9lMm9Eb2MueG1sUEsFBgAAAAAGAAYAWQEAACcG&#10;AAAAAA==&#10;" adj="10800">
                <v:fill on="t" focussize="0,0"/>
                <v:stroke weight="1pt" color="#000000 [3213]" miterlimit="8" joinstyle="miter"/>
                <v:imagedata o:title=""/>
                <o:lock v:ext="edit" aspectratio="f"/>
                <v:textbox>
                  <w:txbxContent>
                    <w:p>
                      <w:pPr>
                        <w:jc w:val="center"/>
                      </w:pPr>
                    </w:p>
                  </w:txbxContent>
                </v:textbox>
              </v:shape>
            </w:pict>
          </mc:Fallback>
        </mc:AlternateContent>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sectPr>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11</w:t>
      </w:r>
      <w:r>
        <w:rPr>
          <w:rFonts w:hint="eastAsia"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勘测定界</w:t>
      </w:r>
      <w:r>
        <w:rPr>
          <w:rFonts w:hint="eastAsia" w:ascii="Times New Roman" w:hAnsi="Times New Roman" w:eastAsia="宋体" w:cs="Times New Roman"/>
          <w:b/>
          <w:bCs/>
          <w:color w:val="auto"/>
          <w:sz w:val="24"/>
          <w:szCs w:val="24"/>
        </w:rPr>
        <w:t>图</w:t>
      </w:r>
    </w:p>
    <w:p>
      <w:pPr>
        <w:rPr>
          <w:rFonts w:hint="eastAsia" w:ascii="Times New Roman" w:hAnsi="Times New Roman" w:eastAsia="宋体" w:cs="Times New Roman"/>
          <w:b/>
          <w:bCs/>
          <w:color w:val="auto"/>
          <w:sz w:val="24"/>
          <w:szCs w:val="24"/>
          <w:lang w:eastAsia="zh-CN"/>
        </w:rPr>
      </w:pPr>
      <w:r>
        <w:rPr>
          <w:rFonts w:hint="eastAsia" w:ascii="Times New Roman" w:hAnsi="Times New Roman" w:eastAsia="宋体" w:cs="Times New Roman"/>
          <w:b/>
          <w:bCs/>
          <w:color w:val="auto"/>
          <w:sz w:val="24"/>
          <w:szCs w:val="24"/>
          <w:lang w:eastAsia="zh-CN"/>
        </w:rPr>
        <w:drawing>
          <wp:inline distT="0" distB="0" distL="114300" distR="114300">
            <wp:extent cx="6475095" cy="9163050"/>
            <wp:effectExtent l="0" t="0" r="1905" b="0"/>
            <wp:docPr id="5" name="图片 5" descr="6.点之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点之记"/>
                    <pic:cNvPicPr>
                      <a:picLocks noChangeAspect="1"/>
                    </pic:cNvPicPr>
                  </pic:nvPicPr>
                  <pic:blipFill>
                    <a:blip r:embed="rId86"/>
                    <a:stretch>
                      <a:fillRect/>
                    </a:stretch>
                  </pic:blipFill>
                  <pic:spPr>
                    <a:xfrm>
                      <a:off x="0" y="0"/>
                      <a:ext cx="6475095" cy="9163050"/>
                    </a:xfrm>
                    <a:prstGeom prst="rect">
                      <a:avLst/>
                    </a:prstGeom>
                  </pic:spPr>
                </pic:pic>
              </a:graphicData>
            </a:graphic>
          </wp:inline>
        </w:drawing>
      </w:r>
    </w:p>
    <w:p>
      <w:pPr>
        <w:rPr>
          <w:rFonts w:ascii="Times New Roman" w:hAnsi="Times New Roman" w:eastAsia="宋体" w:cs="Times New Roman"/>
          <w:b/>
          <w:bCs/>
          <w:color w:val="auto"/>
          <w:sz w:val="24"/>
          <w:szCs w:val="24"/>
        </w:r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rPr>
        <w:t>图</w:t>
      </w:r>
      <w:r>
        <w:rPr>
          <w:rFonts w:hint="eastAsia" w:ascii="Times New Roman" w:hAnsi="Times New Roman" w:eastAsia="宋体" w:cs="Times New Roman"/>
          <w:b/>
          <w:bCs/>
          <w:color w:val="auto"/>
          <w:sz w:val="24"/>
          <w:szCs w:val="24"/>
          <w:lang w:val="en-US" w:eastAsia="zh-CN"/>
        </w:rPr>
        <w:t>12</w:t>
      </w:r>
      <w:r>
        <w:rPr>
          <w:rFonts w:hint="eastAsia" w:ascii="Times New Roman" w:hAnsi="Times New Roman" w:eastAsia="宋体" w:cs="Times New Roman"/>
          <w:b/>
          <w:bCs/>
          <w:color w:val="auto"/>
          <w:sz w:val="24"/>
          <w:szCs w:val="24"/>
        </w:rPr>
        <w:t xml:space="preserve"> 平面布置图</w:t>
      </w:r>
    </w:p>
    <w:p>
      <w:pPr>
        <w:rPr>
          <w:rFonts w:hint="eastAsia" w:eastAsiaTheme="minorEastAsia"/>
          <w:color w:val="auto"/>
          <w:lang w:eastAsia="zh-CN"/>
        </w:rPr>
      </w:pPr>
      <w:r>
        <w:rPr>
          <w:rFonts w:hint="eastAsia" w:eastAsiaTheme="minorEastAsia"/>
          <w:color w:val="auto"/>
          <w:lang w:eastAsia="zh-CN"/>
        </w:rPr>
        <w:drawing>
          <wp:inline distT="0" distB="0" distL="114300" distR="114300">
            <wp:extent cx="6473190" cy="8698865"/>
            <wp:effectExtent l="0" t="0" r="3810" b="6985"/>
            <wp:docPr id="12" name="图片 12" descr="平面布置图1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平面布置图1 Model (1)"/>
                    <pic:cNvPicPr>
                      <a:picLocks noChangeAspect="1"/>
                    </pic:cNvPicPr>
                  </pic:nvPicPr>
                  <pic:blipFill>
                    <a:blip r:embed="rId87"/>
                    <a:srcRect t="4974"/>
                    <a:stretch>
                      <a:fillRect/>
                    </a:stretch>
                  </pic:blipFill>
                  <pic:spPr>
                    <a:xfrm>
                      <a:off x="0" y="0"/>
                      <a:ext cx="6473190" cy="8698865"/>
                    </a:xfrm>
                    <a:prstGeom prst="rect">
                      <a:avLst/>
                    </a:prstGeom>
                  </pic:spPr>
                </pic:pic>
              </a:graphicData>
            </a:graphic>
          </wp:inline>
        </w:drawing>
      </w:r>
    </w:p>
    <w:p>
      <w:pPr>
        <w:rPr>
          <w:color w:val="auto"/>
        </w:rPr>
      </w:pPr>
    </w:p>
    <w:p>
      <w:pPr>
        <w:rPr>
          <w:color w:val="auto"/>
        </w:rPr>
      </w:pPr>
    </w:p>
    <w:p>
      <w:pPr>
        <w:rPr>
          <w:color w:val="auto"/>
        </w:rPr>
        <w:sectPr>
          <w:pgSz w:w="11906" w:h="16838"/>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pPr>
    </w:p>
    <w:p>
      <w:pP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lang w:val="en-US" w:eastAsia="zh-CN"/>
        </w:rPr>
        <w:t>图</w:t>
      </w:r>
      <w:r>
        <w:rPr>
          <w:rFonts w:hint="eastAsia" w:ascii="Times New Roman" w:hAnsi="Times New Roman" w:eastAsia="宋体" w:cs="Times New Roman"/>
          <w:b/>
          <w:bCs/>
          <w:color w:val="auto"/>
          <w:sz w:val="24"/>
          <w:szCs w:val="24"/>
        </w:rPr>
        <w:t>1</w:t>
      </w:r>
      <w:r>
        <w:rPr>
          <w:rFonts w:hint="eastAsia" w:ascii="Times New Roman" w:hAnsi="Times New Roman" w:eastAsia="宋体" w:cs="Times New Roman"/>
          <w:b/>
          <w:bCs/>
          <w:color w:val="auto"/>
          <w:sz w:val="24"/>
          <w:szCs w:val="24"/>
          <w:lang w:val="en-US" w:eastAsia="zh-CN"/>
        </w:rPr>
        <w:t>3</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lang w:val="en-US" w:eastAsia="zh-CN"/>
        </w:rPr>
        <w:t>四邻关系</w:t>
      </w:r>
      <w:r>
        <w:rPr>
          <w:rFonts w:hint="eastAsia" w:ascii="Times New Roman" w:hAnsi="Times New Roman" w:eastAsia="宋体" w:cs="Times New Roman"/>
          <w:b/>
          <w:bCs/>
          <w:color w:val="auto"/>
          <w:sz w:val="24"/>
          <w:szCs w:val="24"/>
        </w:rPr>
        <w:t>图</w:t>
      </w:r>
    </w:p>
    <w:p>
      <w:pPr>
        <w:rPr>
          <w:color w:val="auto"/>
        </w:rPr>
      </w:pPr>
      <w:r>
        <w:rPr>
          <w:rFonts w:hint="default" w:ascii="Times New Roman" w:hAnsi="Times New Roman" w:eastAsia="宋体" w:cs="Times New Roman"/>
          <w:bCs/>
          <w:color w:val="auto"/>
          <w:spacing w:val="4"/>
          <w:sz w:val="24"/>
          <w:szCs w:val="24"/>
          <w:highlight w:val="none"/>
        </w:rPr>
        <w:drawing>
          <wp:anchor distT="0" distB="0" distL="114300" distR="114300" simplePos="0" relativeHeight="251700224" behindDoc="0" locked="0" layoutInCell="1" allowOverlap="1">
            <wp:simplePos x="0" y="0"/>
            <wp:positionH relativeFrom="column">
              <wp:posOffset>8993505</wp:posOffset>
            </wp:positionH>
            <wp:positionV relativeFrom="paragraph">
              <wp:posOffset>20320</wp:posOffset>
            </wp:positionV>
            <wp:extent cx="618490" cy="666115"/>
            <wp:effectExtent l="0" t="0" r="10160" b="635"/>
            <wp:wrapNone/>
            <wp:docPr id="10"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图片1"/>
                    <pic:cNvPicPr>
                      <a:picLocks noChangeAspect="1"/>
                    </pic:cNvPicPr>
                  </pic:nvPicPr>
                  <pic:blipFill>
                    <a:blip r:embed="rId88"/>
                    <a:srcRect l="5641" t="3598" r="3928" b="3738"/>
                    <a:stretch>
                      <a:fillRect/>
                    </a:stretch>
                  </pic:blipFill>
                  <pic:spPr>
                    <a:xfrm>
                      <a:off x="0" y="0"/>
                      <a:ext cx="618490" cy="666115"/>
                    </a:xfrm>
                    <a:prstGeom prst="rect">
                      <a:avLst/>
                    </a:prstGeom>
                    <a:noFill/>
                    <a:ln>
                      <a:noFill/>
                    </a:ln>
                  </pic:spPr>
                </pic:pic>
              </a:graphicData>
            </a:graphic>
          </wp:anchor>
        </w:drawing>
      </w: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5293995</wp:posOffset>
                </wp:positionH>
                <wp:positionV relativeFrom="paragraph">
                  <wp:posOffset>2125980</wp:posOffset>
                </wp:positionV>
                <wp:extent cx="859155" cy="29083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859155"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临街商铺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6.85pt;margin-top:167.4pt;height:22.9pt;width:67.65pt;z-index:251699200;mso-width-relative:page;mso-height-relative:page;" filled="f" stroked="f" coordsize="21600,21600" o:gfxdata="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&#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1XtOT2wAAAAsBAAAPAAAAAAAAAAEAIAAAACIAAABk&#10;cnMvZG93bnJldi54bWxQSwECFAAUAAAACACHTuJAcvGpKjwCAABnBAAADgAAAAAAAAABACAAAAAq&#10;AQAAZHJzL2Uyb0RvYy54bWxQSwUGAAAAAAYABgBZAQAA2AU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临街商铺</w:t>
                      </w:r>
                    </w:p>
                  </w:txbxContent>
                </v:textbox>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4681220</wp:posOffset>
                </wp:positionH>
                <wp:positionV relativeFrom="paragraph">
                  <wp:posOffset>3115310</wp:posOffset>
                </wp:positionV>
                <wp:extent cx="979805" cy="290830"/>
                <wp:effectExtent l="0" t="0" r="0" b="0"/>
                <wp:wrapNone/>
                <wp:docPr id="23" name="文本框 23"/>
                <wp:cNvGraphicFramePr/>
                <a:graphic xmlns:a="http://schemas.openxmlformats.org/drawingml/2006/main">
                  <a:graphicData uri="http://schemas.microsoft.com/office/word/2010/wordprocessingShape">
                    <wps:wsp>
                      <wps:cNvSpPr txBox="1"/>
                      <wps:spPr>
                        <a:xfrm>
                          <a:off x="5189220" y="3434080"/>
                          <a:ext cx="979805"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00"/>
                                <w:sz w:val="22"/>
                                <w:szCs w:val="24"/>
                                <w:lang w:val="en-US" w:eastAsia="zh-CN"/>
                              </w:rPr>
                            </w:pPr>
                            <w:r>
                              <w:rPr>
                                <w:rFonts w:hint="default" w:ascii="Times New Roman" w:hAnsi="Times New Roman" w:eastAsia="宋体" w:cs="Times New Roman"/>
                                <w:b/>
                                <w:bCs/>
                                <w:color w:val="FF0000"/>
                                <w:sz w:val="22"/>
                                <w:szCs w:val="24"/>
                                <w:lang w:val="en-US"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8.6pt;margin-top:245.3pt;height:22.9pt;width:77.15pt;z-index:251692032;mso-width-relative:page;mso-height-relative:page;" filled="f" stroked="f" coordsize="21600,21600" o:gfxdata="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ybvK23QAAAAsBAAAPAAAA&#10;AAAAAAEAIAAAACIAAABkcnMvZG93bnJldi54bWxQSwECFAAUAAAACACHTuJA1iCAXUkCAABzBAAA&#10;DgAAAAAAAAABACAAAAAsAQAAZHJzL2Uyb0RvYy54bWxQSwUGAAAAAAYABgBZAQAA5wUAAAAA&#10;">
                <v:fill on="f" focussize="0,0"/>
                <v:stroke on="f" weight="0.5pt"/>
                <v:imagedata o:title=""/>
                <o:lock v:ext="edit" aspectratio="f"/>
                <v:textbox>
                  <w:txbxContent>
                    <w:p>
                      <w:pPr>
                        <w:rPr>
                          <w:rFonts w:hint="default" w:ascii="Times New Roman" w:hAnsi="Times New Roman" w:eastAsia="宋体" w:cs="Times New Roman"/>
                          <w:b/>
                          <w:bCs/>
                          <w:color w:val="FF0000"/>
                          <w:sz w:val="22"/>
                          <w:szCs w:val="24"/>
                          <w:lang w:val="en-US" w:eastAsia="zh-CN"/>
                        </w:rPr>
                      </w:pPr>
                      <w:r>
                        <w:rPr>
                          <w:rFonts w:hint="default" w:ascii="Times New Roman" w:hAnsi="Times New Roman" w:eastAsia="宋体" w:cs="Times New Roman"/>
                          <w:b/>
                          <w:bCs/>
                          <w:color w:val="FF0000"/>
                          <w:sz w:val="22"/>
                          <w:szCs w:val="24"/>
                          <w:lang w:val="en-US" w:eastAsia="zh-CN"/>
                        </w:rPr>
                        <w:t>本项目位置</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6014085</wp:posOffset>
                </wp:positionH>
                <wp:positionV relativeFrom="paragraph">
                  <wp:posOffset>3395345</wp:posOffset>
                </wp:positionV>
                <wp:extent cx="702310" cy="29083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702310"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3.55pt;margin-top:267.35pt;height:22.9pt;width:55.3pt;z-index:251698176;mso-width-relative:page;mso-height-relative:page;" filled="f" stroked="f" coordsize="21600,21600" o:gfxdata="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0YBuxNwAAAAMAQAADwAAAAAAAAABACAAAAAiAAAA&#10;ZHJzL2Rvd25yZXYueG1sUEsBAhQAFAAAAAgAh07iQCS2hA88AgAAZwQAAA4AAAAAAAAAAQAgAAAA&#10;KwEAAGRycy9lMm9Eb2MueG1sUEsFBgAAAAAGAAYAWQEAANkFA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v:textbox>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4284345</wp:posOffset>
                </wp:positionH>
                <wp:positionV relativeFrom="paragraph">
                  <wp:posOffset>4139565</wp:posOffset>
                </wp:positionV>
                <wp:extent cx="702310" cy="29083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702310"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7.35pt;margin-top:325.95pt;height:22.9pt;width:55.3pt;z-index:251697152;mso-width-relative:page;mso-height-relative:page;" filled="f" stroked="f" coordsize="21600,21600" o:gfxdata="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jNXONwAAAALAQAADwAAAAAAAAABACAAAAAiAAAA&#10;ZHJzL2Rvd25yZXYueG1sUEsBAhQAFAAAAAgAh07iQH7JR+c8AgAAZwQAAA4AAAAAAAAAAQAgAAAA&#10;KwEAAGRycy9lMm9Eb2MueG1sUEsFBgAAAAAGAAYAWQEAANkFA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v:textbox>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3781425</wp:posOffset>
                </wp:positionH>
                <wp:positionV relativeFrom="paragraph">
                  <wp:posOffset>2783840</wp:posOffset>
                </wp:positionV>
                <wp:extent cx="702310" cy="29083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702310"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7.75pt;margin-top:219.2pt;height:22.9pt;width:55.3pt;z-index:251696128;mso-width-relative:page;mso-height-relative:page;" filled="f" stroked="f" coordsize="21600,21600" o:gfxdata="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4GRENwAAAALAQAADwAAAAAAAAABACAAAAAiAAAA&#10;ZHJzL2Rvd25yZXYueG1sUEsBAhQAFAAAAAgAh07iQO9cQzs8AgAAZwQAAA4AAAAAAAAAAQAgAAAA&#10;KwEAAGRycy9lMm9Eb2MueG1sUEsFBgAAAAAGAAYAWQEAANkFA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耕地</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4330700</wp:posOffset>
                </wp:positionH>
                <wp:positionV relativeFrom="paragraph">
                  <wp:posOffset>1724660</wp:posOffset>
                </wp:positionV>
                <wp:extent cx="702310" cy="29083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702310"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pt;margin-top:135.8pt;height:22.9pt;width:55.3pt;z-index:251695104;mso-width-relative:page;mso-height-relative:page;" filled="f" stroked="f" coordsize="21600,21600" o:gfxdata="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cyeYF9wAAAALAQAADwAAAAAAAAABACAAAAAiAAAA&#10;ZHJzL2Rvd25yZXYueG1sUEsBAhQAFAAAAAgAh07iQLUjgNM8AgAAZwQAAA4AAAAAAAAAAQAgAAAA&#10;KwEAAGRycy9lMm9Eb2MueG1sUEsFBgAAAAAGAAYAWQEAANkFA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仓库</w:t>
                      </w:r>
                    </w:p>
                  </w:txbxContent>
                </v:textbox>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3488690</wp:posOffset>
                </wp:positionH>
                <wp:positionV relativeFrom="paragraph">
                  <wp:posOffset>1439545</wp:posOffset>
                </wp:positionV>
                <wp:extent cx="702310" cy="29083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702310"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加油站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7pt;margin-top:113.35pt;height:22.9pt;width:55.3pt;z-index:251694080;mso-width-relative:page;mso-height-relative:page;" filled="f" stroked="f" coordsize="21600,21600" o:gfxdata="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DrrHm9wAAAALAQAADwAAAAAAAAABACAAAAAiAAAA&#10;ZHJzL2Rvd25yZXYueG1sUEsBAhQAFAAAAAgAh07iQBqktDE8AgAAZwQAAA4AAAAAAAAAAQAgAAAA&#10;KwEAAGRycy9lMm9Eb2MueG1sUEsFBgAAAAAGAAYAWQEAANkFAAAAAA==&#10;">
                <v:fill on="f" focussize="0,0"/>
                <v:stroke on="f" weight="0.5pt"/>
                <v:imagedata o:title=""/>
                <o:lock v:ext="edit" aspectratio="f"/>
                <v:textbox>
                  <w:txbxContent>
                    <w:p>
                      <w:pPr>
                        <w:rPr>
                          <w:rFonts w:hint="default" w:ascii="Times New Roman" w:hAnsi="Times New Roman" w:eastAsia="宋体" w:cs="Times New Roman"/>
                          <w:b/>
                          <w:bCs/>
                          <w:color w:val="FF00FF"/>
                          <w:sz w:val="22"/>
                          <w:szCs w:val="24"/>
                          <w:lang w:val="en-US" w:eastAsia="zh-CN"/>
                        </w:rPr>
                      </w:pPr>
                      <w:r>
                        <w:rPr>
                          <w:rFonts w:hint="eastAsia" w:ascii="Times New Roman" w:hAnsi="Times New Roman" w:eastAsia="宋体" w:cs="Times New Roman"/>
                          <w:b/>
                          <w:bCs/>
                          <w:color w:val="FF00FF"/>
                          <w:sz w:val="22"/>
                          <w:szCs w:val="24"/>
                          <w:lang w:val="en-US" w:eastAsia="zh-CN"/>
                        </w:rPr>
                        <w:t>加油站</w:t>
                      </w:r>
                    </w:p>
                  </w:txbxContent>
                </v:textbox>
              </v:shap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2145665</wp:posOffset>
                </wp:positionH>
                <wp:positionV relativeFrom="paragraph">
                  <wp:posOffset>453390</wp:posOffset>
                </wp:positionV>
                <wp:extent cx="979805" cy="29083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979805" cy="290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Times New Roman" w:hAnsi="Times New Roman" w:eastAsia="宋体" w:cs="Times New Roman"/>
                                <w:b/>
                                <w:bCs/>
                                <w:color w:val="FFFF00"/>
                                <w:sz w:val="28"/>
                                <w:szCs w:val="32"/>
                                <w:lang w:val="en-US" w:eastAsia="zh-CN"/>
                              </w:rPr>
                            </w:pPr>
                            <w:r>
                              <w:rPr>
                                <w:rFonts w:hint="eastAsia" w:ascii="Times New Roman" w:hAnsi="Times New Roman" w:eastAsia="宋体" w:cs="Times New Roman"/>
                                <w:b/>
                                <w:bCs/>
                                <w:color w:val="FFFF00"/>
                                <w:sz w:val="28"/>
                                <w:szCs w:val="32"/>
                                <w:lang w:val="en-US" w:eastAsia="zh-CN"/>
                              </w:rPr>
                              <w:t>曲风村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95pt;margin-top:35.7pt;height:22.9pt;width:77.15pt;z-index:251693056;mso-width-relative:page;mso-height-relative:page;" filled="f" stroked="f" coordsize="21600,21600" o:gfxdata="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ODsIT3AAAAAoBAAAPAAAAAAAAAAEAIAAAACIA&#10;AABkcnMvZG93bnJldi54bWxQSwECFAAUAAAACACHTuJA5QzSHj4CAABnBAAADgAAAAAAAAABACAA&#10;AAArAQAAZHJzL2Uyb0RvYy54bWxQSwUGAAAAAAYABgBZAQAA2wUAAAAA&#10;">
                <v:fill on="f" focussize="0,0"/>
                <v:stroke on="f" weight="0.5pt"/>
                <v:imagedata o:title=""/>
                <o:lock v:ext="edit" aspectratio="f"/>
                <v:textbox>
                  <w:txbxContent>
                    <w:p>
                      <w:pPr>
                        <w:rPr>
                          <w:rFonts w:hint="default" w:ascii="Times New Roman" w:hAnsi="Times New Roman" w:eastAsia="宋体" w:cs="Times New Roman"/>
                          <w:b/>
                          <w:bCs/>
                          <w:color w:val="FFFF00"/>
                          <w:sz w:val="28"/>
                          <w:szCs w:val="32"/>
                          <w:lang w:val="en-US" w:eastAsia="zh-CN"/>
                        </w:rPr>
                      </w:pPr>
                      <w:r>
                        <w:rPr>
                          <w:rFonts w:hint="eastAsia" w:ascii="Times New Roman" w:hAnsi="Times New Roman" w:eastAsia="宋体" w:cs="Times New Roman"/>
                          <w:b/>
                          <w:bCs/>
                          <w:color w:val="FFFF00"/>
                          <w:sz w:val="28"/>
                          <w:szCs w:val="32"/>
                          <w:lang w:val="en-US" w:eastAsia="zh-CN"/>
                        </w:rPr>
                        <w:t>曲风村</w:t>
                      </w:r>
                    </w:p>
                  </w:txbxContent>
                </v:textbox>
              </v:shape>
            </w:pict>
          </mc:Fallback>
        </mc:AlternateContent>
      </w:r>
      <w:r>
        <w:rPr>
          <w:color w:val="auto"/>
        </w:rPr>
        <w:drawing>
          <wp:inline distT="0" distB="0" distL="114300" distR="114300">
            <wp:extent cx="9608820" cy="6099810"/>
            <wp:effectExtent l="19050" t="19050" r="22860" b="2349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89"/>
                    <a:srcRect t="7527"/>
                    <a:stretch>
                      <a:fillRect/>
                    </a:stretch>
                  </pic:blipFill>
                  <pic:spPr>
                    <a:xfrm>
                      <a:off x="0" y="0"/>
                      <a:ext cx="9608820" cy="6099810"/>
                    </a:xfrm>
                    <a:prstGeom prst="rect">
                      <a:avLst/>
                    </a:prstGeom>
                    <a:noFill/>
                    <a:ln w="19050" cmpd="sng">
                      <a:solidFill>
                        <a:schemeClr val="tx1"/>
                      </a:solidFill>
                      <a:prstDash val="solid"/>
                    </a:ln>
                  </pic:spPr>
                </pic:pic>
              </a:graphicData>
            </a:graphic>
          </wp:inline>
        </w:drawing>
      </w:r>
    </w:p>
    <w:p>
      <w:pPr>
        <w:rPr>
          <w:rFonts w:hint="eastAsia" w:ascii="Times New Roman" w:hAnsi="Times New Roman" w:eastAsia="宋体" w:cs="Times New Roman"/>
          <w:b/>
          <w:bCs/>
          <w:color w:val="auto"/>
          <w:sz w:val="24"/>
          <w:szCs w:val="24"/>
          <w:lang w:val="en-US" w:eastAsia="zh-CN"/>
        </w:rPr>
      </w:pPr>
      <w:r>
        <w:rPr>
          <w:rFonts w:ascii="Times New Roman" w:hAnsi="Times New Roman" w:eastAsia="宋体" w:cs="Times New Roman"/>
          <w:b/>
          <w:bCs/>
          <w:color w:val="auto"/>
          <w:sz w:val="24"/>
          <w:szCs w:val="24"/>
        </w:rPr>
        <w:t>附</w:t>
      </w:r>
      <w:r>
        <w:rPr>
          <w:rFonts w:hint="eastAsia" w:ascii="Times New Roman" w:hAnsi="Times New Roman" w:eastAsia="宋体" w:cs="Times New Roman"/>
          <w:b/>
          <w:bCs/>
          <w:color w:val="auto"/>
          <w:sz w:val="24"/>
          <w:szCs w:val="24"/>
          <w:lang w:val="en-US" w:eastAsia="zh-CN"/>
        </w:rPr>
        <w:t>图</w:t>
      </w:r>
      <w:r>
        <w:rPr>
          <w:rFonts w:hint="eastAsia" w:ascii="Times New Roman" w:hAnsi="Times New Roman" w:eastAsia="宋体" w:cs="Times New Roman"/>
          <w:b/>
          <w:bCs/>
          <w:color w:val="auto"/>
          <w:sz w:val="24"/>
          <w:szCs w:val="24"/>
        </w:rPr>
        <w:t>1</w:t>
      </w:r>
      <w:r>
        <w:rPr>
          <w:rFonts w:hint="eastAsia" w:ascii="Times New Roman" w:hAnsi="Times New Roman" w:eastAsia="宋体" w:cs="Times New Roman"/>
          <w:b/>
          <w:bCs/>
          <w:color w:val="auto"/>
          <w:sz w:val="24"/>
          <w:szCs w:val="24"/>
          <w:lang w:val="en-US" w:eastAsia="zh-CN"/>
        </w:rPr>
        <w:t>4</w:t>
      </w:r>
      <w:r>
        <w:rPr>
          <w:rFonts w:ascii="Times New Roman" w:hAnsi="Times New Roman" w:eastAsia="宋体" w:cs="Times New Roman"/>
          <w:b/>
          <w:bCs/>
          <w:color w:val="auto"/>
          <w:sz w:val="24"/>
          <w:szCs w:val="24"/>
        </w:rPr>
        <w:t xml:space="preserve"> </w:t>
      </w:r>
      <w:r>
        <w:rPr>
          <w:rFonts w:hint="eastAsia" w:ascii="Times New Roman" w:hAnsi="Times New Roman" w:eastAsia="宋体" w:cs="Times New Roman"/>
          <w:b/>
          <w:bCs/>
          <w:color w:val="auto"/>
          <w:sz w:val="24"/>
          <w:szCs w:val="24"/>
        </w:rPr>
        <w:t>环境保护目标图</w:t>
      </w:r>
    </w:p>
    <w:p>
      <w:pPr>
        <w:jc w:val="center"/>
        <w:rPr>
          <w:color w:val="auto"/>
        </w:rPr>
      </w:pP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5970905</wp:posOffset>
                </wp:positionH>
                <wp:positionV relativeFrom="paragraph">
                  <wp:posOffset>4131310</wp:posOffset>
                </wp:positionV>
                <wp:extent cx="667385" cy="254635"/>
                <wp:effectExtent l="0" t="0" r="18415" b="12065"/>
                <wp:wrapNone/>
                <wp:docPr id="70" name="文本框 70"/>
                <wp:cNvGraphicFramePr/>
                <a:graphic xmlns:a="http://schemas.openxmlformats.org/drawingml/2006/main">
                  <a:graphicData uri="http://schemas.microsoft.com/office/word/2010/wordprocessingShape">
                    <wps:wsp>
                      <wps:cNvSpPr txBox="1"/>
                      <wps:spPr>
                        <a:xfrm>
                          <a:off x="0" y="0"/>
                          <a:ext cx="667385" cy="25463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内史村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0.15pt;margin-top:325.3pt;height:20.05pt;width:52.55pt;z-index:251705344;mso-width-relative:page;mso-height-relative:page;" fillcolor="#FFFFFF [3212]" filled="t" stroked="f" coordsize="21600,21600" o:gfxdata="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9JHMZNcAAAAMAQAADwAA&#10;AAAAAAABACAAAAAiAAAAZHJzL2Rvd25yZXYueG1sUEsBAhQAFAAAAAgAh07iQItjtgFQAgAAkAQA&#10;AA4AAAAAAAAAAQAgAAAAJgEAAGRycy9lMm9Eb2MueG1sUEsFBgAAAAAGAAYAWQEAAOgFAAAAAA==&#10;">
                <v:fill on="t" focussize="0,0"/>
                <v:stroke on="f" weight="0.5pt"/>
                <v:imagedata o:title=""/>
                <o:lock v:ext="edit" aspectratio="f"/>
                <v:textbo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内史村</w:t>
                      </w:r>
                    </w:p>
                  </w:txbxContent>
                </v:textbox>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2178050</wp:posOffset>
                </wp:positionH>
                <wp:positionV relativeFrom="paragraph">
                  <wp:posOffset>4655820</wp:posOffset>
                </wp:positionV>
                <wp:extent cx="762635" cy="254635"/>
                <wp:effectExtent l="0" t="0" r="18415" b="12065"/>
                <wp:wrapNone/>
                <wp:docPr id="69" name="文本框 69"/>
                <wp:cNvGraphicFramePr/>
                <a:graphic xmlns:a="http://schemas.openxmlformats.org/drawingml/2006/main">
                  <a:graphicData uri="http://schemas.microsoft.com/office/word/2010/wordprocessingShape">
                    <wps:wsp>
                      <wps:cNvSpPr txBox="1"/>
                      <wps:spPr>
                        <a:xfrm>
                          <a:off x="0" y="0"/>
                          <a:ext cx="762635" cy="25463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模范科村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5pt;margin-top:366.6pt;height:20.05pt;width:60.05pt;z-index:251704320;mso-width-relative:page;mso-height-relative:page;" fillcolor="#FFFFFF [3212]" filled="t" stroked="f" coordsize="21600,21600" o:gfxdata="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NmDfdHWAAAACwEAAA8AAAAA&#10;AAAAAQAgAAAAIgAAAGRycy9kb3ducmV2LnhtbFBLAQIUABQAAAAIAIdO4kAmqciVTwIAAJAEAAAO&#10;AAAAAAAAAAEAIAAAACUBAABkcnMvZTJvRG9jLnhtbFBLBQYAAAAABgAGAFkBAADmBQAAAAA=&#10;">
                <v:fill on="t" focussize="0,0"/>
                <v:stroke on="f" weight="0.5pt"/>
                <v:imagedata o:title=""/>
                <o:lock v:ext="edit" aspectratio="f"/>
                <v:textbo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模范科村</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4290695</wp:posOffset>
                </wp:positionH>
                <wp:positionV relativeFrom="paragraph">
                  <wp:posOffset>2080260</wp:posOffset>
                </wp:positionV>
                <wp:extent cx="688340" cy="254635"/>
                <wp:effectExtent l="0" t="0" r="16510" b="12065"/>
                <wp:wrapNone/>
                <wp:docPr id="66" name="文本框 66"/>
                <wp:cNvGraphicFramePr/>
                <a:graphic xmlns:a="http://schemas.openxmlformats.org/drawingml/2006/main">
                  <a:graphicData uri="http://schemas.microsoft.com/office/word/2010/wordprocessingShape">
                    <wps:wsp>
                      <wps:cNvSpPr txBox="1"/>
                      <wps:spPr>
                        <a:xfrm>
                          <a:off x="0" y="0"/>
                          <a:ext cx="688340" cy="25463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曲风村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7.85pt;margin-top:163.8pt;height:20.05pt;width:54.2pt;z-index:251703296;mso-width-relative:page;mso-height-relative:page;" fillcolor="#FFFFFF [3212]" filled="t" stroked="f" coordsize="21600,21600" o:gfxdata="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3qcB39YAAAALAQAADwAAAAAA&#10;AAABACAAAAAiAAAAZHJzL2Rvd25yZXYueG1sUEsBAhQAFAAAAAgAh07iQBxbOuFOAgAAkAQAAA4A&#10;AAAAAAAAAQAgAAAAJQEAAGRycy9lMm9Eb2MueG1sUEsFBgAAAAAGAAYAWQEAAOUFAAAAAA==&#10;">
                <v:fill on="t" focussize="0,0"/>
                <v:stroke on="f" weight="0.5pt"/>
                <v:imagedata o:title=""/>
                <o:lock v:ext="edit" aspectratio="f"/>
                <v:textbo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曲风村</w:t>
                      </w:r>
                    </w:p>
                  </w:txbxContent>
                </v:textbox>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6498590</wp:posOffset>
                </wp:positionH>
                <wp:positionV relativeFrom="paragraph">
                  <wp:posOffset>1536700</wp:posOffset>
                </wp:positionV>
                <wp:extent cx="688340" cy="254635"/>
                <wp:effectExtent l="0" t="0" r="16510" b="12065"/>
                <wp:wrapNone/>
                <wp:docPr id="65" name="文本框 65"/>
                <wp:cNvGraphicFramePr/>
                <a:graphic xmlns:a="http://schemas.openxmlformats.org/drawingml/2006/main">
                  <a:graphicData uri="http://schemas.microsoft.com/office/word/2010/wordprocessingShape">
                    <wps:wsp>
                      <wps:cNvSpPr txBox="1"/>
                      <wps:spPr>
                        <a:xfrm>
                          <a:off x="0" y="0"/>
                          <a:ext cx="688340" cy="25463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道教村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1.7pt;margin-top:121pt;height:20.05pt;width:54.2pt;z-index:251702272;mso-width-relative:page;mso-height-relative:page;" fillcolor="#FFFFFF [3212]" filled="t" stroked="f" coordsize="21600,21600" o:gfxdata="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6tz9NYAAAANAQAADwAA&#10;AAAAAAABACAAAAAiAAAAZHJzL2Rvd25yZXYueG1sUEsBAhQAFAAAAAgAh07iQD367NVRAgAAkAQA&#10;AA4AAAAAAAAAAQAgAAAAJQEAAGRycy9lMm9Eb2MueG1sUEsFBgAAAAAGAAYAWQEAAOgFAAAAAA==&#10;">
                <v:fill on="t" focussize="0,0"/>
                <v:stroke on="f" weight="0.5pt"/>
                <v:imagedata o:title=""/>
                <o:lock v:ext="edit" aspectratio="f"/>
                <v:textbox>
                  <w:txbxContent>
                    <w:p>
                      <w:pPr>
                        <w:rPr>
                          <w:rFonts w:hint="default"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道教村</w:t>
                      </w:r>
                    </w:p>
                  </w:txbxContent>
                </v:textbox>
              </v:shap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7849235</wp:posOffset>
                </wp:positionH>
                <wp:positionV relativeFrom="paragraph">
                  <wp:posOffset>949960</wp:posOffset>
                </wp:positionV>
                <wp:extent cx="1047750" cy="433705"/>
                <wp:effectExtent l="0" t="0" r="0" b="0"/>
                <wp:wrapNone/>
                <wp:docPr id="62" name="文本框 62"/>
                <wp:cNvGraphicFramePr/>
                <a:graphic xmlns:a="http://schemas.openxmlformats.org/drawingml/2006/main">
                  <a:graphicData uri="http://schemas.microsoft.com/office/word/2010/wordprocessingShape">
                    <wps:wsp>
                      <wps:cNvSpPr txBox="1"/>
                      <wps:spPr>
                        <a:xfrm>
                          <a:off x="8516620" y="1824990"/>
                          <a:ext cx="1047750"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大气环境保护范围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8.05pt;margin-top:74.8pt;height:34.15pt;width:82.5pt;z-index:251701248;mso-width-relative:page;mso-height-relative:page;" filled="f" stroked="f" coordsize="21600,21600" o:gfxdata="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ik6srdAAAADQEAAA8AAAAAAAAA&#10;AQAgAAAAIgAAAGRycy9kb3ducmV2LnhtbFBLAQIUABQAAAAIAIdO4kC2nlW+RQIAAHQEAAAOAAAA&#10;AAAAAAEAIAAAACwBAABkcnMvZTJvRG9jLnhtbFBLBQYAAAAABgAGAFkBAADjBQAAAAA=&#10;">
                <v:fill on="f" focussize="0,0"/>
                <v:stroke on="f" weight="0.5pt"/>
                <v:imagedata o:title=""/>
                <o:lock v:ext="edit" aspectratio="f"/>
                <v:textbox>
                  <w:txbxContent>
                    <w:p>
                      <w:pPr>
                        <w:rPr>
                          <w:rFonts w:hint="eastAsia" w:ascii="宋体" w:hAnsi="宋体" w:eastAsia="宋体" w:cs="宋体"/>
                          <w:b/>
                          <w:bCs/>
                          <w:color w:val="FF0000"/>
                          <w:sz w:val="22"/>
                          <w:szCs w:val="24"/>
                          <w:lang w:val="en-US" w:eastAsia="zh-CN"/>
                        </w:rPr>
                      </w:pPr>
                      <w:r>
                        <w:rPr>
                          <w:rFonts w:hint="eastAsia" w:ascii="宋体" w:hAnsi="宋体" w:eastAsia="宋体" w:cs="宋体"/>
                          <w:b/>
                          <w:bCs/>
                          <w:color w:val="FF0000"/>
                          <w:sz w:val="22"/>
                          <w:szCs w:val="24"/>
                          <w:lang w:val="en-US" w:eastAsia="zh-CN"/>
                        </w:rPr>
                        <w:t>大气环境保护范围</w:t>
                      </w:r>
                    </w:p>
                  </w:txbxContent>
                </v:textbox>
              </v:shape>
            </w:pict>
          </mc:Fallback>
        </mc:AlternateContent>
      </w:r>
      <w:r>
        <w:rPr>
          <w:color w:val="auto"/>
        </w:rPr>
        <w:drawing>
          <wp:inline distT="0" distB="0" distL="114300" distR="114300">
            <wp:extent cx="9141460" cy="6202045"/>
            <wp:effectExtent l="12700" t="12700" r="27940" b="14605"/>
            <wp:docPr id="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
                    <pic:cNvPicPr>
                      <a:picLocks noChangeAspect="1"/>
                    </pic:cNvPicPr>
                  </pic:nvPicPr>
                  <pic:blipFill>
                    <a:blip r:embed="rId90"/>
                    <a:srcRect t="12910"/>
                    <a:stretch>
                      <a:fillRect/>
                    </a:stretch>
                  </pic:blipFill>
                  <pic:spPr>
                    <a:xfrm>
                      <a:off x="0" y="0"/>
                      <a:ext cx="9141460" cy="6202045"/>
                    </a:xfrm>
                    <a:prstGeom prst="rect">
                      <a:avLst/>
                    </a:prstGeom>
                    <a:noFill/>
                    <a:ln w="12700" cmpd="sng">
                      <a:solidFill>
                        <a:schemeClr val="tx1"/>
                      </a:solidFill>
                      <a:prstDash val="solid"/>
                    </a:ln>
                  </pic:spPr>
                </pic:pic>
              </a:graphicData>
            </a:graphic>
          </wp:inline>
        </w:drawing>
      </w:r>
    </w:p>
    <w:sectPr>
      <w:pgSz w:w="16838" w:h="11906" w:orient="landscape"/>
      <w:pgMar w:top="851" w:right="851" w:bottom="851" w:left="851" w:header="567" w:footer="567"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0634300"/>
    </w:sdtPr>
    <w:sdtEndPr>
      <w:rPr>
        <w:rFonts w:ascii="宋体" w:hAnsi="宋体" w:eastAsia="宋体" w:cs="Times New Roman"/>
        <w:sz w:val="24"/>
        <w:szCs w:val="24"/>
      </w:rPr>
    </w:sdtEndPr>
    <w:sdtContent>
      <w:p>
        <w:pPr>
          <w:pStyle w:val="16"/>
          <w:rPr>
            <w:rFonts w:ascii="宋体" w:hAnsi="宋体" w:eastAsia="宋体" w:cs="Times New Roman"/>
            <w:sz w:val="24"/>
            <w:szCs w:val="24"/>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PAGE   \* MERGEFORMAT</w:instrText>
        </w:r>
        <w:r>
          <w:rPr>
            <w:rFonts w:ascii="宋体" w:hAnsi="宋体" w:eastAsia="宋体" w:cs="Times New Roman"/>
            <w:sz w:val="24"/>
            <w:szCs w:val="24"/>
          </w:rPr>
          <w:fldChar w:fldCharType="separate"/>
        </w:r>
        <w:r>
          <w:rPr>
            <w:rFonts w:ascii="宋体" w:hAnsi="宋体" w:eastAsia="宋体" w:cs="Times New Roman"/>
            <w:sz w:val="24"/>
            <w:szCs w:val="24"/>
            <w:lang w:val="zh-CN"/>
          </w:rPr>
          <w:t>2</w:t>
        </w:r>
        <w:r>
          <w:rPr>
            <w:rFonts w:ascii="宋体" w:hAnsi="宋体" w:eastAsia="宋体"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宋体" w:hAnsi="宋体" w:eastAsia="宋体" w:cs="Times New Roman"/>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2068247"/>
    </w:sdtPr>
    <w:sdtContent>
      <w:p>
        <w:pPr>
          <w:pStyle w:val="16"/>
          <w:jc w:val="right"/>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0634300"/>
    </w:sdtPr>
    <w:sdtEndPr>
      <w:rPr>
        <w:rFonts w:ascii="宋体" w:hAnsi="宋体" w:eastAsia="宋体" w:cs="Times New Roman"/>
        <w:sz w:val="24"/>
        <w:szCs w:val="24"/>
      </w:rPr>
    </w:sdtEndPr>
    <w:sdtContent>
      <w:p>
        <w:pPr>
          <w:pStyle w:val="16"/>
          <w:rPr>
            <w:rFonts w:ascii="宋体" w:hAnsi="宋体" w:eastAsia="宋体" w:cs="Times New Roman"/>
            <w:sz w:val="24"/>
            <w:szCs w:val="24"/>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PAGE   \* MERGEFORMAT</w:instrText>
        </w:r>
        <w:r>
          <w:rPr>
            <w:rFonts w:ascii="宋体" w:hAnsi="宋体" w:eastAsia="宋体" w:cs="Times New Roman"/>
            <w:sz w:val="24"/>
            <w:szCs w:val="24"/>
          </w:rPr>
          <w:fldChar w:fldCharType="separate"/>
        </w:r>
        <w:r>
          <w:rPr>
            <w:rFonts w:ascii="宋体" w:hAnsi="宋体" w:eastAsia="宋体" w:cs="Times New Roman"/>
            <w:sz w:val="24"/>
            <w:szCs w:val="24"/>
            <w:lang w:val="zh-CN"/>
          </w:rPr>
          <w:t>2</w:t>
        </w:r>
        <w:r>
          <w:rPr>
            <w:rFonts w:ascii="宋体" w:hAnsi="宋体" w:eastAsia="宋体" w:cs="Times New Roman"/>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1235052"/>
    </w:sdtPr>
    <w:sdtEndPr>
      <w:rPr>
        <w:rFonts w:ascii="宋体" w:hAnsi="宋体" w:eastAsia="宋体" w:cs="Times New Roman"/>
        <w:sz w:val="24"/>
        <w:szCs w:val="24"/>
      </w:rPr>
    </w:sdtEndPr>
    <w:sdtContent>
      <w:p>
        <w:pPr>
          <w:pStyle w:val="16"/>
          <w:jc w:val="right"/>
          <w:rPr>
            <w:rFonts w:ascii="宋体" w:hAnsi="宋体" w:eastAsia="宋体" w:cs="Times New Roman"/>
            <w:sz w:val="24"/>
            <w:szCs w:val="24"/>
          </w:rPr>
        </w:pPr>
        <w:r>
          <w:rPr>
            <w:rFonts w:ascii="宋体" w:hAnsi="宋体" w:eastAsia="宋体" w:cs="Times New Roman"/>
            <w:sz w:val="24"/>
            <w:szCs w:val="24"/>
          </w:rPr>
          <w:fldChar w:fldCharType="begin"/>
        </w:r>
        <w:r>
          <w:rPr>
            <w:rFonts w:ascii="宋体" w:hAnsi="宋体" w:eastAsia="宋体" w:cs="Times New Roman"/>
            <w:sz w:val="24"/>
            <w:szCs w:val="24"/>
          </w:rPr>
          <w:instrText xml:space="preserve">PAGE   \* MERGEFORMAT</w:instrText>
        </w:r>
        <w:r>
          <w:rPr>
            <w:rFonts w:ascii="宋体" w:hAnsi="宋体" w:eastAsia="宋体" w:cs="Times New Roman"/>
            <w:sz w:val="24"/>
            <w:szCs w:val="24"/>
          </w:rPr>
          <w:fldChar w:fldCharType="separate"/>
        </w:r>
        <w:r>
          <w:rPr>
            <w:rFonts w:ascii="宋体" w:hAnsi="宋体" w:eastAsia="宋体" w:cs="Times New Roman"/>
            <w:sz w:val="24"/>
            <w:szCs w:val="24"/>
            <w:lang w:val="zh-CN"/>
          </w:rPr>
          <w:t>2</w:t>
        </w:r>
        <w:r>
          <w:rPr>
            <w:rFonts w:ascii="宋体" w:hAnsi="宋体" w:eastAsia="宋体" w:cs="Times New Roman"/>
            <w:sz w:val="24"/>
            <w:szCs w:val="24"/>
          </w:rP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宋体" w:hAnsi="宋体" w:eastAsia="宋体" w:cs="Times New Roma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宋体" w:hAnsi="宋体" w:eastAsia="宋体" w:cs="Times New Roman"/>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mODcxNTVmMWI4NjEyOWFhY2VhNDk1OTZlYjlmYzUifQ=="/>
  </w:docVars>
  <w:rsids>
    <w:rsidRoot w:val="00945272"/>
    <w:rsid w:val="00016916"/>
    <w:rsid w:val="00024C9E"/>
    <w:rsid w:val="00027D9A"/>
    <w:rsid w:val="000345BB"/>
    <w:rsid w:val="00050819"/>
    <w:rsid w:val="0005676B"/>
    <w:rsid w:val="00060066"/>
    <w:rsid w:val="0007497C"/>
    <w:rsid w:val="00080CDD"/>
    <w:rsid w:val="00092A03"/>
    <w:rsid w:val="00092B85"/>
    <w:rsid w:val="00095BB6"/>
    <w:rsid w:val="000A06E2"/>
    <w:rsid w:val="000B3DE3"/>
    <w:rsid w:val="000C1649"/>
    <w:rsid w:val="000C3757"/>
    <w:rsid w:val="000D48C5"/>
    <w:rsid w:val="000E7132"/>
    <w:rsid w:val="000F0DED"/>
    <w:rsid w:val="00113977"/>
    <w:rsid w:val="00120814"/>
    <w:rsid w:val="00122753"/>
    <w:rsid w:val="00124F3E"/>
    <w:rsid w:val="0013592F"/>
    <w:rsid w:val="00150DF6"/>
    <w:rsid w:val="0015686B"/>
    <w:rsid w:val="00180284"/>
    <w:rsid w:val="00184050"/>
    <w:rsid w:val="00195E58"/>
    <w:rsid w:val="001B1337"/>
    <w:rsid w:val="001B1F79"/>
    <w:rsid w:val="001C077D"/>
    <w:rsid w:val="001C6304"/>
    <w:rsid w:val="001E1D41"/>
    <w:rsid w:val="001F7898"/>
    <w:rsid w:val="00226465"/>
    <w:rsid w:val="00232884"/>
    <w:rsid w:val="002333FA"/>
    <w:rsid w:val="00245BBB"/>
    <w:rsid w:val="00254D75"/>
    <w:rsid w:val="00273FCA"/>
    <w:rsid w:val="002909EB"/>
    <w:rsid w:val="002B66CE"/>
    <w:rsid w:val="00300942"/>
    <w:rsid w:val="003010E8"/>
    <w:rsid w:val="0030205F"/>
    <w:rsid w:val="00315194"/>
    <w:rsid w:val="003204B1"/>
    <w:rsid w:val="0033055D"/>
    <w:rsid w:val="00370D81"/>
    <w:rsid w:val="00371DD3"/>
    <w:rsid w:val="0038093E"/>
    <w:rsid w:val="003845E1"/>
    <w:rsid w:val="0039109C"/>
    <w:rsid w:val="00391F27"/>
    <w:rsid w:val="003A301A"/>
    <w:rsid w:val="003B0082"/>
    <w:rsid w:val="003C4E31"/>
    <w:rsid w:val="003E259A"/>
    <w:rsid w:val="003E4378"/>
    <w:rsid w:val="003F4E83"/>
    <w:rsid w:val="004125FE"/>
    <w:rsid w:val="00414658"/>
    <w:rsid w:val="00415616"/>
    <w:rsid w:val="00423BBD"/>
    <w:rsid w:val="00433044"/>
    <w:rsid w:val="00443549"/>
    <w:rsid w:val="00444A98"/>
    <w:rsid w:val="004462C5"/>
    <w:rsid w:val="00460214"/>
    <w:rsid w:val="00476F15"/>
    <w:rsid w:val="00494CEF"/>
    <w:rsid w:val="004A6126"/>
    <w:rsid w:val="004A70F4"/>
    <w:rsid w:val="004A7CAB"/>
    <w:rsid w:val="004B3D7C"/>
    <w:rsid w:val="004B6938"/>
    <w:rsid w:val="004D5929"/>
    <w:rsid w:val="004E49BD"/>
    <w:rsid w:val="005036F7"/>
    <w:rsid w:val="0052522C"/>
    <w:rsid w:val="0052764D"/>
    <w:rsid w:val="005320FD"/>
    <w:rsid w:val="005554AB"/>
    <w:rsid w:val="0056367F"/>
    <w:rsid w:val="00564077"/>
    <w:rsid w:val="00567129"/>
    <w:rsid w:val="0058649D"/>
    <w:rsid w:val="0059023D"/>
    <w:rsid w:val="00592A4A"/>
    <w:rsid w:val="00597818"/>
    <w:rsid w:val="005A0E15"/>
    <w:rsid w:val="005B02E6"/>
    <w:rsid w:val="005D3B29"/>
    <w:rsid w:val="005F2C7E"/>
    <w:rsid w:val="00603F68"/>
    <w:rsid w:val="00613947"/>
    <w:rsid w:val="00617B4C"/>
    <w:rsid w:val="00621CA0"/>
    <w:rsid w:val="00622095"/>
    <w:rsid w:val="00646D78"/>
    <w:rsid w:val="00652E8D"/>
    <w:rsid w:val="006570FF"/>
    <w:rsid w:val="006606EA"/>
    <w:rsid w:val="00680D12"/>
    <w:rsid w:val="00683616"/>
    <w:rsid w:val="00687062"/>
    <w:rsid w:val="00693FF6"/>
    <w:rsid w:val="0069668B"/>
    <w:rsid w:val="006A644F"/>
    <w:rsid w:val="006B075F"/>
    <w:rsid w:val="006B64EA"/>
    <w:rsid w:val="006C6654"/>
    <w:rsid w:val="007063CC"/>
    <w:rsid w:val="00713591"/>
    <w:rsid w:val="0074747C"/>
    <w:rsid w:val="007518C8"/>
    <w:rsid w:val="00752468"/>
    <w:rsid w:val="0075266D"/>
    <w:rsid w:val="00777D6D"/>
    <w:rsid w:val="00785013"/>
    <w:rsid w:val="007870B1"/>
    <w:rsid w:val="0079196A"/>
    <w:rsid w:val="0079791B"/>
    <w:rsid w:val="007B3B42"/>
    <w:rsid w:val="007B6923"/>
    <w:rsid w:val="007C5717"/>
    <w:rsid w:val="007C7D75"/>
    <w:rsid w:val="007D39D7"/>
    <w:rsid w:val="007D5BE8"/>
    <w:rsid w:val="007E0203"/>
    <w:rsid w:val="007E28C1"/>
    <w:rsid w:val="007E2A36"/>
    <w:rsid w:val="007E4E3C"/>
    <w:rsid w:val="007E793C"/>
    <w:rsid w:val="007F6FA0"/>
    <w:rsid w:val="00840316"/>
    <w:rsid w:val="00843B27"/>
    <w:rsid w:val="00847B85"/>
    <w:rsid w:val="008718CA"/>
    <w:rsid w:val="0087223F"/>
    <w:rsid w:val="0087675E"/>
    <w:rsid w:val="0088700A"/>
    <w:rsid w:val="008A2227"/>
    <w:rsid w:val="008B60BC"/>
    <w:rsid w:val="008C66E4"/>
    <w:rsid w:val="008D046D"/>
    <w:rsid w:val="008D4C57"/>
    <w:rsid w:val="008F3957"/>
    <w:rsid w:val="008F57E7"/>
    <w:rsid w:val="009021C0"/>
    <w:rsid w:val="00920867"/>
    <w:rsid w:val="00923EF3"/>
    <w:rsid w:val="00931115"/>
    <w:rsid w:val="00934076"/>
    <w:rsid w:val="00944FD7"/>
    <w:rsid w:val="00945272"/>
    <w:rsid w:val="00946054"/>
    <w:rsid w:val="00960D76"/>
    <w:rsid w:val="00966968"/>
    <w:rsid w:val="009816FE"/>
    <w:rsid w:val="009838DB"/>
    <w:rsid w:val="00985848"/>
    <w:rsid w:val="009904D0"/>
    <w:rsid w:val="009A4408"/>
    <w:rsid w:val="009B50EA"/>
    <w:rsid w:val="009B5A69"/>
    <w:rsid w:val="009C11EB"/>
    <w:rsid w:val="009C7D82"/>
    <w:rsid w:val="009D4323"/>
    <w:rsid w:val="009F1A25"/>
    <w:rsid w:val="009F417B"/>
    <w:rsid w:val="009F78CB"/>
    <w:rsid w:val="00A030BB"/>
    <w:rsid w:val="00A05292"/>
    <w:rsid w:val="00A07236"/>
    <w:rsid w:val="00A1680F"/>
    <w:rsid w:val="00A227C2"/>
    <w:rsid w:val="00A2375E"/>
    <w:rsid w:val="00A34559"/>
    <w:rsid w:val="00A65111"/>
    <w:rsid w:val="00AD1D95"/>
    <w:rsid w:val="00AF7CD1"/>
    <w:rsid w:val="00B04264"/>
    <w:rsid w:val="00B06B66"/>
    <w:rsid w:val="00B152E9"/>
    <w:rsid w:val="00B17C6A"/>
    <w:rsid w:val="00B2310C"/>
    <w:rsid w:val="00B30D9D"/>
    <w:rsid w:val="00B340F9"/>
    <w:rsid w:val="00B4169A"/>
    <w:rsid w:val="00B74AC3"/>
    <w:rsid w:val="00B76C4D"/>
    <w:rsid w:val="00B924C2"/>
    <w:rsid w:val="00B962DF"/>
    <w:rsid w:val="00B978AC"/>
    <w:rsid w:val="00BA17EC"/>
    <w:rsid w:val="00BA7257"/>
    <w:rsid w:val="00BA7E28"/>
    <w:rsid w:val="00BB0B5A"/>
    <w:rsid w:val="00BB187B"/>
    <w:rsid w:val="00BF324A"/>
    <w:rsid w:val="00C05F43"/>
    <w:rsid w:val="00C31E45"/>
    <w:rsid w:val="00C32BEA"/>
    <w:rsid w:val="00C35284"/>
    <w:rsid w:val="00C46E29"/>
    <w:rsid w:val="00C623A6"/>
    <w:rsid w:val="00C624D2"/>
    <w:rsid w:val="00C84914"/>
    <w:rsid w:val="00C84B16"/>
    <w:rsid w:val="00C867AC"/>
    <w:rsid w:val="00C95925"/>
    <w:rsid w:val="00CA5A22"/>
    <w:rsid w:val="00CE0FFB"/>
    <w:rsid w:val="00CF3FC2"/>
    <w:rsid w:val="00D172E3"/>
    <w:rsid w:val="00D22074"/>
    <w:rsid w:val="00D23394"/>
    <w:rsid w:val="00D37472"/>
    <w:rsid w:val="00D73AA2"/>
    <w:rsid w:val="00DA22C6"/>
    <w:rsid w:val="00DB181D"/>
    <w:rsid w:val="00DC4478"/>
    <w:rsid w:val="00DD4578"/>
    <w:rsid w:val="00DD5B96"/>
    <w:rsid w:val="00DF3BE9"/>
    <w:rsid w:val="00E07477"/>
    <w:rsid w:val="00E17FAC"/>
    <w:rsid w:val="00E30E66"/>
    <w:rsid w:val="00E753CB"/>
    <w:rsid w:val="00E913DF"/>
    <w:rsid w:val="00ED1003"/>
    <w:rsid w:val="00ED350B"/>
    <w:rsid w:val="00EF2051"/>
    <w:rsid w:val="00F01990"/>
    <w:rsid w:val="00F01C17"/>
    <w:rsid w:val="00F1263B"/>
    <w:rsid w:val="00F16DE9"/>
    <w:rsid w:val="00F2138A"/>
    <w:rsid w:val="00F51572"/>
    <w:rsid w:val="00F55689"/>
    <w:rsid w:val="00F66BE3"/>
    <w:rsid w:val="00F67400"/>
    <w:rsid w:val="00F73EB6"/>
    <w:rsid w:val="00F768EC"/>
    <w:rsid w:val="00F77991"/>
    <w:rsid w:val="00F82088"/>
    <w:rsid w:val="00FA7819"/>
    <w:rsid w:val="00FB4FF7"/>
    <w:rsid w:val="00FB593A"/>
    <w:rsid w:val="00FC6D42"/>
    <w:rsid w:val="00FD4B40"/>
    <w:rsid w:val="00FD53F8"/>
    <w:rsid w:val="00FE4CE2"/>
    <w:rsid w:val="01376F24"/>
    <w:rsid w:val="021B17EC"/>
    <w:rsid w:val="04B01100"/>
    <w:rsid w:val="08273A19"/>
    <w:rsid w:val="0AE9282D"/>
    <w:rsid w:val="0CD10852"/>
    <w:rsid w:val="0CE17F66"/>
    <w:rsid w:val="0ED87AE4"/>
    <w:rsid w:val="10376C1E"/>
    <w:rsid w:val="120C12CB"/>
    <w:rsid w:val="12C21E73"/>
    <w:rsid w:val="179B454A"/>
    <w:rsid w:val="17B15D71"/>
    <w:rsid w:val="182932AA"/>
    <w:rsid w:val="19AD1CFF"/>
    <w:rsid w:val="1AB94FAF"/>
    <w:rsid w:val="23EF3D7C"/>
    <w:rsid w:val="24757E0A"/>
    <w:rsid w:val="24B84AB6"/>
    <w:rsid w:val="252A0E3E"/>
    <w:rsid w:val="2778394C"/>
    <w:rsid w:val="294C3055"/>
    <w:rsid w:val="2AC97DDF"/>
    <w:rsid w:val="32354CFE"/>
    <w:rsid w:val="33332E1D"/>
    <w:rsid w:val="339F04B3"/>
    <w:rsid w:val="34C87A2E"/>
    <w:rsid w:val="36F04842"/>
    <w:rsid w:val="37C71B2B"/>
    <w:rsid w:val="38C52E50"/>
    <w:rsid w:val="39187C1C"/>
    <w:rsid w:val="39331DC9"/>
    <w:rsid w:val="394F0285"/>
    <w:rsid w:val="39C14386"/>
    <w:rsid w:val="39F2791D"/>
    <w:rsid w:val="3F0A1429"/>
    <w:rsid w:val="40CB28E7"/>
    <w:rsid w:val="41DC102D"/>
    <w:rsid w:val="42DB31AF"/>
    <w:rsid w:val="456E7366"/>
    <w:rsid w:val="49B31EE4"/>
    <w:rsid w:val="49D4580E"/>
    <w:rsid w:val="4C7C38CA"/>
    <w:rsid w:val="4DCD4142"/>
    <w:rsid w:val="4DD50217"/>
    <w:rsid w:val="51DA3DBB"/>
    <w:rsid w:val="52B4767F"/>
    <w:rsid w:val="554A5016"/>
    <w:rsid w:val="55910E79"/>
    <w:rsid w:val="5AB94BCA"/>
    <w:rsid w:val="5BD07531"/>
    <w:rsid w:val="5C6325C6"/>
    <w:rsid w:val="5F120852"/>
    <w:rsid w:val="607A1278"/>
    <w:rsid w:val="622313C8"/>
    <w:rsid w:val="631A1A01"/>
    <w:rsid w:val="6337770F"/>
    <w:rsid w:val="63FC5716"/>
    <w:rsid w:val="64884EA7"/>
    <w:rsid w:val="64C34C2D"/>
    <w:rsid w:val="651E4B62"/>
    <w:rsid w:val="693964A5"/>
    <w:rsid w:val="6B113469"/>
    <w:rsid w:val="6D9E3C9F"/>
    <w:rsid w:val="6F481C8F"/>
    <w:rsid w:val="715E1BEB"/>
    <w:rsid w:val="71EE734A"/>
    <w:rsid w:val="72CD7CBF"/>
    <w:rsid w:val="7400380E"/>
    <w:rsid w:val="7E1D1955"/>
    <w:rsid w:val="7ED44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38"/>
    <w:qFormat/>
    <w:uiPriority w:val="99"/>
    <w:pPr>
      <w:keepNext/>
      <w:overflowPunct w:val="0"/>
      <w:snapToGrid w:val="0"/>
      <w:spacing w:before="120" w:after="160" w:line="259" w:lineRule="auto"/>
      <w:ind w:left="432" w:hanging="432"/>
      <w:outlineLvl w:val="0"/>
    </w:pPr>
    <w:rPr>
      <w:rFonts w:ascii="Times New Roman" w:hAnsi="Times New Roman" w:eastAsia="黑体" w:cs="Times New Roman"/>
      <w:b/>
      <w:bCs/>
      <w:color w:val="000000"/>
      <w:kern w:val="44"/>
      <w:sz w:val="30"/>
      <w:szCs w:val="3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4">
    <w:name w:val="Char Char Char Char Char Char1 Char Char Char Char"/>
    <w:basedOn w:val="1"/>
    <w:next w:val="1"/>
    <w:semiHidden/>
    <w:qFormat/>
    <w:uiPriority w:val="0"/>
    <w:pPr>
      <w:spacing w:line="360" w:lineRule="auto"/>
      <w:ind w:firstLine="200" w:firstLineChars="200"/>
    </w:pPr>
    <w:rPr>
      <w:rFonts w:ascii="宋体" w:hAnsi="宋体" w:eastAsia="华文中宋" w:cs="宋体"/>
      <w:szCs w:val="21"/>
    </w:rPr>
  </w:style>
  <w:style w:type="paragraph" w:styleId="6">
    <w:name w:val="Normal Indent"/>
    <w:basedOn w:val="1"/>
    <w:next w:val="2"/>
    <w:link w:val="40"/>
    <w:unhideWhenUsed/>
    <w:qFormat/>
    <w:uiPriority w:val="0"/>
    <w:pPr>
      <w:ind w:firstLine="420" w:firstLineChars="200"/>
    </w:pPr>
    <w:rPr>
      <w:rFonts w:ascii="Times New Roman" w:hAnsi="Times New Roman" w:eastAsia="宋体" w:cs="Times New Roman"/>
      <w:szCs w:val="24"/>
    </w:rPr>
  </w:style>
  <w:style w:type="paragraph" w:styleId="7">
    <w:name w:val="caption"/>
    <w:next w:val="1"/>
    <w:qFormat/>
    <w:uiPriority w:val="35"/>
    <w:pPr>
      <w:widowControl w:val="0"/>
      <w:spacing w:line="360" w:lineRule="auto"/>
      <w:jc w:val="center"/>
    </w:pPr>
    <w:rPr>
      <w:rFonts w:ascii="Calibri" w:hAnsi="Calibri" w:eastAsia="黑体" w:cs="Times New Roman"/>
      <w:kern w:val="2"/>
      <w:sz w:val="24"/>
      <w:lang w:val="en-US" w:eastAsia="zh-CN" w:bidi="ar-SA"/>
    </w:rPr>
  </w:style>
  <w:style w:type="paragraph" w:styleId="8">
    <w:name w:val="annotation text"/>
    <w:basedOn w:val="1"/>
    <w:link w:val="41"/>
    <w:semiHidden/>
    <w:qFormat/>
    <w:uiPriority w:val="0"/>
    <w:pPr>
      <w:jc w:val="left"/>
    </w:pPr>
    <w:rPr>
      <w:rFonts w:ascii="Times New Roman" w:hAnsi="Times New Roman" w:eastAsia="宋体" w:cs="Times New Roman"/>
      <w:kern w:val="0"/>
      <w:sz w:val="24"/>
      <w:szCs w:val="20"/>
    </w:rPr>
  </w:style>
  <w:style w:type="paragraph" w:styleId="9">
    <w:name w:val="Body Text"/>
    <w:basedOn w:val="1"/>
    <w:link w:val="42"/>
    <w:qFormat/>
    <w:uiPriority w:val="0"/>
    <w:pPr>
      <w:widowControl/>
      <w:snapToGrid w:val="0"/>
      <w:spacing w:before="60" w:after="160" w:line="259" w:lineRule="auto"/>
      <w:ind w:right="113"/>
    </w:pPr>
    <w:rPr>
      <w:rFonts w:ascii="Times New Roman" w:hAnsi="Times New Roman" w:eastAsia="宋体" w:cs="Times New Roman"/>
      <w:kern w:val="0"/>
      <w:sz w:val="18"/>
      <w:szCs w:val="20"/>
    </w:rPr>
  </w:style>
  <w:style w:type="paragraph" w:styleId="10">
    <w:name w:val="Body Text Indent"/>
    <w:basedOn w:val="1"/>
    <w:next w:val="11"/>
    <w:link w:val="43"/>
    <w:qFormat/>
    <w:uiPriority w:val="0"/>
    <w:pPr>
      <w:spacing w:after="120"/>
      <w:ind w:left="420" w:leftChars="200"/>
    </w:pPr>
    <w:rPr>
      <w:rFonts w:ascii="Times New Roman" w:hAnsi="Times New Roman" w:eastAsia="宋体" w:cs="Times New Roman"/>
      <w:kern w:val="0"/>
      <w:sz w:val="24"/>
      <w:szCs w:val="20"/>
    </w:rPr>
  </w:style>
  <w:style w:type="paragraph" w:customStyle="1" w:styleId="1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2">
    <w:name w:val="Plain Text"/>
    <w:basedOn w:val="1"/>
    <w:next w:val="1"/>
    <w:link w:val="44"/>
    <w:qFormat/>
    <w:uiPriority w:val="0"/>
    <w:rPr>
      <w:rFonts w:ascii="宋体" w:hAnsi="Courier New" w:eastAsia="宋体" w:cs="Times New Roman"/>
      <w:kern w:val="0"/>
      <w:sz w:val="20"/>
      <w:szCs w:val="20"/>
    </w:rPr>
  </w:style>
  <w:style w:type="paragraph" w:styleId="13">
    <w:name w:val="Date"/>
    <w:basedOn w:val="1"/>
    <w:next w:val="1"/>
    <w:link w:val="46"/>
    <w:qFormat/>
    <w:uiPriority w:val="0"/>
    <w:pPr>
      <w:ind w:left="100" w:leftChars="2500"/>
    </w:pPr>
    <w:rPr>
      <w:rFonts w:ascii="Times New Roman" w:hAnsi="Times New Roman" w:eastAsia="宋体" w:cs="Times New Roman"/>
      <w:kern w:val="0"/>
      <w:sz w:val="24"/>
      <w:szCs w:val="20"/>
    </w:rPr>
  </w:style>
  <w:style w:type="paragraph" w:styleId="14">
    <w:name w:val="Body Text Indent 2"/>
    <w:basedOn w:val="1"/>
    <w:link w:val="47"/>
    <w:qFormat/>
    <w:uiPriority w:val="0"/>
    <w:pPr>
      <w:spacing w:after="120" w:line="480" w:lineRule="auto"/>
      <w:ind w:left="420" w:leftChars="200"/>
    </w:pPr>
    <w:rPr>
      <w:rFonts w:ascii="Times New Roman" w:hAnsi="Times New Roman" w:eastAsia="宋体" w:cs="Times New Roman"/>
      <w:szCs w:val="24"/>
    </w:rPr>
  </w:style>
  <w:style w:type="paragraph" w:styleId="15">
    <w:name w:val="Balloon Text"/>
    <w:basedOn w:val="1"/>
    <w:link w:val="48"/>
    <w:semiHidden/>
    <w:qFormat/>
    <w:uiPriority w:val="0"/>
    <w:rPr>
      <w:rFonts w:ascii="Times New Roman" w:hAnsi="Times New Roman" w:eastAsia="宋体" w:cs="Times New Roman"/>
      <w:kern w:val="0"/>
      <w:sz w:val="18"/>
      <w:szCs w:val="20"/>
    </w:rPr>
  </w:style>
  <w:style w:type="paragraph" w:styleId="16">
    <w:name w:val="footer"/>
    <w:basedOn w:val="1"/>
    <w:next w:val="1"/>
    <w:link w:val="37"/>
    <w:unhideWhenUsed/>
    <w:qFormat/>
    <w:uiPriority w:val="99"/>
    <w:pPr>
      <w:tabs>
        <w:tab w:val="center" w:pos="4153"/>
        <w:tab w:val="right" w:pos="8306"/>
      </w:tabs>
      <w:snapToGrid w:val="0"/>
      <w:jc w:val="left"/>
    </w:pPr>
    <w:rPr>
      <w:sz w:val="18"/>
      <w:szCs w:val="18"/>
    </w:rPr>
  </w:style>
  <w:style w:type="paragraph" w:styleId="17">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style>
  <w:style w:type="paragraph" w:styleId="19">
    <w:name w:val="List"/>
    <w:basedOn w:val="1"/>
    <w:qFormat/>
    <w:uiPriority w:val="0"/>
    <w:pPr>
      <w:ind w:left="200" w:hanging="200" w:hangingChars="200"/>
    </w:pPr>
    <w:rPr>
      <w:rFonts w:ascii="华文中宋" w:hAnsi="Times New Roman" w:eastAsia="华文中宋" w:cs="Times New Roman"/>
      <w:szCs w:val="24"/>
    </w:rPr>
  </w:style>
  <w:style w:type="paragraph" w:styleId="20">
    <w:name w:val="Body Text Indent 3"/>
    <w:basedOn w:val="1"/>
    <w:link w:val="50"/>
    <w:qFormat/>
    <w:uiPriority w:val="0"/>
    <w:pPr>
      <w:spacing w:after="120"/>
      <w:ind w:left="420" w:leftChars="200"/>
    </w:pPr>
    <w:rPr>
      <w:rFonts w:ascii="Times New Roman" w:hAnsi="Times New Roman" w:eastAsia="宋体" w:cs="Times New Roman"/>
      <w:sz w:val="16"/>
      <w:szCs w:val="16"/>
    </w:rPr>
  </w:style>
  <w:style w:type="paragraph" w:styleId="21">
    <w:name w:val="Body Text 2"/>
    <w:basedOn w:val="1"/>
    <w:link w:val="51"/>
    <w:qFormat/>
    <w:uiPriority w:val="0"/>
    <w:pPr>
      <w:tabs>
        <w:tab w:val="left" w:pos="2295"/>
      </w:tabs>
    </w:pPr>
    <w:rPr>
      <w:rFonts w:ascii="Times New Roman" w:hAnsi="Times New Roman" w:eastAsia="宋体" w:cs="Times New Roman"/>
      <w:b/>
      <w:bCs/>
      <w:sz w:val="28"/>
      <w:szCs w:val="24"/>
    </w:rPr>
  </w:style>
  <w:style w:type="paragraph" w:styleId="22">
    <w:name w:val="Normal (Web)"/>
    <w:basedOn w:val="1"/>
    <w:link w:val="52"/>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23">
    <w:name w:val="annotation subject"/>
    <w:basedOn w:val="8"/>
    <w:next w:val="8"/>
    <w:link w:val="53"/>
    <w:semiHidden/>
    <w:qFormat/>
    <w:uiPriority w:val="0"/>
    <w:rPr>
      <w:b/>
      <w:kern w:val="2"/>
    </w:rPr>
  </w:style>
  <w:style w:type="paragraph" w:styleId="24">
    <w:name w:val="Body Text First Indent"/>
    <w:basedOn w:val="9"/>
    <w:link w:val="54"/>
    <w:qFormat/>
    <w:uiPriority w:val="0"/>
    <w:pPr>
      <w:spacing w:after="120"/>
      <w:ind w:firstLine="420" w:firstLineChars="100"/>
    </w:pPr>
  </w:style>
  <w:style w:type="paragraph" w:styleId="25">
    <w:name w:val="Body Text First Indent 2"/>
    <w:basedOn w:val="1"/>
    <w:next w:val="1"/>
    <w:link w:val="55"/>
    <w:qFormat/>
    <w:uiPriority w:val="0"/>
    <w:pPr>
      <w:ind w:firstLine="420" w:firstLineChars="200"/>
    </w:pPr>
    <w:rPr>
      <w:rFonts w:ascii="Times New Roman" w:hAnsi="Times New Roman" w:eastAsia="宋体" w:cs="Times New Roman"/>
      <w:szCs w:val="24"/>
    </w:rPr>
  </w:style>
  <w:style w:type="table" w:styleId="27">
    <w:name w:val="Table Grid"/>
    <w:basedOn w:val="2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basedOn w:val="28"/>
    <w:qFormat/>
    <w:uiPriority w:val="0"/>
  </w:style>
  <w:style w:type="character" w:styleId="30">
    <w:name w:val="Emphasis"/>
    <w:qFormat/>
    <w:uiPriority w:val="0"/>
    <w:rPr>
      <w:rFonts w:ascii="宋体" w:hAnsi="宋体" w:eastAsia="宋体"/>
      <w:b/>
      <w:iCs/>
      <w:sz w:val="24"/>
    </w:rPr>
  </w:style>
  <w:style w:type="character" w:styleId="31">
    <w:name w:val="Hyperlink"/>
    <w:basedOn w:val="28"/>
    <w:unhideWhenUsed/>
    <w:qFormat/>
    <w:uiPriority w:val="99"/>
    <w:rPr>
      <w:color w:val="0563C1" w:themeColor="hyperlink"/>
      <w:u w:val="single"/>
      <w14:textFill>
        <w14:solidFill>
          <w14:schemeClr w14:val="hlink"/>
        </w14:solidFill>
      </w14:textFill>
    </w:rPr>
  </w:style>
  <w:style w:type="character" w:styleId="32">
    <w:name w:val="annotation reference"/>
    <w:semiHidden/>
    <w:qFormat/>
    <w:uiPriority w:val="0"/>
    <w:rPr>
      <w:sz w:val="21"/>
    </w:rPr>
  </w:style>
  <w:style w:type="paragraph" w:customStyle="1" w:styleId="33">
    <w:name w:val="纯文本1"/>
    <w:basedOn w:val="1"/>
    <w:qFormat/>
    <w:uiPriority w:val="99"/>
    <w:pPr>
      <w:ind w:firstLine="0" w:firstLineChars="0"/>
    </w:pPr>
    <w:rPr>
      <w:rFonts w:ascii="宋体" w:hAnsi="Courier New" w:cs="宋体"/>
      <w:szCs w:val="21"/>
    </w:rPr>
  </w:style>
  <w:style w:type="paragraph" w:customStyle="1" w:styleId="34">
    <w:name w:val="正文首行缩进 21"/>
    <w:basedOn w:val="35"/>
    <w:next w:val="1"/>
    <w:unhideWhenUsed/>
    <w:qFormat/>
    <w:uiPriority w:val="0"/>
    <w:pPr>
      <w:ind w:firstLine="420"/>
    </w:pPr>
  </w:style>
  <w:style w:type="paragraph" w:customStyle="1" w:styleId="35">
    <w:name w:val="正文文本缩进1"/>
    <w:basedOn w:val="1"/>
    <w:unhideWhenUsed/>
    <w:qFormat/>
    <w:uiPriority w:val="0"/>
    <w:pPr>
      <w:spacing w:after="120"/>
      <w:ind w:left="420" w:leftChars="200"/>
    </w:pPr>
    <w:rPr>
      <w:rFonts w:ascii="Times New Roman" w:hAnsi="Times New Roman" w:eastAsia="宋体"/>
      <w:sz w:val="32"/>
    </w:rPr>
  </w:style>
  <w:style w:type="character" w:customStyle="1" w:styleId="36">
    <w:name w:val="页眉 字符"/>
    <w:basedOn w:val="28"/>
    <w:link w:val="17"/>
    <w:qFormat/>
    <w:uiPriority w:val="99"/>
    <w:rPr>
      <w:sz w:val="18"/>
      <w:szCs w:val="18"/>
    </w:rPr>
  </w:style>
  <w:style w:type="character" w:customStyle="1" w:styleId="37">
    <w:name w:val="页脚 字符"/>
    <w:basedOn w:val="28"/>
    <w:link w:val="16"/>
    <w:qFormat/>
    <w:uiPriority w:val="99"/>
    <w:rPr>
      <w:sz w:val="18"/>
      <w:szCs w:val="18"/>
    </w:rPr>
  </w:style>
  <w:style w:type="character" w:customStyle="1" w:styleId="38">
    <w:name w:val="标题 1 字符"/>
    <w:basedOn w:val="28"/>
    <w:link w:val="5"/>
    <w:qFormat/>
    <w:uiPriority w:val="99"/>
    <w:rPr>
      <w:rFonts w:ascii="Times New Roman" w:hAnsi="Times New Roman" w:eastAsia="黑体" w:cs="Times New Roman"/>
      <w:b/>
      <w:bCs/>
      <w:color w:val="000000"/>
      <w:kern w:val="44"/>
      <w:sz w:val="30"/>
      <w:szCs w:val="30"/>
    </w:rPr>
  </w:style>
  <w:style w:type="paragraph" w:customStyle="1" w:styleId="39">
    <w:name w:val="正文首行缩进:2 字符"/>
    <w:basedOn w:val="1"/>
    <w:qFormat/>
    <w:uiPriority w:val="0"/>
    <w:pPr>
      <w:ind w:firstLine="560"/>
    </w:pPr>
    <w:rPr>
      <w:rFonts w:ascii="Times New Roman" w:hAnsi="Times New Roman" w:eastAsia="宋体" w:cs="宋体"/>
      <w:sz w:val="28"/>
      <w:szCs w:val="20"/>
    </w:rPr>
  </w:style>
  <w:style w:type="character" w:customStyle="1" w:styleId="40">
    <w:name w:val="正文缩进 字符"/>
    <w:link w:val="6"/>
    <w:qFormat/>
    <w:locked/>
    <w:uiPriority w:val="0"/>
    <w:rPr>
      <w:rFonts w:ascii="Times New Roman" w:hAnsi="Times New Roman" w:eastAsia="宋体" w:cs="Times New Roman"/>
      <w:szCs w:val="24"/>
    </w:rPr>
  </w:style>
  <w:style w:type="character" w:customStyle="1" w:styleId="41">
    <w:name w:val="批注文字 字符"/>
    <w:basedOn w:val="28"/>
    <w:link w:val="8"/>
    <w:semiHidden/>
    <w:qFormat/>
    <w:uiPriority w:val="0"/>
    <w:rPr>
      <w:rFonts w:ascii="Times New Roman" w:hAnsi="Times New Roman" w:eastAsia="宋体" w:cs="Times New Roman"/>
      <w:kern w:val="0"/>
      <w:sz w:val="24"/>
      <w:szCs w:val="20"/>
    </w:rPr>
  </w:style>
  <w:style w:type="character" w:customStyle="1" w:styleId="42">
    <w:name w:val="正文文本 字符"/>
    <w:basedOn w:val="28"/>
    <w:link w:val="9"/>
    <w:qFormat/>
    <w:uiPriority w:val="0"/>
    <w:rPr>
      <w:rFonts w:ascii="Times New Roman" w:hAnsi="Times New Roman" w:eastAsia="宋体" w:cs="Times New Roman"/>
      <w:kern w:val="0"/>
      <w:sz w:val="18"/>
      <w:szCs w:val="20"/>
    </w:rPr>
  </w:style>
  <w:style w:type="character" w:customStyle="1" w:styleId="43">
    <w:name w:val="正文文本缩进 字符"/>
    <w:basedOn w:val="28"/>
    <w:link w:val="10"/>
    <w:qFormat/>
    <w:uiPriority w:val="0"/>
    <w:rPr>
      <w:rFonts w:ascii="Times New Roman" w:hAnsi="Times New Roman" w:eastAsia="宋体" w:cs="Times New Roman"/>
      <w:kern w:val="0"/>
      <w:sz w:val="24"/>
      <w:szCs w:val="20"/>
    </w:rPr>
  </w:style>
  <w:style w:type="character" w:customStyle="1" w:styleId="44">
    <w:name w:val="纯文本 字符"/>
    <w:basedOn w:val="28"/>
    <w:link w:val="12"/>
    <w:qFormat/>
    <w:uiPriority w:val="0"/>
    <w:rPr>
      <w:rFonts w:ascii="宋体" w:hAnsi="Courier New" w:eastAsia="宋体" w:cs="Times New Roman"/>
      <w:kern w:val="0"/>
      <w:sz w:val="20"/>
      <w:szCs w:val="20"/>
    </w:rPr>
  </w:style>
  <w:style w:type="character" w:customStyle="1" w:styleId="45">
    <w:name w:val="日期 字符"/>
    <w:basedOn w:val="28"/>
    <w:semiHidden/>
    <w:qFormat/>
    <w:uiPriority w:val="0"/>
  </w:style>
  <w:style w:type="character" w:customStyle="1" w:styleId="46">
    <w:name w:val="日期 字符1"/>
    <w:link w:val="13"/>
    <w:qFormat/>
    <w:locked/>
    <w:uiPriority w:val="0"/>
    <w:rPr>
      <w:rFonts w:ascii="Times New Roman" w:hAnsi="Times New Roman" w:eastAsia="宋体" w:cs="Times New Roman"/>
      <w:kern w:val="0"/>
      <w:sz w:val="24"/>
      <w:szCs w:val="20"/>
    </w:rPr>
  </w:style>
  <w:style w:type="character" w:customStyle="1" w:styleId="47">
    <w:name w:val="正文文本缩进 2 字符"/>
    <w:basedOn w:val="28"/>
    <w:link w:val="14"/>
    <w:qFormat/>
    <w:uiPriority w:val="0"/>
    <w:rPr>
      <w:rFonts w:ascii="Times New Roman" w:hAnsi="Times New Roman" w:eastAsia="宋体" w:cs="Times New Roman"/>
      <w:szCs w:val="24"/>
    </w:rPr>
  </w:style>
  <w:style w:type="character" w:customStyle="1" w:styleId="48">
    <w:name w:val="批注框文本 字符"/>
    <w:basedOn w:val="28"/>
    <w:link w:val="15"/>
    <w:semiHidden/>
    <w:qFormat/>
    <w:uiPriority w:val="0"/>
    <w:rPr>
      <w:rFonts w:ascii="Times New Roman" w:hAnsi="Times New Roman" w:eastAsia="宋体" w:cs="Times New Roman"/>
      <w:kern w:val="0"/>
      <w:sz w:val="18"/>
      <w:szCs w:val="20"/>
    </w:rPr>
  </w:style>
  <w:style w:type="character" w:customStyle="1" w:styleId="49">
    <w:name w:val="页脚 字符1"/>
    <w:qFormat/>
    <w:locked/>
    <w:uiPriority w:val="99"/>
    <w:rPr>
      <w:sz w:val="18"/>
    </w:rPr>
  </w:style>
  <w:style w:type="character" w:customStyle="1" w:styleId="50">
    <w:name w:val="正文文本缩进 3 字符"/>
    <w:basedOn w:val="28"/>
    <w:link w:val="20"/>
    <w:qFormat/>
    <w:uiPriority w:val="0"/>
    <w:rPr>
      <w:rFonts w:ascii="Times New Roman" w:hAnsi="Times New Roman" w:eastAsia="宋体" w:cs="Times New Roman"/>
      <w:sz w:val="16"/>
      <w:szCs w:val="16"/>
    </w:rPr>
  </w:style>
  <w:style w:type="character" w:customStyle="1" w:styleId="51">
    <w:name w:val="正文文本 2 字符"/>
    <w:basedOn w:val="28"/>
    <w:link w:val="21"/>
    <w:qFormat/>
    <w:uiPriority w:val="0"/>
    <w:rPr>
      <w:rFonts w:ascii="Times New Roman" w:hAnsi="Times New Roman" w:eastAsia="宋体" w:cs="Times New Roman"/>
      <w:b/>
      <w:bCs/>
      <w:sz w:val="28"/>
      <w:szCs w:val="24"/>
    </w:rPr>
  </w:style>
  <w:style w:type="character" w:customStyle="1" w:styleId="52">
    <w:name w:val="普通(网站) 字符"/>
    <w:link w:val="22"/>
    <w:qFormat/>
    <w:locked/>
    <w:uiPriority w:val="0"/>
    <w:rPr>
      <w:rFonts w:ascii="宋体" w:hAnsi="宋体" w:eastAsia="宋体" w:cs="Times New Roman"/>
      <w:kern w:val="0"/>
      <w:sz w:val="24"/>
      <w:szCs w:val="20"/>
    </w:rPr>
  </w:style>
  <w:style w:type="character" w:customStyle="1" w:styleId="53">
    <w:name w:val="批注主题 字符"/>
    <w:basedOn w:val="41"/>
    <w:link w:val="23"/>
    <w:semiHidden/>
    <w:qFormat/>
    <w:uiPriority w:val="0"/>
    <w:rPr>
      <w:rFonts w:ascii="Times New Roman" w:hAnsi="Times New Roman" w:eastAsia="宋体" w:cs="Times New Roman"/>
      <w:b/>
      <w:kern w:val="0"/>
      <w:sz w:val="24"/>
      <w:szCs w:val="20"/>
    </w:rPr>
  </w:style>
  <w:style w:type="character" w:customStyle="1" w:styleId="54">
    <w:name w:val="正文文本首行缩进 字符"/>
    <w:basedOn w:val="42"/>
    <w:link w:val="24"/>
    <w:qFormat/>
    <w:uiPriority w:val="0"/>
    <w:rPr>
      <w:rFonts w:ascii="Times New Roman" w:hAnsi="Times New Roman" w:eastAsia="宋体" w:cs="Times New Roman"/>
      <w:kern w:val="0"/>
      <w:sz w:val="18"/>
      <w:szCs w:val="20"/>
    </w:rPr>
  </w:style>
  <w:style w:type="character" w:customStyle="1" w:styleId="55">
    <w:name w:val="正文文本首行缩进 2 字符"/>
    <w:basedOn w:val="43"/>
    <w:link w:val="25"/>
    <w:qFormat/>
    <w:uiPriority w:val="0"/>
    <w:rPr>
      <w:rFonts w:ascii="Times New Roman" w:hAnsi="Times New Roman" w:eastAsia="宋体" w:cs="Times New Roman"/>
      <w:kern w:val="0"/>
      <w:sz w:val="24"/>
      <w:szCs w:val="24"/>
    </w:rPr>
  </w:style>
  <w:style w:type="character" w:customStyle="1" w:styleId="56">
    <w:name w:val="正文文本 字符1"/>
    <w:semiHidden/>
    <w:qFormat/>
    <w:uiPriority w:val="0"/>
    <w:rPr>
      <w:rFonts w:ascii="Times New Roman" w:hAnsi="Times New Roman" w:eastAsia="宋体"/>
      <w:sz w:val="24"/>
    </w:rPr>
  </w:style>
  <w:style w:type="character" w:customStyle="1" w:styleId="57">
    <w:name w:val="表格 Char"/>
    <w:link w:val="58"/>
    <w:qFormat/>
    <w:locked/>
    <w:uiPriority w:val="0"/>
    <w:rPr>
      <w:rFonts w:ascii="宋体"/>
    </w:rPr>
  </w:style>
  <w:style w:type="paragraph" w:customStyle="1" w:styleId="58">
    <w:name w:val="表格"/>
    <w:basedOn w:val="1"/>
    <w:next w:val="1"/>
    <w:link w:val="57"/>
    <w:qFormat/>
    <w:uiPriority w:val="0"/>
    <w:pPr>
      <w:adjustRightInd w:val="0"/>
      <w:snapToGrid w:val="0"/>
      <w:spacing w:beforeLines="10" w:afterLines="10" w:line="259" w:lineRule="auto"/>
      <w:jc w:val="center"/>
    </w:pPr>
    <w:rPr>
      <w:rFonts w:ascii="宋体"/>
    </w:rPr>
  </w:style>
  <w:style w:type="character" w:customStyle="1" w:styleId="59">
    <w:name w:val="正文缩进 Char"/>
    <w:qFormat/>
    <w:locked/>
    <w:uiPriority w:val="0"/>
    <w:rPr>
      <w:szCs w:val="24"/>
    </w:rPr>
  </w:style>
  <w:style w:type="character" w:customStyle="1" w:styleId="60">
    <w:name w:val="纯文本 Char1"/>
    <w:qFormat/>
    <w:uiPriority w:val="0"/>
    <w:rPr>
      <w:rFonts w:ascii="宋体" w:hAnsi="Courier New" w:cs="Courier New"/>
      <w:kern w:val="2"/>
      <w:sz w:val="21"/>
      <w:szCs w:val="21"/>
    </w:rPr>
  </w:style>
  <w:style w:type="character" w:customStyle="1" w:styleId="61">
    <w:name w:val="纯文本 Char3"/>
    <w:qFormat/>
    <w:uiPriority w:val="0"/>
    <w:rPr>
      <w:rFonts w:ascii="宋体" w:hAnsi="Courier New" w:cs="Courier New"/>
      <w:kern w:val="2"/>
      <w:sz w:val="21"/>
      <w:szCs w:val="21"/>
    </w:rPr>
  </w:style>
  <w:style w:type="character" w:customStyle="1" w:styleId="62">
    <w:name w:val="批注文字 字符1"/>
    <w:semiHidden/>
    <w:qFormat/>
    <w:uiPriority w:val="0"/>
    <w:rPr>
      <w:rFonts w:ascii="Times New Roman" w:hAnsi="Times New Roman" w:eastAsia="宋体"/>
      <w:sz w:val="24"/>
    </w:rPr>
  </w:style>
  <w:style w:type="paragraph" w:customStyle="1" w:styleId="63">
    <w:name w:val="表文字"/>
    <w:qFormat/>
    <w:uiPriority w:val="0"/>
    <w:pPr>
      <w:spacing w:line="300" w:lineRule="exact"/>
    </w:pPr>
    <w:rPr>
      <w:rFonts w:ascii="Times New Roman" w:hAnsi="Times New Roman" w:eastAsia="宋体" w:cs="Times New Roman"/>
      <w:sz w:val="21"/>
      <w:szCs w:val="21"/>
      <w:lang w:val="en-US" w:eastAsia="zh-CN" w:bidi="ar-SA"/>
    </w:rPr>
  </w:style>
  <w:style w:type="paragraph" w:customStyle="1" w:styleId="6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65">
    <w:name w:val="List Paragraph"/>
    <w:basedOn w:val="1"/>
    <w:qFormat/>
    <w:uiPriority w:val="0"/>
    <w:pPr>
      <w:ind w:firstLine="420" w:firstLineChars="200"/>
    </w:pPr>
    <w:rPr>
      <w:rFonts w:ascii="Calibri" w:hAnsi="Calibri" w:eastAsia="宋体" w:cs="Times New Roman"/>
    </w:rPr>
  </w:style>
  <w:style w:type="paragraph" w:customStyle="1" w:styleId="66">
    <w:name w:val="列表段落1"/>
    <w:basedOn w:val="1"/>
    <w:qFormat/>
    <w:uiPriority w:val="0"/>
    <w:pPr>
      <w:ind w:firstLine="420" w:firstLineChars="200"/>
    </w:pPr>
    <w:rPr>
      <w:rFonts w:ascii="华文中宋" w:hAnsi="Times New Roman" w:eastAsia="华文中宋" w:cs="Times New Roman"/>
      <w:szCs w:val="24"/>
    </w:rPr>
  </w:style>
  <w:style w:type="paragraph" w:customStyle="1" w:styleId="67">
    <w:name w:val="样式2"/>
    <w:basedOn w:val="1"/>
    <w:qFormat/>
    <w:uiPriority w:val="0"/>
    <w:pPr>
      <w:spacing w:line="400" w:lineRule="exact"/>
      <w:ind w:firstLine="200" w:firstLineChars="200"/>
    </w:pPr>
    <w:rPr>
      <w:rFonts w:ascii="Calibri" w:hAnsi="Calibri" w:eastAsia="宋体" w:cs="Calibri"/>
      <w:sz w:val="24"/>
      <w:szCs w:val="24"/>
    </w:rPr>
  </w:style>
  <w:style w:type="paragraph" w:customStyle="1" w:styleId="68">
    <w:name w:val="Table Paragraph"/>
    <w:basedOn w:val="1"/>
    <w:qFormat/>
    <w:uiPriority w:val="1"/>
    <w:pPr>
      <w:autoSpaceDE w:val="0"/>
      <w:autoSpaceDN w:val="0"/>
      <w:spacing w:before="169"/>
      <w:ind w:left="37"/>
      <w:jc w:val="left"/>
    </w:pPr>
    <w:rPr>
      <w:rFonts w:ascii="宋体" w:hAnsi="宋体" w:eastAsia="宋体" w:cs="宋体"/>
      <w:kern w:val="0"/>
      <w:sz w:val="22"/>
      <w:lang w:val="zh-CN" w:bidi="zh-CN"/>
    </w:rPr>
  </w:style>
  <w:style w:type="paragraph" w:customStyle="1" w:styleId="69">
    <w:name w:val="26磅正文"/>
    <w:basedOn w:val="1"/>
    <w:qFormat/>
    <w:uiPriority w:val="0"/>
    <w:pPr>
      <w:spacing w:line="520" w:lineRule="exact"/>
      <w:ind w:firstLine="480"/>
    </w:pPr>
    <w:rPr>
      <w:rFonts w:hint="eastAsia" w:ascii="宋体" w:hAnsi="宋体" w:eastAsia="宋体" w:cs="Times New Roman"/>
      <w:color w:val="000000"/>
      <w:szCs w:val="24"/>
    </w:rPr>
  </w:style>
  <w:style w:type="paragraph" w:customStyle="1" w:styleId="70">
    <w:name w:val="样式 表中文字 + 两端对齐"/>
    <w:basedOn w:val="1"/>
    <w:qFormat/>
    <w:uiPriority w:val="0"/>
    <w:pPr>
      <w:spacing w:line="260" w:lineRule="exact"/>
      <w:jc w:val="center"/>
    </w:pPr>
    <w:rPr>
      <w:rFonts w:ascii="宋体" w:hAnsi="宋体" w:eastAsia="宋体" w:cs="Times New Roman"/>
      <w:sz w:val="18"/>
      <w:szCs w:val="18"/>
    </w:rPr>
  </w:style>
  <w:style w:type="paragraph" w:customStyle="1" w:styleId="71">
    <w:name w:val="正文1"/>
    <w:basedOn w:val="1"/>
    <w:qFormat/>
    <w:uiPriority w:val="0"/>
    <w:pPr>
      <w:spacing w:line="560" w:lineRule="exact"/>
      <w:ind w:firstLine="200" w:firstLineChars="200"/>
    </w:pPr>
    <w:rPr>
      <w:rFonts w:ascii="宋体" w:hAnsi="宋体" w:eastAsia="华文中宋" w:cs="宋体"/>
      <w:sz w:val="28"/>
      <w:szCs w:val="28"/>
    </w:rPr>
  </w:style>
  <w:style w:type="paragraph" w:customStyle="1" w:styleId="72">
    <w:name w:val="Char"/>
    <w:basedOn w:val="1"/>
    <w:qFormat/>
    <w:uiPriority w:val="0"/>
    <w:rPr>
      <w:rFonts w:ascii="Times New Roman" w:hAnsi="Times New Roman" w:eastAsia="宋体" w:cs="Times New Roman"/>
      <w:szCs w:val="24"/>
    </w:rPr>
  </w:style>
  <w:style w:type="paragraph" w:customStyle="1" w:styleId="73">
    <w:name w:val="普通(网站)2"/>
    <w:basedOn w:val="1"/>
    <w:qFormat/>
    <w:uiPriority w:val="0"/>
    <w:pPr>
      <w:widowControl/>
      <w:spacing w:before="100" w:beforeAutospacing="1" w:after="100" w:afterAutospacing="1"/>
      <w:jc w:val="left"/>
    </w:pPr>
    <w:rPr>
      <w:rFonts w:ascii="宋体" w:hAnsi="宋体" w:eastAsia="宋体" w:cs="Times New Roman"/>
      <w:sz w:val="24"/>
      <w:szCs w:val="20"/>
    </w:rPr>
  </w:style>
  <w:style w:type="paragraph" w:customStyle="1" w:styleId="74">
    <w:name w:val="Char Char Char Char1"/>
    <w:basedOn w:val="1"/>
    <w:qFormat/>
    <w:uiPriority w:val="0"/>
    <w:rPr>
      <w:rFonts w:ascii="Times New Roman" w:hAnsi="Times New Roman" w:eastAsia="宋体" w:cs="Times New Roman"/>
      <w:szCs w:val="24"/>
    </w:rPr>
  </w:style>
  <w:style w:type="paragraph" w:customStyle="1" w:styleId="75">
    <w:name w:val="图表标题"/>
    <w:qFormat/>
    <w:uiPriority w:val="99"/>
    <w:pPr>
      <w:snapToGrid w:val="0"/>
      <w:spacing w:beforeLines="30" w:afterLines="30" w:line="400" w:lineRule="exact"/>
      <w:jc w:val="center"/>
    </w:pPr>
    <w:rPr>
      <w:rFonts w:ascii="黑体" w:hAnsi="Times New Roman" w:eastAsia="黑体" w:cs="Times New Roman"/>
      <w:bCs/>
      <w:color w:val="000000"/>
      <w:kern w:val="2"/>
      <w:sz w:val="24"/>
      <w:szCs w:val="24"/>
      <w:lang w:val="en-US" w:eastAsia="zh-CN" w:bidi="ar-SA"/>
    </w:rPr>
  </w:style>
  <w:style w:type="paragraph" w:customStyle="1" w:styleId="76">
    <w:name w:val="h 表内文"/>
    <w:basedOn w:val="1"/>
    <w:qFormat/>
    <w:uiPriority w:val="0"/>
    <w:pPr>
      <w:tabs>
        <w:tab w:val="left" w:pos="2760"/>
      </w:tabs>
      <w:jc w:val="center"/>
      <w:textAlignment w:val="center"/>
    </w:pPr>
    <w:rPr>
      <w:rFonts w:ascii="华文中宋" w:hAnsi="Times New Roman" w:eastAsia="华文中宋" w:cs="Times New Roman"/>
      <w:snapToGrid w:val="0"/>
      <w:kern w:val="0"/>
      <w:szCs w:val="24"/>
    </w:rPr>
  </w:style>
  <w:style w:type="paragraph" w:customStyle="1" w:styleId="77">
    <w:name w:val="Char1"/>
    <w:basedOn w:val="1"/>
    <w:qFormat/>
    <w:uiPriority w:val="0"/>
    <w:rPr>
      <w:rFonts w:ascii="Times New Roman" w:hAnsi="Times New Roman" w:eastAsia="宋体" w:cs="Times New Roman"/>
      <w:sz w:val="24"/>
      <w:szCs w:val="24"/>
    </w:rPr>
  </w:style>
  <w:style w:type="paragraph" w:customStyle="1" w:styleId="78">
    <w:name w:val="表格文字"/>
    <w:basedOn w:val="6"/>
    <w:next w:val="1"/>
    <w:qFormat/>
    <w:uiPriority w:val="0"/>
    <w:pPr>
      <w:spacing w:line="240" w:lineRule="atLeast"/>
      <w:jc w:val="center"/>
    </w:pPr>
    <w:rPr>
      <w:b/>
      <w:color w:val="FF0000"/>
      <w:szCs w:val="21"/>
    </w:rPr>
  </w:style>
  <w:style w:type="paragraph" w:customStyle="1" w:styleId="79">
    <w:name w:val="Char Char3 Char Char Char Char"/>
    <w:basedOn w:val="1"/>
    <w:qFormat/>
    <w:uiPriority w:val="0"/>
    <w:rPr>
      <w:rFonts w:ascii="Times New Roman" w:hAnsi="Times New Roman" w:eastAsia="宋体" w:cs="Times New Roman"/>
      <w:szCs w:val="24"/>
    </w:rPr>
  </w:style>
  <w:style w:type="paragraph" w:customStyle="1" w:styleId="80">
    <w:name w:val="f 表标题"/>
    <w:basedOn w:val="1"/>
    <w:next w:val="1"/>
    <w:qFormat/>
    <w:uiPriority w:val="0"/>
    <w:pPr>
      <w:tabs>
        <w:tab w:val="left" w:pos="2760"/>
      </w:tabs>
      <w:jc w:val="center"/>
    </w:pPr>
    <w:rPr>
      <w:rFonts w:ascii="华文中宋" w:hAnsi="Times New Roman" w:eastAsia="华文中宋" w:cs="Times New Roman"/>
      <w:b/>
      <w:szCs w:val="24"/>
    </w:rPr>
  </w:style>
  <w:style w:type="paragraph" w:customStyle="1" w:styleId="81">
    <w:name w:val="表格文字 单倍"/>
    <w:basedOn w:val="1"/>
    <w:qFormat/>
    <w:uiPriority w:val="0"/>
    <w:pPr>
      <w:spacing w:line="280" w:lineRule="exact"/>
      <w:jc w:val="center"/>
    </w:pPr>
    <w:rPr>
      <w:rFonts w:ascii="宋体" w:hAnsi="宋体" w:eastAsia="等线" w:cs="Times New Roman"/>
      <w:bCs/>
      <w:color w:val="000000"/>
      <w:szCs w:val="21"/>
    </w:rPr>
  </w:style>
  <w:style w:type="paragraph" w:styleId="82">
    <w:name w:val="No Spacing"/>
    <w:basedOn w:val="1"/>
    <w:qFormat/>
    <w:uiPriority w:val="1"/>
    <w:pPr>
      <w:adjustRightInd w:val="0"/>
      <w:snapToGrid w:val="0"/>
      <w:ind w:firstLine="200" w:firstLineChars="200"/>
    </w:pPr>
    <w:rPr>
      <w:rFonts w:ascii="Times New Roman" w:hAnsi="Times New Roman" w:eastAsia="宋体" w:cs="Times New Roman"/>
      <w:szCs w:val="21"/>
    </w:rPr>
  </w:style>
  <w:style w:type="paragraph" w:customStyle="1" w:styleId="83">
    <w:name w:val="表格内文字"/>
    <w:basedOn w:val="1"/>
    <w:qFormat/>
    <w:uiPriority w:val="0"/>
    <w:pPr>
      <w:adjustRightInd w:val="0"/>
      <w:snapToGrid w:val="0"/>
      <w:spacing w:line="360" w:lineRule="exact"/>
      <w:jc w:val="center"/>
    </w:pPr>
    <w:rPr>
      <w:rFonts w:ascii="Times New Roman" w:hAnsi="Times New Roman" w:eastAsia="宋体" w:cs="Times New Roman"/>
      <w:szCs w:val="21"/>
    </w:rPr>
  </w:style>
  <w:style w:type="paragraph" w:customStyle="1" w:styleId="84">
    <w:name w:val="标准"/>
    <w:qFormat/>
    <w:uiPriority w:val="0"/>
    <w:pPr>
      <w:widowControl w:val="0"/>
      <w:snapToGrid w:val="0"/>
      <w:spacing w:line="240" w:lineRule="atLeast"/>
      <w:jc w:val="both"/>
    </w:pPr>
    <w:rPr>
      <w:rFonts w:ascii="Calibri" w:hAnsi="Calibri" w:eastAsia="宋体" w:cs="Times New Roman"/>
      <w:kern w:val="22"/>
      <w:sz w:val="21"/>
      <w:lang w:val="en-US" w:eastAsia="zh-CN" w:bidi="ar-SA"/>
    </w:rPr>
  </w:style>
  <w:style w:type="character" w:customStyle="1" w:styleId="85">
    <w:name w:val="Other|1_"/>
    <w:link w:val="86"/>
    <w:qFormat/>
    <w:uiPriority w:val="0"/>
    <w:rPr>
      <w:rFonts w:ascii="宋体" w:hAnsi="宋体" w:cs="宋体"/>
      <w:sz w:val="28"/>
      <w:szCs w:val="28"/>
      <w:lang w:val="zh-TW" w:eastAsia="zh-TW" w:bidi="zh-TW"/>
    </w:rPr>
  </w:style>
  <w:style w:type="paragraph" w:customStyle="1" w:styleId="86">
    <w:name w:val="Other|1"/>
    <w:basedOn w:val="1"/>
    <w:link w:val="85"/>
    <w:qFormat/>
    <w:uiPriority w:val="0"/>
    <w:pPr>
      <w:jc w:val="center"/>
    </w:pPr>
    <w:rPr>
      <w:rFonts w:ascii="宋体" w:hAnsi="宋体" w:cs="宋体"/>
      <w:sz w:val="28"/>
      <w:szCs w:val="28"/>
      <w:lang w:val="zh-TW" w:eastAsia="zh-TW" w:bidi="zh-TW"/>
    </w:rPr>
  </w:style>
  <w:style w:type="paragraph" w:customStyle="1" w:styleId="87">
    <w:name w:val="TOC 标题1"/>
    <w:basedOn w:val="5"/>
    <w:next w:val="1"/>
    <w:unhideWhenUsed/>
    <w:qFormat/>
    <w:uiPriority w:val="39"/>
    <w:pPr>
      <w:keepLines/>
      <w:widowControl/>
      <w:overflowPunct/>
      <w:snapToGrid/>
      <w:spacing w:before="240" w:after="0"/>
      <w:ind w:left="0" w:firstLine="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88">
    <w:name w:val="B3"/>
    <w:basedOn w:val="1"/>
    <w:qFormat/>
    <w:uiPriority w:val="0"/>
    <w:pPr>
      <w:spacing w:line="640" w:lineRule="exact"/>
      <w:ind w:firstLine="562" w:firstLineChars="200"/>
    </w:pPr>
    <w:rPr>
      <w:rFonts w:ascii="仿宋_GB2312" w:hAnsi="黑体" w:eastAsia="仿宋_GB2312"/>
      <w:b/>
      <w:sz w:val="28"/>
      <w:szCs w:val="20"/>
    </w:rPr>
  </w:style>
  <w:style w:type="paragraph" w:customStyle="1" w:styleId="89">
    <w:name w:val="样式 正文文本缩进 + 行距: 1.5 倍行距"/>
    <w:basedOn w:val="1"/>
    <w:qFormat/>
    <w:uiPriority w:val="0"/>
    <w:pPr>
      <w:spacing w:after="120" w:line="360" w:lineRule="auto"/>
      <w:ind w:left="90" w:leftChars="32" w:firstLine="560" w:firstLineChars="200"/>
    </w:pPr>
    <w:rPr>
      <w:rFonts w:cs="宋体"/>
      <w:sz w:val="24"/>
    </w:rPr>
  </w:style>
  <w:style w:type="table" w:customStyle="1" w:styleId="90">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91">
    <w:name w:val="正文文本缩进 32"/>
    <w:basedOn w:val="1"/>
    <w:qFormat/>
    <w:uiPriority w:val="0"/>
    <w:pPr>
      <w:spacing w:line="500" w:lineRule="exact"/>
      <w:ind w:firstLine="560"/>
    </w:pPr>
    <w:rPr>
      <w:rFonts w:ascii="楷体_GB2312" w:eastAsia="楷体_GB2312"/>
      <w:sz w:val="28"/>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customXml" Target="../customXml/item1.xml"/><Relationship Id="rId90" Type="http://schemas.openxmlformats.org/officeDocument/2006/relationships/image" Target="media/image71.png"/><Relationship Id="rId9" Type="http://schemas.openxmlformats.org/officeDocument/2006/relationships/footer" Target="footer7.xml"/><Relationship Id="rId89" Type="http://schemas.openxmlformats.org/officeDocument/2006/relationships/image" Target="media/image70.png"/><Relationship Id="rId88" Type="http://schemas.openxmlformats.org/officeDocument/2006/relationships/image" Target="media/image69.jpeg"/><Relationship Id="rId87" Type="http://schemas.openxmlformats.org/officeDocument/2006/relationships/image" Target="media/image68.jpeg"/><Relationship Id="rId86" Type="http://schemas.openxmlformats.org/officeDocument/2006/relationships/image" Target="media/image67.jpeg"/><Relationship Id="rId85" Type="http://schemas.openxmlformats.org/officeDocument/2006/relationships/image" Target="media/image66.jpeg"/><Relationship Id="rId84" Type="http://schemas.openxmlformats.org/officeDocument/2006/relationships/image" Target="media/image65.jpeg"/><Relationship Id="rId83" Type="http://schemas.openxmlformats.org/officeDocument/2006/relationships/image" Target="media/image64.jpeg"/><Relationship Id="rId82" Type="http://schemas.openxmlformats.org/officeDocument/2006/relationships/image" Target="media/image63.jpeg"/><Relationship Id="rId81" Type="http://schemas.openxmlformats.org/officeDocument/2006/relationships/image" Target="media/image62.png"/><Relationship Id="rId80" Type="http://schemas.openxmlformats.org/officeDocument/2006/relationships/image" Target="media/image61.jpeg"/><Relationship Id="rId8" Type="http://schemas.openxmlformats.org/officeDocument/2006/relationships/footer" Target="footer6.xml"/><Relationship Id="rId79" Type="http://schemas.openxmlformats.org/officeDocument/2006/relationships/image" Target="media/image60.jpeg"/><Relationship Id="rId78" Type="http://schemas.openxmlformats.org/officeDocument/2006/relationships/image" Target="media/image59.jpeg"/><Relationship Id="rId77" Type="http://schemas.openxmlformats.org/officeDocument/2006/relationships/image" Target="media/image58.png"/><Relationship Id="rId76" Type="http://schemas.openxmlformats.org/officeDocument/2006/relationships/image" Target="media/image57.jpeg"/><Relationship Id="rId75" Type="http://schemas.openxmlformats.org/officeDocument/2006/relationships/image" Target="media/image56.jpeg"/><Relationship Id="rId74" Type="http://schemas.openxmlformats.org/officeDocument/2006/relationships/image" Target="media/image55.jpeg"/><Relationship Id="rId73" Type="http://schemas.openxmlformats.org/officeDocument/2006/relationships/image" Target="media/image54.jpeg"/><Relationship Id="rId72" Type="http://schemas.openxmlformats.org/officeDocument/2006/relationships/image" Target="media/image53.jpeg"/><Relationship Id="rId71" Type="http://schemas.openxmlformats.org/officeDocument/2006/relationships/image" Target="media/image52.jpeg"/><Relationship Id="rId70" Type="http://schemas.openxmlformats.org/officeDocument/2006/relationships/image" Target="media/image51.jpeg"/><Relationship Id="rId7" Type="http://schemas.openxmlformats.org/officeDocument/2006/relationships/footer" Target="footer5.xml"/><Relationship Id="rId69" Type="http://schemas.openxmlformats.org/officeDocument/2006/relationships/image" Target="media/image50.jpeg"/><Relationship Id="rId68" Type="http://schemas.openxmlformats.org/officeDocument/2006/relationships/image" Target="media/image49.jpeg"/><Relationship Id="rId67" Type="http://schemas.openxmlformats.org/officeDocument/2006/relationships/image" Target="media/image48.jpeg"/><Relationship Id="rId66" Type="http://schemas.openxmlformats.org/officeDocument/2006/relationships/image" Target="media/image47.jpeg"/><Relationship Id="rId65" Type="http://schemas.openxmlformats.org/officeDocument/2006/relationships/image" Target="media/image46.jpeg"/><Relationship Id="rId64" Type="http://schemas.openxmlformats.org/officeDocument/2006/relationships/image" Target="media/image45.jpeg"/><Relationship Id="rId63" Type="http://schemas.openxmlformats.org/officeDocument/2006/relationships/image" Target="media/image44.jpeg"/><Relationship Id="rId62" Type="http://schemas.openxmlformats.org/officeDocument/2006/relationships/image" Target="media/image43.jpeg"/><Relationship Id="rId61" Type="http://schemas.openxmlformats.org/officeDocument/2006/relationships/image" Target="media/image42.jpeg"/><Relationship Id="rId60" Type="http://schemas.openxmlformats.org/officeDocument/2006/relationships/image" Target="media/image41.jpeg"/><Relationship Id="rId6" Type="http://schemas.openxmlformats.org/officeDocument/2006/relationships/footer" Target="footer4.xml"/><Relationship Id="rId59" Type="http://schemas.openxmlformats.org/officeDocument/2006/relationships/image" Target="media/image40.jpeg"/><Relationship Id="rId58" Type="http://schemas.openxmlformats.org/officeDocument/2006/relationships/image" Target="media/image39.jpeg"/><Relationship Id="rId57" Type="http://schemas.openxmlformats.org/officeDocument/2006/relationships/image" Target="media/image38.jpeg"/><Relationship Id="rId56" Type="http://schemas.openxmlformats.org/officeDocument/2006/relationships/image" Target="media/image37.jpeg"/><Relationship Id="rId55" Type="http://schemas.openxmlformats.org/officeDocument/2006/relationships/image" Target="media/image36.jpeg"/><Relationship Id="rId54" Type="http://schemas.openxmlformats.org/officeDocument/2006/relationships/image" Target="media/image35.jpeg"/><Relationship Id="rId53" Type="http://schemas.openxmlformats.org/officeDocument/2006/relationships/image" Target="media/image34.jpeg"/><Relationship Id="rId52" Type="http://schemas.openxmlformats.org/officeDocument/2006/relationships/image" Target="media/image33.jpeg"/><Relationship Id="rId51" Type="http://schemas.openxmlformats.org/officeDocument/2006/relationships/image" Target="media/image32.jpeg"/><Relationship Id="rId50" Type="http://schemas.openxmlformats.org/officeDocument/2006/relationships/image" Target="media/image31.jpeg"/><Relationship Id="rId5" Type="http://schemas.openxmlformats.org/officeDocument/2006/relationships/footer" Target="footer3.xml"/><Relationship Id="rId49" Type="http://schemas.openxmlformats.org/officeDocument/2006/relationships/image" Target="media/image30.jpeg"/><Relationship Id="rId48" Type="http://schemas.openxmlformats.org/officeDocument/2006/relationships/image" Target="media/image29.jpeg"/><Relationship Id="rId47" Type="http://schemas.openxmlformats.org/officeDocument/2006/relationships/image" Target="media/image28.jpeg"/><Relationship Id="rId46" Type="http://schemas.openxmlformats.org/officeDocument/2006/relationships/image" Target="media/image27.jpeg"/><Relationship Id="rId45" Type="http://schemas.openxmlformats.org/officeDocument/2006/relationships/image" Target="media/image26.jpeg"/><Relationship Id="rId44" Type="http://schemas.openxmlformats.org/officeDocument/2006/relationships/image" Target="media/image25.jpeg"/><Relationship Id="rId43" Type="http://schemas.openxmlformats.org/officeDocument/2006/relationships/image" Target="media/image24.jpeg"/><Relationship Id="rId42" Type="http://schemas.openxmlformats.org/officeDocument/2006/relationships/image" Target="media/image23.jpe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footer" Target="foot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image" Target="media/image14.wmf"/><Relationship Id="rId32" Type="http://schemas.openxmlformats.org/officeDocument/2006/relationships/oleObject" Target="embeddings/oleObject3.bin"/><Relationship Id="rId31" Type="http://schemas.openxmlformats.org/officeDocument/2006/relationships/image" Target="media/image13.wmf"/><Relationship Id="rId30" Type="http://schemas.openxmlformats.org/officeDocument/2006/relationships/oleObject" Target="embeddings/oleObject2.bin"/><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emf"/><Relationship Id="rId27" Type="http://schemas.openxmlformats.org/officeDocument/2006/relationships/oleObject" Target="embeddings/oleObject1.bin"/><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jpeg"/><Relationship Id="rId23" Type="http://schemas.openxmlformats.org/officeDocument/2006/relationships/image" Target="media/image7.jpeg"/><Relationship Id="rId22" Type="http://schemas.openxmlformats.org/officeDocument/2006/relationships/image" Target="media/image6.jpeg"/><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158"/>
    <customShpInfo spid="_x0000_s1163"/>
    <customShpInfo spid="_x0000_s116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B4F6C5-36CA-4C84-BFE7-2E46E55BC24D}">
  <ds:schemaRefs/>
</ds:datastoreItem>
</file>

<file path=docProps/app.xml><?xml version="1.0" encoding="utf-8"?>
<Properties xmlns="http://schemas.openxmlformats.org/officeDocument/2006/extended-properties" xmlns:vt="http://schemas.openxmlformats.org/officeDocument/2006/docPropsVTypes">
  <Template>Normal</Template>
  <Pages>144</Pages>
  <Words>48045</Words>
  <Characters>57563</Characters>
  <Lines>270</Lines>
  <Paragraphs>76</Paragraphs>
  <TotalTime>4</TotalTime>
  <ScaleCrop>false</ScaleCrop>
  <LinksUpToDate>false</LinksUpToDate>
  <CharactersWithSpaces>58027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2022-04-14T16:26:00Z</dcterms:created>
  <dc:creator>2</dc:creator>
  <cp:lastModifiedBy>℡时间，你好！</cp:lastModifiedBy>
  <cp:lastPrinted>2022-04-23T19:26:00Z</cp:lastPrinted>
  <dcterms:modified xsi:type="dcterms:W3CDTF">2023-03-30T07:20:45Z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BF104C80408F4541AB3675E8432A7628</vt:lpwstr>
  </property>
</Properties>
</file>