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E133D1">
      <w:pPr>
        <w:spacing w:before="142" w:line="196" w:lineRule="auto"/>
        <w:ind w:left="4295"/>
        <w:rPr>
          <w:rFonts w:ascii="Times New Roman" w:hAnsi="Times New Roman" w:eastAsia="Times New Roman" w:cs="Times New Roman"/>
          <w:color w:val="auto"/>
          <w:sz w:val="95"/>
          <w:szCs w:val="95"/>
        </w:rPr>
      </w:pPr>
      <w:r>
        <w:rPr>
          <w:rFonts w:ascii="Times New Roman" w:hAnsi="Times New Roman" w:eastAsia="Times New Roman" w:cs="Times New Roman"/>
          <w:color w:val="auto"/>
          <w:position w:val="2"/>
          <w:sz w:val="95"/>
          <w:szCs w:val="95"/>
        </w:rPr>
        <w:drawing>
          <wp:inline distT="0" distB="0" distL="0" distR="0">
            <wp:extent cx="589280" cy="435610"/>
            <wp:effectExtent l="0" t="0" r="1270" b="254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21"/>
                    <a:stretch>
                      <a:fillRect/>
                    </a:stretch>
                  </pic:blipFill>
                  <pic:spPr>
                    <a:xfrm>
                      <a:off x="0" y="0"/>
                      <a:ext cx="589788" cy="435864"/>
                    </a:xfrm>
                    <a:prstGeom prst="rect">
                      <a:avLst/>
                    </a:prstGeom>
                  </pic:spPr>
                </pic:pic>
              </a:graphicData>
            </a:graphic>
          </wp:inline>
        </w:drawing>
      </w:r>
      <w:r>
        <w:rPr>
          <w:rFonts w:ascii="Times New Roman" w:hAnsi="Times New Roman" w:eastAsia="Times New Roman" w:cs="Times New Roman"/>
          <w:b/>
          <w:bCs/>
          <w:color w:val="auto"/>
          <w:spacing w:val="78"/>
          <w:w w:val="125"/>
          <w:sz w:val="95"/>
          <w:szCs w:val="95"/>
        </w:rPr>
        <w:t>DNNC</w:t>
      </w:r>
    </w:p>
    <w:p w14:paraId="6241D9CB">
      <w:pPr>
        <w:pStyle w:val="3"/>
        <w:spacing w:before="139" w:line="226" w:lineRule="auto"/>
        <w:jc w:val="distribute"/>
        <w:rPr>
          <w:color w:val="auto"/>
          <w:sz w:val="51"/>
          <w:szCs w:val="51"/>
        </w:rPr>
      </w:pPr>
      <w:r>
        <w:rPr>
          <w:color w:val="auto"/>
          <w:spacing w:val="-10"/>
          <w:sz w:val="51"/>
          <w:szCs w:val="51"/>
        </w:rPr>
        <w:t>大 宁 县 果 业 协 会 团 体 标 准</w:t>
      </w:r>
    </w:p>
    <w:p w14:paraId="07BA83D5">
      <w:pPr>
        <w:pStyle w:val="3"/>
        <w:spacing w:before="251" w:line="237" w:lineRule="auto"/>
        <w:ind w:left="7127"/>
        <w:rPr>
          <w:color w:val="auto"/>
        </w:rPr>
      </w:pPr>
      <w:r>
        <w:rPr>
          <w:color w:val="auto"/>
          <w:spacing w:val="-1"/>
        </w:rPr>
        <w:t>T/DNNC 00</w:t>
      </w:r>
      <w:r>
        <w:rPr>
          <w:rFonts w:hint="eastAsia"/>
          <w:color w:val="auto"/>
          <w:spacing w:val="-1"/>
          <w:lang w:val="en-US" w:eastAsia="zh-CN"/>
        </w:rPr>
        <w:t>3</w:t>
      </w:r>
      <w:r>
        <w:rPr>
          <w:color w:val="auto"/>
          <w:spacing w:val="-1"/>
        </w:rPr>
        <w:t>—2026</w:t>
      </w:r>
    </w:p>
    <w:p w14:paraId="1D2627D2">
      <w:pPr>
        <w:spacing w:line="246" w:lineRule="auto"/>
        <w:rPr>
          <w:rFonts w:ascii="Arial"/>
          <w:color w:val="auto"/>
          <w:sz w:val="21"/>
        </w:rPr>
      </w:pPr>
    </w:p>
    <w:p w14:paraId="7C0AB469">
      <w:pPr>
        <w:spacing w:line="246" w:lineRule="auto"/>
        <w:rPr>
          <w:rFonts w:ascii="Arial"/>
          <w:color w:val="auto"/>
          <w:sz w:val="21"/>
        </w:rPr>
      </w:pPr>
    </w:p>
    <w:p w14:paraId="41024253">
      <w:pPr>
        <w:spacing w:line="246" w:lineRule="auto"/>
        <w:rPr>
          <w:rFonts w:ascii="Arial"/>
          <w:color w:val="auto"/>
          <w:sz w:val="21"/>
        </w:rPr>
      </w:pPr>
      <w:r>
        <w:rPr>
          <w:color w:val="auto"/>
        </w:rPr>
        <w:drawing>
          <wp:anchor distT="0" distB="0" distL="0" distR="0" simplePos="0" relativeHeight="251659264" behindDoc="0" locked="0" layoutInCell="1" allowOverlap="1">
            <wp:simplePos x="0" y="0"/>
            <wp:positionH relativeFrom="column">
              <wp:posOffset>0</wp:posOffset>
            </wp:positionH>
            <wp:positionV relativeFrom="paragraph">
              <wp:posOffset>80010</wp:posOffset>
            </wp:positionV>
            <wp:extent cx="6120130" cy="9525"/>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22"/>
                    <a:stretch>
                      <a:fillRect/>
                    </a:stretch>
                  </pic:blipFill>
                  <pic:spPr>
                    <a:xfrm>
                      <a:off x="0" y="0"/>
                      <a:ext cx="6120129" cy="9525"/>
                    </a:xfrm>
                    <a:prstGeom prst="rect">
                      <a:avLst/>
                    </a:prstGeom>
                  </pic:spPr>
                </pic:pic>
              </a:graphicData>
            </a:graphic>
          </wp:anchor>
        </w:drawing>
      </w:r>
    </w:p>
    <w:p w14:paraId="33FC7DB7">
      <w:pPr>
        <w:spacing w:line="246" w:lineRule="auto"/>
        <w:rPr>
          <w:rFonts w:ascii="Arial"/>
          <w:color w:val="auto"/>
          <w:sz w:val="21"/>
        </w:rPr>
      </w:pPr>
    </w:p>
    <w:p w14:paraId="294A498B">
      <w:pPr>
        <w:spacing w:line="246" w:lineRule="auto"/>
        <w:rPr>
          <w:rFonts w:ascii="Arial"/>
          <w:color w:val="auto"/>
          <w:sz w:val="21"/>
        </w:rPr>
      </w:pPr>
    </w:p>
    <w:p w14:paraId="05E9A316">
      <w:pPr>
        <w:spacing w:line="246" w:lineRule="auto"/>
        <w:rPr>
          <w:rFonts w:ascii="Arial"/>
          <w:color w:val="auto"/>
          <w:sz w:val="21"/>
        </w:rPr>
      </w:pPr>
    </w:p>
    <w:p w14:paraId="43B42B2A">
      <w:pPr>
        <w:spacing w:line="246" w:lineRule="auto"/>
        <w:rPr>
          <w:rFonts w:ascii="Arial"/>
          <w:color w:val="auto"/>
          <w:sz w:val="21"/>
        </w:rPr>
      </w:pPr>
    </w:p>
    <w:p w14:paraId="7F866C5C">
      <w:pPr>
        <w:spacing w:line="246" w:lineRule="auto"/>
        <w:rPr>
          <w:rFonts w:ascii="Arial"/>
          <w:color w:val="auto"/>
          <w:sz w:val="21"/>
        </w:rPr>
      </w:pPr>
    </w:p>
    <w:p w14:paraId="4A1DC2A5">
      <w:pPr>
        <w:spacing w:line="246" w:lineRule="auto"/>
        <w:rPr>
          <w:rFonts w:ascii="Arial"/>
          <w:color w:val="auto"/>
          <w:sz w:val="21"/>
        </w:rPr>
      </w:pPr>
    </w:p>
    <w:p w14:paraId="2F3680B1">
      <w:pPr>
        <w:spacing w:line="247" w:lineRule="auto"/>
        <w:rPr>
          <w:rFonts w:ascii="Arial"/>
          <w:color w:val="auto"/>
          <w:sz w:val="21"/>
        </w:rPr>
      </w:pPr>
    </w:p>
    <w:p w14:paraId="0A10C019">
      <w:pPr>
        <w:spacing w:line="247" w:lineRule="auto"/>
        <w:rPr>
          <w:rFonts w:ascii="Arial"/>
          <w:color w:val="auto"/>
          <w:sz w:val="21"/>
        </w:rPr>
      </w:pPr>
    </w:p>
    <w:p w14:paraId="5B1244BA">
      <w:pPr>
        <w:pStyle w:val="3"/>
        <w:spacing w:before="169" w:line="221" w:lineRule="auto"/>
        <w:jc w:val="center"/>
        <w:rPr>
          <w:color w:val="auto"/>
          <w:sz w:val="52"/>
          <w:szCs w:val="52"/>
        </w:rPr>
      </w:pPr>
      <w:r>
        <w:rPr>
          <w:color w:val="auto"/>
          <w:spacing w:val="-2"/>
          <w:sz w:val="52"/>
          <w:szCs w:val="52"/>
        </w:rPr>
        <w:t>大宁</w:t>
      </w:r>
      <w:r>
        <w:rPr>
          <w:rFonts w:ascii="黑体" w:hAnsi="黑体" w:eastAsia="黑体" w:cs="黑体"/>
          <w:color w:val="auto"/>
          <w:spacing w:val="-2"/>
          <w:sz w:val="52"/>
          <w:szCs w:val="52"/>
        </w:rPr>
        <w:t>宁粹苹果品牌准入标准</w:t>
      </w:r>
    </w:p>
    <w:p w14:paraId="0DFD2E6B">
      <w:pPr>
        <w:spacing w:before="330" w:line="181" w:lineRule="auto"/>
        <w:ind w:left="2014"/>
        <w:rPr>
          <w:rFonts w:ascii="Segoe UI" w:hAnsi="Segoe UI" w:eastAsia="Segoe UI" w:cs="Segoe UI"/>
          <w:color w:val="auto"/>
          <w:sz w:val="28"/>
          <w:szCs w:val="28"/>
        </w:rPr>
      </w:pPr>
      <w:r>
        <w:rPr>
          <w:rFonts w:ascii="Segoe UI" w:hAnsi="Segoe UI" w:eastAsia="Segoe UI" w:cs="Segoe UI"/>
          <w:color w:val="auto"/>
          <w:spacing w:val="-1"/>
          <w:sz w:val="24"/>
          <w:szCs w:val="24"/>
        </w:rPr>
        <w:t>Brand Access Standards for</w:t>
      </w:r>
      <w:r>
        <w:rPr>
          <w:rFonts w:ascii="Segoe UI" w:hAnsi="Segoe UI" w:eastAsia="Segoe UI" w:cs="Segoe UI"/>
          <w:color w:val="auto"/>
          <w:spacing w:val="22"/>
          <w:sz w:val="24"/>
          <w:szCs w:val="24"/>
        </w:rPr>
        <w:t xml:space="preserve"> </w:t>
      </w:r>
      <w:r>
        <w:rPr>
          <w:rFonts w:ascii="Segoe UI" w:hAnsi="Segoe UI" w:eastAsia="Segoe UI" w:cs="Segoe UI"/>
          <w:color w:val="auto"/>
          <w:spacing w:val="-1"/>
          <w:sz w:val="24"/>
          <w:szCs w:val="24"/>
        </w:rPr>
        <w:t>Dani</w:t>
      </w:r>
      <w:r>
        <w:rPr>
          <w:rFonts w:ascii="Segoe UI" w:hAnsi="Segoe UI" w:eastAsia="Segoe UI" w:cs="Segoe UI"/>
          <w:color w:val="auto"/>
          <w:spacing w:val="-2"/>
          <w:sz w:val="24"/>
          <w:szCs w:val="24"/>
        </w:rPr>
        <w:t>ng</w:t>
      </w:r>
      <w:r>
        <w:rPr>
          <w:rFonts w:ascii="Segoe UI" w:hAnsi="Segoe UI" w:eastAsia="Segoe UI" w:cs="Segoe UI"/>
          <w:color w:val="auto"/>
          <w:spacing w:val="22"/>
          <w:sz w:val="24"/>
          <w:szCs w:val="24"/>
        </w:rPr>
        <w:t xml:space="preserve"> </w:t>
      </w:r>
      <w:r>
        <w:rPr>
          <w:rFonts w:ascii="Segoe UI" w:hAnsi="Segoe UI" w:eastAsia="Segoe UI" w:cs="Segoe UI"/>
          <w:color w:val="auto"/>
          <w:spacing w:val="-2"/>
          <w:sz w:val="24"/>
          <w:szCs w:val="24"/>
        </w:rPr>
        <w:t>Ningcui Apples</w:t>
      </w:r>
    </w:p>
    <w:p w14:paraId="030D83D5">
      <w:pPr>
        <w:spacing w:line="243" w:lineRule="auto"/>
        <w:rPr>
          <w:rFonts w:ascii="Arial"/>
          <w:color w:val="auto"/>
          <w:sz w:val="21"/>
        </w:rPr>
      </w:pPr>
    </w:p>
    <w:p w14:paraId="5BA892BD">
      <w:pPr>
        <w:spacing w:line="243" w:lineRule="auto"/>
        <w:rPr>
          <w:rFonts w:ascii="Arial"/>
          <w:color w:val="auto"/>
          <w:sz w:val="21"/>
        </w:rPr>
      </w:pPr>
    </w:p>
    <w:p w14:paraId="23E3D9F1">
      <w:pPr>
        <w:spacing w:line="243" w:lineRule="auto"/>
        <w:rPr>
          <w:rFonts w:ascii="Arial"/>
          <w:color w:val="auto"/>
          <w:sz w:val="21"/>
        </w:rPr>
      </w:pPr>
    </w:p>
    <w:p w14:paraId="7F737203">
      <w:pPr>
        <w:spacing w:line="243" w:lineRule="auto"/>
        <w:rPr>
          <w:rFonts w:ascii="Arial"/>
          <w:color w:val="auto"/>
          <w:sz w:val="21"/>
        </w:rPr>
      </w:pPr>
    </w:p>
    <w:p w14:paraId="50534F6D">
      <w:pPr>
        <w:spacing w:line="243" w:lineRule="auto"/>
        <w:rPr>
          <w:rFonts w:ascii="Arial"/>
          <w:color w:val="auto"/>
          <w:sz w:val="21"/>
        </w:rPr>
      </w:pPr>
    </w:p>
    <w:p w14:paraId="743C2805">
      <w:pPr>
        <w:spacing w:line="243" w:lineRule="auto"/>
        <w:rPr>
          <w:rFonts w:ascii="Arial"/>
          <w:color w:val="auto"/>
          <w:sz w:val="21"/>
        </w:rPr>
      </w:pPr>
    </w:p>
    <w:p w14:paraId="411B91E4">
      <w:pPr>
        <w:spacing w:line="243" w:lineRule="auto"/>
        <w:rPr>
          <w:rFonts w:ascii="Arial"/>
          <w:color w:val="auto"/>
          <w:sz w:val="21"/>
        </w:rPr>
      </w:pPr>
    </w:p>
    <w:p w14:paraId="56FBE45F">
      <w:pPr>
        <w:spacing w:line="243" w:lineRule="auto"/>
        <w:rPr>
          <w:rFonts w:ascii="Arial"/>
          <w:color w:val="auto"/>
          <w:sz w:val="21"/>
        </w:rPr>
      </w:pPr>
    </w:p>
    <w:p w14:paraId="70B2654A">
      <w:pPr>
        <w:spacing w:line="243" w:lineRule="auto"/>
        <w:rPr>
          <w:rFonts w:ascii="Arial"/>
          <w:color w:val="auto"/>
          <w:sz w:val="21"/>
        </w:rPr>
      </w:pPr>
    </w:p>
    <w:p w14:paraId="454E5B4F">
      <w:pPr>
        <w:spacing w:line="243" w:lineRule="auto"/>
        <w:rPr>
          <w:rFonts w:ascii="Arial"/>
          <w:color w:val="auto"/>
          <w:sz w:val="21"/>
        </w:rPr>
      </w:pPr>
    </w:p>
    <w:p w14:paraId="4265F5DE">
      <w:pPr>
        <w:spacing w:line="244" w:lineRule="auto"/>
        <w:rPr>
          <w:rFonts w:ascii="Arial"/>
          <w:color w:val="auto"/>
          <w:sz w:val="21"/>
        </w:rPr>
      </w:pPr>
    </w:p>
    <w:p w14:paraId="4F06519E">
      <w:pPr>
        <w:spacing w:line="244" w:lineRule="auto"/>
        <w:rPr>
          <w:rFonts w:ascii="Arial"/>
          <w:color w:val="auto"/>
          <w:sz w:val="21"/>
        </w:rPr>
      </w:pPr>
    </w:p>
    <w:p w14:paraId="6413CF56">
      <w:pPr>
        <w:spacing w:line="244" w:lineRule="auto"/>
        <w:rPr>
          <w:rFonts w:ascii="Arial"/>
          <w:color w:val="auto"/>
          <w:sz w:val="21"/>
        </w:rPr>
      </w:pPr>
    </w:p>
    <w:p w14:paraId="7EE4F6B3">
      <w:pPr>
        <w:spacing w:line="244" w:lineRule="auto"/>
        <w:rPr>
          <w:rFonts w:ascii="Arial"/>
          <w:color w:val="auto"/>
          <w:sz w:val="21"/>
        </w:rPr>
      </w:pPr>
    </w:p>
    <w:p w14:paraId="52C6FDB9">
      <w:pPr>
        <w:spacing w:line="244" w:lineRule="auto"/>
        <w:rPr>
          <w:rFonts w:ascii="Arial"/>
          <w:color w:val="auto"/>
          <w:sz w:val="21"/>
        </w:rPr>
      </w:pPr>
    </w:p>
    <w:p w14:paraId="2E655AA5">
      <w:pPr>
        <w:spacing w:line="244" w:lineRule="auto"/>
        <w:rPr>
          <w:rFonts w:ascii="Arial"/>
          <w:color w:val="auto"/>
          <w:sz w:val="21"/>
        </w:rPr>
      </w:pPr>
    </w:p>
    <w:p w14:paraId="7129732D">
      <w:pPr>
        <w:spacing w:line="244" w:lineRule="auto"/>
        <w:rPr>
          <w:rFonts w:ascii="Arial"/>
          <w:color w:val="auto"/>
          <w:sz w:val="21"/>
        </w:rPr>
      </w:pPr>
    </w:p>
    <w:p w14:paraId="13063FC9">
      <w:pPr>
        <w:spacing w:line="244" w:lineRule="auto"/>
        <w:rPr>
          <w:rFonts w:ascii="Arial"/>
          <w:color w:val="auto"/>
          <w:sz w:val="21"/>
        </w:rPr>
      </w:pPr>
    </w:p>
    <w:p w14:paraId="4B5F67A4">
      <w:pPr>
        <w:spacing w:line="244" w:lineRule="auto"/>
        <w:rPr>
          <w:rFonts w:ascii="Arial"/>
          <w:color w:val="auto"/>
          <w:sz w:val="21"/>
        </w:rPr>
      </w:pPr>
    </w:p>
    <w:p w14:paraId="6DED8DCA">
      <w:pPr>
        <w:spacing w:line="244" w:lineRule="auto"/>
        <w:rPr>
          <w:rFonts w:ascii="Arial"/>
          <w:color w:val="auto"/>
          <w:sz w:val="21"/>
        </w:rPr>
      </w:pPr>
    </w:p>
    <w:p w14:paraId="033F8B7D">
      <w:pPr>
        <w:spacing w:line="244" w:lineRule="auto"/>
        <w:rPr>
          <w:rFonts w:ascii="Arial"/>
          <w:color w:val="auto"/>
          <w:sz w:val="21"/>
        </w:rPr>
      </w:pPr>
    </w:p>
    <w:p w14:paraId="69DA4A41">
      <w:pPr>
        <w:spacing w:line="244" w:lineRule="auto"/>
        <w:rPr>
          <w:rFonts w:ascii="Arial"/>
          <w:color w:val="auto"/>
          <w:sz w:val="21"/>
        </w:rPr>
      </w:pPr>
    </w:p>
    <w:p w14:paraId="7CE2B456">
      <w:pPr>
        <w:spacing w:line="244" w:lineRule="auto"/>
        <w:rPr>
          <w:rFonts w:ascii="Arial"/>
          <w:color w:val="auto"/>
          <w:sz w:val="21"/>
        </w:rPr>
      </w:pPr>
    </w:p>
    <w:p w14:paraId="42CA8C0B">
      <w:pPr>
        <w:spacing w:line="244" w:lineRule="auto"/>
        <w:rPr>
          <w:rFonts w:ascii="Arial"/>
          <w:color w:val="auto"/>
          <w:sz w:val="21"/>
        </w:rPr>
      </w:pPr>
    </w:p>
    <w:p w14:paraId="75B15171">
      <w:pPr>
        <w:spacing w:line="244" w:lineRule="auto"/>
        <w:rPr>
          <w:rFonts w:ascii="Arial"/>
          <w:color w:val="auto"/>
          <w:sz w:val="21"/>
        </w:rPr>
      </w:pPr>
    </w:p>
    <w:p w14:paraId="7D929D0A">
      <w:pPr>
        <w:spacing w:line="244" w:lineRule="auto"/>
        <w:rPr>
          <w:rFonts w:ascii="Arial"/>
          <w:color w:val="auto"/>
          <w:sz w:val="21"/>
        </w:rPr>
      </w:pPr>
    </w:p>
    <w:p w14:paraId="2FFB065B">
      <w:pPr>
        <w:pStyle w:val="3"/>
        <w:spacing w:before="91" w:line="222" w:lineRule="auto"/>
        <w:jc w:val="right"/>
        <w:rPr>
          <w:color w:val="auto"/>
        </w:rPr>
      </w:pPr>
      <w:r>
        <w:rPr>
          <w:color w:val="auto"/>
          <w:spacing w:val="-3"/>
        </w:rPr>
        <w:t>2026</w:t>
      </w:r>
      <w:r>
        <w:rPr>
          <w:color w:val="auto"/>
          <w:spacing w:val="-64"/>
        </w:rPr>
        <w:t xml:space="preserve"> </w:t>
      </w:r>
      <w:r>
        <w:rPr>
          <w:color w:val="auto"/>
          <w:spacing w:val="-3"/>
        </w:rPr>
        <w:t>-</w:t>
      </w:r>
      <w:r>
        <w:rPr>
          <w:color w:val="auto"/>
          <w:spacing w:val="-60"/>
        </w:rPr>
        <w:t xml:space="preserve"> </w:t>
      </w:r>
      <w:r>
        <w:rPr>
          <w:rFonts w:hint="eastAsia"/>
          <w:color w:val="auto"/>
          <w:spacing w:val="-3"/>
          <w:lang w:val="en-US" w:eastAsia="zh-CN"/>
        </w:rPr>
        <w:t>6</w:t>
      </w:r>
      <w:r>
        <w:rPr>
          <w:color w:val="auto"/>
          <w:spacing w:val="-3"/>
        </w:rPr>
        <w:t>-</w:t>
      </w:r>
      <w:r>
        <w:rPr>
          <w:rFonts w:hint="eastAsia"/>
          <w:color w:val="auto"/>
          <w:spacing w:val="-3"/>
          <w:lang w:val="en-US" w:eastAsia="zh-CN"/>
        </w:rPr>
        <w:t>30</w:t>
      </w:r>
      <w:r>
        <w:rPr>
          <w:color w:val="auto"/>
          <w:spacing w:val="-3"/>
        </w:rPr>
        <w:t xml:space="preserve">发布           </w:t>
      </w:r>
      <w:r>
        <w:rPr>
          <w:color w:val="auto"/>
          <w:spacing w:val="-4"/>
        </w:rPr>
        <w:t xml:space="preserve">                              2026</w:t>
      </w:r>
      <w:r>
        <w:rPr>
          <w:color w:val="auto"/>
          <w:spacing w:val="-64"/>
        </w:rPr>
        <w:t xml:space="preserve"> </w:t>
      </w:r>
      <w:r>
        <w:rPr>
          <w:color w:val="auto"/>
          <w:spacing w:val="-4"/>
        </w:rPr>
        <w:t>-</w:t>
      </w:r>
      <w:r>
        <w:rPr>
          <w:color w:val="auto"/>
          <w:spacing w:val="-61"/>
        </w:rPr>
        <w:t xml:space="preserve"> </w:t>
      </w:r>
      <w:r>
        <w:rPr>
          <w:rFonts w:hint="eastAsia"/>
          <w:color w:val="auto"/>
          <w:spacing w:val="-4"/>
          <w:lang w:val="en-US" w:eastAsia="zh-CN"/>
        </w:rPr>
        <w:t>7</w:t>
      </w:r>
      <w:r>
        <w:rPr>
          <w:color w:val="auto"/>
          <w:spacing w:val="-63"/>
        </w:rPr>
        <w:t xml:space="preserve"> </w:t>
      </w:r>
      <w:r>
        <w:rPr>
          <w:color w:val="auto"/>
          <w:spacing w:val="-4"/>
        </w:rPr>
        <w:t>-</w:t>
      </w:r>
      <w:r>
        <w:rPr>
          <w:color w:val="auto"/>
          <w:spacing w:val="-68"/>
        </w:rPr>
        <w:t xml:space="preserve"> </w:t>
      </w:r>
      <w:r>
        <w:rPr>
          <w:rFonts w:hint="eastAsia"/>
          <w:color w:val="auto"/>
          <w:spacing w:val="-4"/>
          <w:lang w:val="en-US" w:eastAsia="zh-CN"/>
        </w:rPr>
        <w:t>10</w:t>
      </w:r>
      <w:bookmarkStart w:id="63" w:name="_GoBack"/>
      <w:bookmarkEnd w:id="63"/>
      <w:r>
        <w:rPr>
          <w:color w:val="auto"/>
          <w:spacing w:val="-50"/>
        </w:rPr>
        <w:t xml:space="preserve"> </w:t>
      </w:r>
      <w:r>
        <w:rPr>
          <w:color w:val="auto"/>
          <w:spacing w:val="-4"/>
        </w:rPr>
        <w:t>实施</w:t>
      </w:r>
    </w:p>
    <w:p w14:paraId="46CD106E">
      <w:pPr>
        <w:spacing w:line="252" w:lineRule="auto"/>
        <w:rPr>
          <w:rFonts w:ascii="Arial"/>
          <w:color w:val="auto"/>
          <w:sz w:val="21"/>
        </w:rPr>
      </w:pPr>
      <w:r>
        <w:rPr>
          <w:color w:val="auto"/>
        </w:rPr>
        <w:drawing>
          <wp:anchor distT="0" distB="0" distL="0" distR="0" simplePos="0" relativeHeight="251660288" behindDoc="0" locked="0" layoutInCell="1" allowOverlap="1">
            <wp:simplePos x="0" y="0"/>
            <wp:positionH relativeFrom="column">
              <wp:posOffset>0</wp:posOffset>
            </wp:positionH>
            <wp:positionV relativeFrom="paragraph">
              <wp:posOffset>6350</wp:posOffset>
            </wp:positionV>
            <wp:extent cx="6120130" cy="9525"/>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23"/>
                    <a:stretch>
                      <a:fillRect/>
                    </a:stretch>
                  </pic:blipFill>
                  <pic:spPr>
                    <a:xfrm>
                      <a:off x="0" y="0"/>
                      <a:ext cx="6120129" cy="9525"/>
                    </a:xfrm>
                    <a:prstGeom prst="rect">
                      <a:avLst/>
                    </a:prstGeom>
                  </pic:spPr>
                </pic:pic>
              </a:graphicData>
            </a:graphic>
          </wp:anchor>
        </w:drawing>
      </w:r>
    </w:p>
    <w:p w14:paraId="660C547F">
      <w:pPr>
        <w:spacing w:line="253" w:lineRule="auto"/>
        <w:rPr>
          <w:rFonts w:ascii="Arial"/>
          <w:color w:val="auto"/>
          <w:sz w:val="21"/>
        </w:rPr>
      </w:pPr>
    </w:p>
    <w:p w14:paraId="42E5C8D0">
      <w:pPr>
        <w:spacing w:line="253" w:lineRule="auto"/>
        <w:rPr>
          <w:rFonts w:ascii="Arial"/>
          <w:color w:val="auto"/>
          <w:sz w:val="21"/>
        </w:rPr>
      </w:pPr>
    </w:p>
    <w:p w14:paraId="0D0F3F72">
      <w:pPr>
        <w:pStyle w:val="3"/>
        <w:spacing w:before="91" w:line="222" w:lineRule="auto"/>
        <w:ind w:left="3131"/>
        <w:rPr>
          <w:color w:val="auto"/>
        </w:rPr>
      </w:pPr>
      <w:r>
        <w:rPr>
          <w:color w:val="auto"/>
          <w:spacing w:val="-1"/>
        </w:rPr>
        <w:t>大宁县果业协会    发</w:t>
      </w:r>
      <w:r>
        <w:rPr>
          <w:color w:val="auto"/>
          <w:spacing w:val="42"/>
        </w:rPr>
        <w:t xml:space="preserve"> </w:t>
      </w:r>
      <w:r>
        <w:rPr>
          <w:color w:val="auto"/>
          <w:spacing w:val="-1"/>
        </w:rPr>
        <w:t>布</w:t>
      </w:r>
    </w:p>
    <w:p w14:paraId="72342BD2">
      <w:pPr>
        <w:spacing w:line="222" w:lineRule="auto"/>
        <w:rPr>
          <w:color w:val="auto"/>
        </w:rPr>
        <w:sectPr>
          <w:pgSz w:w="11906" w:h="16839"/>
          <w:pgMar w:top="1215" w:right="820" w:bottom="0" w:left="1417" w:header="0" w:footer="0" w:gutter="0"/>
          <w:pgBorders>
            <w:top w:val="none" w:sz="0" w:space="0"/>
            <w:left w:val="none" w:sz="0" w:space="0"/>
            <w:bottom w:val="none" w:sz="0" w:space="0"/>
            <w:right w:val="none" w:sz="0" w:space="0"/>
          </w:pgBorders>
          <w:pgNumType w:fmt="decimal"/>
          <w:cols w:space="720" w:num="1"/>
        </w:sectPr>
      </w:pPr>
    </w:p>
    <w:p w14:paraId="3A1574E8">
      <w:pPr>
        <w:pStyle w:val="13"/>
        <w:numPr>
          <w:ilvl w:val="0"/>
          <w:numId w:val="0"/>
        </w:numPr>
        <w:shd w:val="clear" w:color="FFFFFF" w:fill="FFFFFF"/>
        <w:spacing w:after="360"/>
        <w:ind w:leftChars="0"/>
        <w:jc w:val="center"/>
        <w:rPr>
          <w:rFonts w:hint="eastAsia"/>
          <w:color w:val="auto"/>
          <w:spacing w:val="320"/>
          <w:lang w:val="en-US" w:eastAsia="zh-CN"/>
        </w:rPr>
      </w:pPr>
      <w:bookmarkStart w:id="0" w:name="_Toc715927570"/>
      <w:r>
        <w:rPr>
          <w:rFonts w:hint="eastAsia"/>
          <w:color w:val="auto"/>
          <w:spacing w:val="320"/>
          <w:lang w:val="en-US" w:eastAsia="zh-CN"/>
        </w:rPr>
        <w:t>前言</w:t>
      </w:r>
      <w:bookmarkEnd w:id="0"/>
    </w:p>
    <w:p w14:paraId="17C93C3B">
      <w:pPr>
        <w:pStyle w:val="14"/>
        <w:ind w:firstLine="420"/>
        <w:rPr>
          <w:rFonts w:hint="eastAsia"/>
          <w:color w:val="auto"/>
        </w:rPr>
      </w:pPr>
      <w:r>
        <w:rPr>
          <w:rFonts w:hint="eastAsia"/>
          <w:color w:val="auto"/>
        </w:rPr>
        <w:t>本文件按照GB/T1.1—2020《标准化工作导则第1部分：标准化文件的结构和起草规则》的规定起草。</w:t>
      </w:r>
    </w:p>
    <w:p w14:paraId="4FB20172">
      <w:pPr>
        <w:pStyle w:val="14"/>
        <w:ind w:firstLine="420"/>
        <w:rPr>
          <w:rFonts w:hint="eastAsia"/>
          <w:color w:val="auto"/>
        </w:rPr>
      </w:pPr>
      <w:r>
        <w:rPr>
          <w:rFonts w:hint="eastAsia"/>
          <w:color w:val="auto"/>
        </w:rPr>
        <w:t>本文件起草单位：大宁县果业协会、大宁县农业农村局、大宁县现代农业发展中心、山西农业大学（大宁）苹果产业研究院、山西宁脆果业有限公司、山西省宁脆苹果专业合作社联合社。</w:t>
      </w:r>
    </w:p>
    <w:p w14:paraId="4A7DF4F5">
      <w:pPr>
        <w:pStyle w:val="14"/>
        <w:ind w:firstLine="420"/>
        <w:rPr>
          <w:rFonts w:hint="eastAsia"/>
          <w:color w:val="auto"/>
        </w:rPr>
      </w:pPr>
      <w:r>
        <w:rPr>
          <w:rFonts w:hint="eastAsia"/>
          <w:color w:val="auto"/>
        </w:rPr>
        <w:t>本文件主要起草人</w:t>
      </w:r>
      <w:r>
        <w:rPr>
          <w:rFonts w:hint="eastAsia"/>
          <w:b w:val="0"/>
          <w:bCs w:val="0"/>
          <w:color w:val="auto"/>
        </w:rPr>
        <w:t>：</w:t>
      </w:r>
      <w:r>
        <w:rPr>
          <w:rFonts w:hint="eastAsia"/>
          <w:color w:val="auto"/>
        </w:rPr>
        <w:t>渠瑞平、马红宁、王林冲、杨廷桢、李帅、马旭平。</w:t>
      </w:r>
    </w:p>
    <w:p w14:paraId="519CCB93">
      <w:pPr>
        <w:pStyle w:val="14"/>
        <w:ind w:firstLine="420"/>
        <w:rPr>
          <w:rFonts w:hint="eastAsia"/>
          <w:color w:val="auto"/>
        </w:rPr>
      </w:pPr>
      <w:r>
        <w:rPr>
          <w:rFonts w:hint="eastAsia"/>
          <w:color w:val="auto"/>
        </w:rPr>
        <w:t>本文件为首次发布。</w:t>
      </w:r>
    </w:p>
    <w:p w14:paraId="0DB869AB">
      <w:pPr>
        <w:rPr>
          <w:rFonts w:hint="eastAsia"/>
          <w:color w:val="auto"/>
        </w:rPr>
        <w:sectPr>
          <w:headerReference r:id="rId3" w:type="default"/>
          <w:footerReference r:id="rId4" w:type="default"/>
          <w:pgSz w:w="11906" w:h="16839"/>
          <w:pgMar w:top="1440" w:right="1803" w:bottom="1440" w:left="1803" w:header="850" w:footer="992" w:gutter="0"/>
          <w:pgBorders>
            <w:top w:val="none" w:sz="0" w:space="0"/>
            <w:left w:val="none" w:sz="0" w:space="0"/>
            <w:bottom w:val="none" w:sz="0" w:space="0"/>
            <w:right w:val="none" w:sz="0" w:space="0"/>
          </w:pgBorders>
          <w:pgNumType w:fmt="upperRoman" w:start="1"/>
          <w:cols w:space="720" w:num="1"/>
        </w:sectPr>
      </w:pPr>
      <w:r>
        <w:rPr>
          <w:rFonts w:hint="eastAsia"/>
          <w:color w:val="auto"/>
        </w:rPr>
        <w:br w:type="page"/>
      </w:r>
    </w:p>
    <w:p w14:paraId="2C09FBC6">
      <w:pPr>
        <w:rPr>
          <w:rFonts w:hint="eastAsia"/>
          <w:color w:val="auto"/>
        </w:rPr>
      </w:pPr>
    </w:p>
    <w:p w14:paraId="15B1C9D8">
      <w:pPr>
        <w:pStyle w:val="13"/>
        <w:numPr>
          <w:ilvl w:val="0"/>
          <w:numId w:val="0"/>
        </w:numPr>
        <w:shd w:val="clear" w:color="FFFFFF" w:fill="FFFFFF"/>
        <w:spacing w:after="360"/>
        <w:ind w:leftChars="0"/>
        <w:jc w:val="center"/>
        <w:rPr>
          <w:rFonts w:hint="eastAsia"/>
          <w:color w:val="auto"/>
          <w:spacing w:val="320"/>
          <w:lang w:val="en-US" w:eastAsia="zh-CN"/>
        </w:rPr>
      </w:pPr>
      <w:bookmarkStart w:id="1" w:name="_Toc1740885869"/>
      <w:r>
        <w:rPr>
          <w:rFonts w:hint="eastAsia"/>
          <w:color w:val="auto"/>
          <w:spacing w:val="320"/>
          <w:lang w:val="en-US" w:eastAsia="zh-CN"/>
        </w:rPr>
        <w:t>引言</w:t>
      </w:r>
      <w:bookmarkEnd w:id="1"/>
    </w:p>
    <w:p w14:paraId="071924DF">
      <w:pPr>
        <w:pStyle w:val="14"/>
        <w:ind w:firstLine="420"/>
        <w:rPr>
          <w:rFonts w:hint="eastAsia"/>
          <w:color w:val="auto"/>
        </w:rPr>
      </w:pPr>
      <w:r>
        <w:rPr>
          <w:rFonts w:hint="eastAsia"/>
          <w:color w:val="auto"/>
        </w:rPr>
        <w:t>本文件规定了大宁宁粹苹果区域公用品牌的准入规则，是大宁县聚焦 “品种、品质、品牌” 战略，推动苹果产业标准化、品牌化发展的核心支撑。通过整合 “八统一” 生产管理、智慧溯源、出口级品质管控等要求，规范品牌准入门槛，保障消费者权益，提升品牌市场辨识度；健全联农带农长效机制，以品牌准入带动标准化生产、优质优价落地，拓宽果农增收路径，让广大果农深度共享产业发展红利、真正受益。</w:t>
      </w:r>
    </w:p>
    <w:p w14:paraId="37647022">
      <w:pPr>
        <w:pStyle w:val="14"/>
        <w:ind w:firstLine="420"/>
        <w:rPr>
          <w:rFonts w:hint="eastAsia"/>
          <w:color w:val="auto"/>
        </w:rPr>
      </w:pPr>
      <w:r>
        <w:rPr>
          <w:rFonts w:hint="eastAsia"/>
          <w:color w:val="auto"/>
        </w:rPr>
        <w:t>传承大宁黄土高原农耕特色，强化产业集群协同效应，助力 “宁粹” 苹果跻身高端市场，实现 “优质优价”，为县域农业高质量发展筑牢基石。</w:t>
      </w:r>
    </w:p>
    <w:p w14:paraId="581C2E41">
      <w:pPr>
        <w:rPr>
          <w:rFonts w:hint="eastAsia"/>
          <w:color w:val="auto"/>
        </w:rPr>
      </w:pPr>
      <w:r>
        <w:rPr>
          <w:rFonts w:hint="eastAsia"/>
          <w:color w:val="auto"/>
        </w:rPr>
        <w:br w:type="page"/>
      </w:r>
    </w:p>
    <w:p w14:paraId="33851E18">
      <w:pPr>
        <w:pStyle w:val="15"/>
        <w:spacing w:before="2" w:beforeLines="1" w:after="528" w:afterLines="220"/>
        <w:jc w:val="both"/>
        <w:rPr>
          <w:rFonts w:hint="eastAsia"/>
          <w:color w:val="auto"/>
        </w:rPr>
        <w:sectPr>
          <w:footerReference r:id="rId5" w:type="default"/>
          <w:pgSz w:w="11906" w:h="16838"/>
          <w:pgMar w:top="1440" w:right="1803" w:bottom="1440" w:left="1803" w:header="850" w:footer="1106" w:gutter="0"/>
          <w:pgBorders>
            <w:top w:val="none" w:sz="0" w:space="0"/>
            <w:left w:val="none" w:sz="0" w:space="0"/>
            <w:bottom w:val="none" w:sz="0" w:space="0"/>
            <w:right w:val="none" w:sz="0" w:space="0"/>
          </w:pgBorders>
          <w:pgNumType w:fmt="upperRoman" w:start="2"/>
          <w:cols w:space="0" w:num="1"/>
          <w:rtlGutter w:val="0"/>
          <w:docGrid w:linePitch="0" w:charSpace="0"/>
        </w:sectPr>
      </w:pPr>
    </w:p>
    <w:sdt>
      <w:sdtPr>
        <w:rPr>
          <w:rFonts w:hint="eastAsia"/>
          <w:color w:val="auto"/>
          <w:spacing w:val="320"/>
          <w:sz w:val="32"/>
          <w:szCs w:val="20"/>
          <w:lang w:val="en-US" w:eastAsia="zh-CN"/>
        </w:rPr>
        <w:id w:val="147471038"/>
        <w15:color w:val="DBDBDB"/>
        <w:docPartObj>
          <w:docPartGallery w:val="Table of Contents"/>
          <w:docPartUnique/>
        </w:docPartObj>
      </w:sdtPr>
      <w:sdtEndPr>
        <w:rPr>
          <w:rFonts w:hint="eastAsia"/>
          <w:color w:val="auto"/>
          <w:spacing w:val="320"/>
          <w:sz w:val="32"/>
          <w:szCs w:val="20"/>
          <w:lang w:val="en-US" w:eastAsia="zh-CN"/>
        </w:rPr>
      </w:sdtEndPr>
      <w:sdtContent>
        <w:p w14:paraId="02EB1D62">
          <w:pPr>
            <w:pStyle w:val="13"/>
            <w:numPr>
              <w:ilvl w:val="0"/>
              <w:numId w:val="0"/>
            </w:numPr>
            <w:shd w:val="clear" w:color="FFFFFF" w:fill="FFFFFF"/>
            <w:spacing w:after="360"/>
            <w:ind w:leftChars="0"/>
            <w:jc w:val="center"/>
            <w:rPr>
              <w:rFonts w:hint="eastAsia"/>
              <w:color w:val="auto"/>
              <w:spacing w:val="320"/>
              <w:sz w:val="32"/>
              <w:szCs w:val="20"/>
              <w:lang w:val="en-US" w:eastAsia="zh-CN"/>
            </w:rPr>
          </w:pPr>
          <w:bookmarkStart w:id="2" w:name="_Toc1718563023"/>
          <w:r>
            <w:rPr>
              <w:rFonts w:hint="eastAsia"/>
              <w:color w:val="auto"/>
              <w:spacing w:val="320"/>
              <w:sz w:val="32"/>
              <w:szCs w:val="20"/>
              <w:lang w:val="en-US" w:eastAsia="zh-CN"/>
            </w:rPr>
            <w:t>目次</w:t>
          </w:r>
          <w:bookmarkEnd w:id="2"/>
        </w:p>
        <w:p w14:paraId="41293213">
          <w:pPr>
            <w:pStyle w:val="7"/>
            <w:tabs>
              <w:tab w:val="right" w:leader="dot" w:pos="8300"/>
            </w:tabs>
            <w:rPr>
              <w:color w:val="auto"/>
            </w:rPr>
          </w:pPr>
          <w:r>
            <w:rPr>
              <w:color w:val="auto"/>
            </w:rPr>
            <w:fldChar w:fldCharType="begin"/>
          </w:r>
          <w:r>
            <w:rPr>
              <w:color w:val="auto"/>
            </w:rPr>
            <w:instrText xml:space="preserve">TOC \o "1-2" \h \u </w:instrText>
          </w:r>
          <w:r>
            <w:rPr>
              <w:color w:val="auto"/>
            </w:rPr>
            <w:fldChar w:fldCharType="separate"/>
          </w:r>
          <w:r>
            <w:rPr>
              <w:color w:val="auto"/>
            </w:rPr>
            <w:fldChar w:fldCharType="begin"/>
          </w:r>
          <w:r>
            <w:rPr>
              <w:color w:val="auto"/>
            </w:rPr>
            <w:instrText xml:space="preserve"> HYPERLINK \l _Toc715927570 </w:instrText>
          </w:r>
          <w:r>
            <w:rPr>
              <w:color w:val="auto"/>
            </w:rPr>
            <w:fldChar w:fldCharType="separate"/>
          </w:r>
          <w:r>
            <w:rPr>
              <w:rFonts w:hint="eastAsia"/>
              <w:color w:val="auto"/>
              <w:spacing w:val="320"/>
              <w:lang w:val="en-US" w:eastAsia="zh-CN"/>
            </w:rPr>
            <w:t>前言</w:t>
          </w:r>
          <w:r>
            <w:rPr>
              <w:color w:val="auto"/>
            </w:rPr>
            <w:tab/>
          </w:r>
          <w:r>
            <w:rPr>
              <w:color w:val="auto"/>
            </w:rPr>
            <w:fldChar w:fldCharType="begin"/>
          </w:r>
          <w:r>
            <w:rPr>
              <w:color w:val="auto"/>
            </w:rPr>
            <w:instrText xml:space="preserve"> PAGEREF _Toc715927570 \h </w:instrText>
          </w:r>
          <w:r>
            <w:rPr>
              <w:color w:val="auto"/>
            </w:rPr>
            <w:fldChar w:fldCharType="separate"/>
          </w:r>
          <w:r>
            <w:rPr>
              <w:color w:val="auto"/>
            </w:rPr>
            <w:t>I</w:t>
          </w:r>
          <w:r>
            <w:rPr>
              <w:color w:val="auto"/>
            </w:rPr>
            <w:fldChar w:fldCharType="end"/>
          </w:r>
          <w:r>
            <w:rPr>
              <w:color w:val="auto"/>
            </w:rPr>
            <w:fldChar w:fldCharType="end"/>
          </w:r>
        </w:p>
        <w:p w14:paraId="7EB31B28">
          <w:pPr>
            <w:pStyle w:val="7"/>
            <w:tabs>
              <w:tab w:val="right" w:leader="dot" w:pos="8300"/>
            </w:tabs>
            <w:rPr>
              <w:color w:val="auto"/>
            </w:rPr>
          </w:pPr>
          <w:r>
            <w:rPr>
              <w:color w:val="auto"/>
            </w:rPr>
            <w:fldChar w:fldCharType="begin"/>
          </w:r>
          <w:r>
            <w:rPr>
              <w:color w:val="auto"/>
            </w:rPr>
            <w:instrText xml:space="preserve"> HYPERLINK \l _Toc1740885869 </w:instrText>
          </w:r>
          <w:r>
            <w:rPr>
              <w:color w:val="auto"/>
            </w:rPr>
            <w:fldChar w:fldCharType="separate"/>
          </w:r>
          <w:r>
            <w:rPr>
              <w:rFonts w:hint="eastAsia"/>
              <w:color w:val="auto"/>
              <w:spacing w:val="320"/>
              <w:lang w:val="en-US" w:eastAsia="zh-CN"/>
            </w:rPr>
            <w:t>引言</w:t>
          </w:r>
          <w:r>
            <w:rPr>
              <w:color w:val="auto"/>
            </w:rPr>
            <w:tab/>
          </w:r>
          <w:r>
            <w:rPr>
              <w:color w:val="auto"/>
            </w:rPr>
            <w:fldChar w:fldCharType="begin"/>
          </w:r>
          <w:r>
            <w:rPr>
              <w:color w:val="auto"/>
            </w:rPr>
            <w:instrText xml:space="preserve"> PAGEREF _Toc1740885869 \h </w:instrText>
          </w:r>
          <w:r>
            <w:rPr>
              <w:color w:val="auto"/>
            </w:rPr>
            <w:fldChar w:fldCharType="separate"/>
          </w:r>
          <w:r>
            <w:rPr>
              <w:color w:val="auto"/>
            </w:rPr>
            <w:t>II</w:t>
          </w:r>
          <w:r>
            <w:rPr>
              <w:color w:val="auto"/>
            </w:rPr>
            <w:fldChar w:fldCharType="end"/>
          </w:r>
          <w:r>
            <w:rPr>
              <w:color w:val="auto"/>
            </w:rPr>
            <w:fldChar w:fldCharType="end"/>
          </w:r>
        </w:p>
        <w:p w14:paraId="4A04F095">
          <w:pPr>
            <w:pStyle w:val="7"/>
            <w:tabs>
              <w:tab w:val="right" w:leader="dot" w:pos="8300"/>
            </w:tabs>
            <w:rPr>
              <w:color w:val="auto"/>
            </w:rPr>
          </w:pPr>
          <w:r>
            <w:rPr>
              <w:color w:val="auto"/>
            </w:rPr>
            <w:fldChar w:fldCharType="begin"/>
          </w:r>
          <w:r>
            <w:rPr>
              <w:color w:val="auto"/>
            </w:rPr>
            <w:instrText xml:space="preserve"> HYPERLINK \l _Toc1718563023 </w:instrText>
          </w:r>
          <w:r>
            <w:rPr>
              <w:color w:val="auto"/>
            </w:rPr>
            <w:fldChar w:fldCharType="separate"/>
          </w:r>
          <w:r>
            <w:rPr>
              <w:rFonts w:hint="eastAsia"/>
              <w:color w:val="auto"/>
              <w:spacing w:val="320"/>
              <w:szCs w:val="20"/>
              <w:lang w:val="en-US" w:eastAsia="zh-CN"/>
            </w:rPr>
            <w:t>目次</w:t>
          </w:r>
          <w:r>
            <w:rPr>
              <w:color w:val="auto"/>
            </w:rPr>
            <w:tab/>
          </w:r>
          <w:r>
            <w:rPr>
              <w:color w:val="auto"/>
            </w:rPr>
            <w:fldChar w:fldCharType="begin"/>
          </w:r>
          <w:r>
            <w:rPr>
              <w:color w:val="auto"/>
            </w:rPr>
            <w:instrText xml:space="preserve"> PAGEREF _Toc1718563023 \h </w:instrText>
          </w:r>
          <w:r>
            <w:rPr>
              <w:color w:val="auto"/>
            </w:rPr>
            <w:fldChar w:fldCharType="separate"/>
          </w:r>
          <w:r>
            <w:rPr>
              <w:color w:val="auto"/>
            </w:rPr>
            <w:t>III</w:t>
          </w:r>
          <w:r>
            <w:rPr>
              <w:color w:val="auto"/>
            </w:rPr>
            <w:fldChar w:fldCharType="end"/>
          </w:r>
          <w:r>
            <w:rPr>
              <w:color w:val="auto"/>
            </w:rPr>
            <w:fldChar w:fldCharType="end"/>
          </w:r>
        </w:p>
        <w:p w14:paraId="6327B461">
          <w:pPr>
            <w:pStyle w:val="7"/>
            <w:tabs>
              <w:tab w:val="right" w:leader="dot" w:pos="8300"/>
            </w:tabs>
            <w:rPr>
              <w:color w:val="auto"/>
            </w:rPr>
          </w:pPr>
          <w:r>
            <w:rPr>
              <w:color w:val="auto"/>
            </w:rPr>
            <w:fldChar w:fldCharType="begin"/>
          </w:r>
          <w:r>
            <w:rPr>
              <w:color w:val="auto"/>
            </w:rPr>
            <w:instrText xml:space="preserve"> HYPERLINK \l _Toc368397136 </w:instrText>
          </w:r>
          <w:r>
            <w:rPr>
              <w:color w:val="auto"/>
            </w:rPr>
            <w:fldChar w:fldCharType="separate"/>
          </w:r>
          <w:r>
            <w:rPr>
              <w:rFonts w:hint="eastAsia" w:ascii="黑体" w:eastAsia="黑体"/>
              <w:i w:val="0"/>
              <w:color w:val="auto"/>
            </w:rPr>
            <w:t xml:space="preserve">1 </w:t>
          </w:r>
          <w:r>
            <w:rPr>
              <w:rFonts w:hint="eastAsia"/>
              <w:color w:val="auto"/>
            </w:rPr>
            <w:t>范围</w:t>
          </w:r>
          <w:r>
            <w:rPr>
              <w:color w:val="auto"/>
            </w:rPr>
            <w:tab/>
          </w:r>
          <w:r>
            <w:rPr>
              <w:color w:val="auto"/>
            </w:rPr>
            <w:fldChar w:fldCharType="begin"/>
          </w:r>
          <w:r>
            <w:rPr>
              <w:color w:val="auto"/>
            </w:rPr>
            <w:instrText xml:space="preserve"> PAGEREF _Toc368397136 \h </w:instrText>
          </w:r>
          <w:r>
            <w:rPr>
              <w:color w:val="auto"/>
            </w:rPr>
            <w:fldChar w:fldCharType="separate"/>
          </w:r>
          <w:r>
            <w:rPr>
              <w:color w:val="auto"/>
            </w:rPr>
            <w:t>1</w:t>
          </w:r>
          <w:r>
            <w:rPr>
              <w:color w:val="auto"/>
            </w:rPr>
            <w:fldChar w:fldCharType="end"/>
          </w:r>
          <w:r>
            <w:rPr>
              <w:color w:val="auto"/>
            </w:rPr>
            <w:fldChar w:fldCharType="end"/>
          </w:r>
        </w:p>
        <w:p w14:paraId="176AA4E8">
          <w:pPr>
            <w:pStyle w:val="7"/>
            <w:tabs>
              <w:tab w:val="right" w:leader="dot" w:pos="8300"/>
            </w:tabs>
            <w:rPr>
              <w:color w:val="auto"/>
            </w:rPr>
          </w:pPr>
          <w:r>
            <w:rPr>
              <w:color w:val="auto"/>
            </w:rPr>
            <w:fldChar w:fldCharType="begin"/>
          </w:r>
          <w:r>
            <w:rPr>
              <w:color w:val="auto"/>
            </w:rPr>
            <w:instrText xml:space="preserve"> HYPERLINK \l _Toc1830392757 </w:instrText>
          </w:r>
          <w:r>
            <w:rPr>
              <w:color w:val="auto"/>
            </w:rPr>
            <w:fldChar w:fldCharType="separate"/>
          </w:r>
          <w:r>
            <w:rPr>
              <w:rFonts w:hint="eastAsia" w:ascii="黑体" w:eastAsia="黑体"/>
              <w:i w:val="0"/>
              <w:color w:val="auto"/>
            </w:rPr>
            <w:t xml:space="preserve">2 </w:t>
          </w:r>
          <w:r>
            <w:rPr>
              <w:rFonts w:hint="eastAsia"/>
              <w:color w:val="auto"/>
            </w:rPr>
            <w:t>规范性引用文件</w:t>
          </w:r>
          <w:r>
            <w:rPr>
              <w:color w:val="auto"/>
            </w:rPr>
            <w:tab/>
          </w:r>
          <w:r>
            <w:rPr>
              <w:color w:val="auto"/>
            </w:rPr>
            <w:fldChar w:fldCharType="begin"/>
          </w:r>
          <w:r>
            <w:rPr>
              <w:color w:val="auto"/>
            </w:rPr>
            <w:instrText xml:space="preserve"> PAGEREF _Toc1830392757 \h </w:instrText>
          </w:r>
          <w:r>
            <w:rPr>
              <w:color w:val="auto"/>
            </w:rPr>
            <w:fldChar w:fldCharType="separate"/>
          </w:r>
          <w:r>
            <w:rPr>
              <w:color w:val="auto"/>
            </w:rPr>
            <w:t>1</w:t>
          </w:r>
          <w:r>
            <w:rPr>
              <w:color w:val="auto"/>
            </w:rPr>
            <w:fldChar w:fldCharType="end"/>
          </w:r>
          <w:r>
            <w:rPr>
              <w:color w:val="auto"/>
            </w:rPr>
            <w:fldChar w:fldCharType="end"/>
          </w:r>
        </w:p>
        <w:p w14:paraId="2F20D1B8">
          <w:pPr>
            <w:pStyle w:val="7"/>
            <w:tabs>
              <w:tab w:val="right" w:leader="dot" w:pos="8300"/>
            </w:tabs>
            <w:rPr>
              <w:color w:val="auto"/>
            </w:rPr>
          </w:pPr>
          <w:r>
            <w:rPr>
              <w:color w:val="auto"/>
            </w:rPr>
            <w:fldChar w:fldCharType="begin"/>
          </w:r>
          <w:r>
            <w:rPr>
              <w:color w:val="auto"/>
            </w:rPr>
            <w:instrText xml:space="preserve"> HYPERLINK \l _Toc1660043046 </w:instrText>
          </w:r>
          <w:r>
            <w:rPr>
              <w:color w:val="auto"/>
            </w:rPr>
            <w:fldChar w:fldCharType="separate"/>
          </w:r>
          <w:r>
            <w:rPr>
              <w:rFonts w:hint="eastAsia" w:ascii="黑体" w:eastAsia="黑体"/>
              <w:i w:val="0"/>
              <w:color w:val="auto"/>
            </w:rPr>
            <w:t xml:space="preserve">3 </w:t>
          </w:r>
          <w:r>
            <w:rPr>
              <w:rFonts w:hint="eastAsia"/>
              <w:color w:val="auto"/>
            </w:rPr>
            <w:t>术语和定义</w:t>
          </w:r>
          <w:r>
            <w:rPr>
              <w:color w:val="auto"/>
            </w:rPr>
            <w:tab/>
          </w:r>
          <w:r>
            <w:rPr>
              <w:color w:val="auto"/>
            </w:rPr>
            <w:fldChar w:fldCharType="begin"/>
          </w:r>
          <w:r>
            <w:rPr>
              <w:color w:val="auto"/>
            </w:rPr>
            <w:instrText xml:space="preserve"> PAGEREF _Toc1660043046 \h </w:instrText>
          </w:r>
          <w:r>
            <w:rPr>
              <w:color w:val="auto"/>
            </w:rPr>
            <w:fldChar w:fldCharType="separate"/>
          </w:r>
          <w:r>
            <w:rPr>
              <w:color w:val="auto"/>
            </w:rPr>
            <w:t>1</w:t>
          </w:r>
          <w:r>
            <w:rPr>
              <w:color w:val="auto"/>
            </w:rPr>
            <w:fldChar w:fldCharType="end"/>
          </w:r>
          <w:r>
            <w:rPr>
              <w:color w:val="auto"/>
            </w:rPr>
            <w:fldChar w:fldCharType="end"/>
          </w:r>
        </w:p>
        <w:p w14:paraId="3666BFD5">
          <w:pPr>
            <w:pStyle w:val="8"/>
            <w:tabs>
              <w:tab w:val="right" w:leader="dot" w:pos="8300"/>
            </w:tabs>
            <w:rPr>
              <w:color w:val="auto"/>
            </w:rPr>
          </w:pPr>
          <w:r>
            <w:rPr>
              <w:color w:val="auto"/>
            </w:rPr>
            <w:fldChar w:fldCharType="begin"/>
          </w:r>
          <w:r>
            <w:rPr>
              <w:color w:val="auto"/>
            </w:rPr>
            <w:instrText xml:space="preserve"> HYPERLINK \l _Toc507487008 </w:instrText>
          </w:r>
          <w:r>
            <w:rPr>
              <w:color w:val="auto"/>
            </w:rPr>
            <w:fldChar w:fldCharType="separate"/>
          </w:r>
          <w:r>
            <w:rPr>
              <w:rFonts w:hint="eastAsia" w:ascii="黑体" w:hAnsi="Times New Roman" w:eastAsia="黑体" w:cs="Times New Roman"/>
              <w:bCs w:val="0"/>
              <w:i w:val="0"/>
              <w:iCs w:val="0"/>
              <w:caps w:val="0"/>
              <w:smallCaps w:val="0"/>
              <w:strike w:val="0"/>
              <w:dstrike w:val="0"/>
              <w:vanish w:val="0"/>
              <w:color w:val="auto"/>
              <w:spacing w:val="0"/>
              <w:kern w:val="0"/>
              <w:position w:val="0"/>
              <w:vertAlign w:val="baseline"/>
            </w:rPr>
            <w:t xml:space="preserve">3.1 </w:t>
          </w:r>
          <w:r>
            <w:rPr>
              <w:rFonts w:hint="eastAsia"/>
              <w:color w:val="auto"/>
              <w:lang w:val="en-US" w:eastAsia="zh-CN"/>
            </w:rPr>
            <w:t>大宁宁粹苹果品牌准入</w:t>
          </w:r>
          <w:r>
            <w:rPr>
              <w:color w:val="auto"/>
            </w:rPr>
            <w:tab/>
          </w:r>
          <w:r>
            <w:rPr>
              <w:color w:val="auto"/>
            </w:rPr>
            <w:fldChar w:fldCharType="begin"/>
          </w:r>
          <w:r>
            <w:rPr>
              <w:color w:val="auto"/>
            </w:rPr>
            <w:instrText xml:space="preserve"> PAGEREF _Toc507487008 \h </w:instrText>
          </w:r>
          <w:r>
            <w:rPr>
              <w:color w:val="auto"/>
            </w:rPr>
            <w:fldChar w:fldCharType="separate"/>
          </w:r>
          <w:r>
            <w:rPr>
              <w:color w:val="auto"/>
            </w:rPr>
            <w:t>1</w:t>
          </w:r>
          <w:r>
            <w:rPr>
              <w:color w:val="auto"/>
            </w:rPr>
            <w:fldChar w:fldCharType="end"/>
          </w:r>
          <w:r>
            <w:rPr>
              <w:color w:val="auto"/>
            </w:rPr>
            <w:fldChar w:fldCharType="end"/>
          </w:r>
        </w:p>
        <w:p w14:paraId="5F937990">
          <w:pPr>
            <w:pStyle w:val="8"/>
            <w:tabs>
              <w:tab w:val="right" w:leader="dot" w:pos="8300"/>
            </w:tabs>
            <w:rPr>
              <w:color w:val="auto"/>
            </w:rPr>
          </w:pPr>
          <w:r>
            <w:rPr>
              <w:color w:val="auto"/>
            </w:rPr>
            <w:fldChar w:fldCharType="begin"/>
          </w:r>
          <w:r>
            <w:rPr>
              <w:color w:val="auto"/>
            </w:rPr>
            <w:instrText xml:space="preserve"> HYPERLINK \l _Toc190312528 </w:instrText>
          </w:r>
          <w:r>
            <w:rPr>
              <w:color w:val="auto"/>
            </w:rPr>
            <w:fldChar w:fldCharType="separate"/>
          </w:r>
          <w:r>
            <w:rPr>
              <w:rFonts w:hint="eastAsia" w:ascii="黑体" w:hAnsi="Times New Roman" w:eastAsia="黑体" w:cs="Times New Roman"/>
              <w:bCs w:val="0"/>
              <w:i w:val="0"/>
              <w:iCs w:val="0"/>
              <w:caps w:val="0"/>
              <w:smallCaps w:val="0"/>
              <w:strike w:val="0"/>
              <w:dstrike w:val="0"/>
              <w:vanish w:val="0"/>
              <w:color w:val="auto"/>
              <w:spacing w:val="0"/>
              <w:kern w:val="0"/>
              <w:position w:val="0"/>
              <w:vertAlign w:val="baseline"/>
              <w:lang w:val="en-US" w:eastAsia="zh-CN"/>
            </w:rPr>
            <w:t xml:space="preserve">3.2 </w:t>
          </w:r>
          <w:r>
            <w:rPr>
              <w:rFonts w:hint="eastAsia"/>
              <w:color w:val="auto"/>
              <w:lang w:val="en-US" w:eastAsia="zh-CN"/>
            </w:rPr>
            <w:t>品牌授权主体</w:t>
          </w:r>
          <w:r>
            <w:rPr>
              <w:color w:val="auto"/>
            </w:rPr>
            <w:tab/>
          </w:r>
          <w:r>
            <w:rPr>
              <w:color w:val="auto"/>
            </w:rPr>
            <w:fldChar w:fldCharType="begin"/>
          </w:r>
          <w:r>
            <w:rPr>
              <w:color w:val="auto"/>
            </w:rPr>
            <w:instrText xml:space="preserve"> PAGEREF _Toc190312528 \h </w:instrText>
          </w:r>
          <w:r>
            <w:rPr>
              <w:color w:val="auto"/>
            </w:rPr>
            <w:fldChar w:fldCharType="separate"/>
          </w:r>
          <w:r>
            <w:rPr>
              <w:color w:val="auto"/>
            </w:rPr>
            <w:t>1</w:t>
          </w:r>
          <w:r>
            <w:rPr>
              <w:color w:val="auto"/>
            </w:rPr>
            <w:fldChar w:fldCharType="end"/>
          </w:r>
          <w:r>
            <w:rPr>
              <w:color w:val="auto"/>
            </w:rPr>
            <w:fldChar w:fldCharType="end"/>
          </w:r>
        </w:p>
        <w:p w14:paraId="77C1C8A0">
          <w:pPr>
            <w:pStyle w:val="8"/>
            <w:tabs>
              <w:tab w:val="right" w:leader="dot" w:pos="8300"/>
            </w:tabs>
            <w:rPr>
              <w:color w:val="auto"/>
            </w:rPr>
          </w:pPr>
          <w:r>
            <w:rPr>
              <w:color w:val="auto"/>
            </w:rPr>
            <w:fldChar w:fldCharType="begin"/>
          </w:r>
          <w:r>
            <w:rPr>
              <w:color w:val="auto"/>
            </w:rPr>
            <w:instrText xml:space="preserve"> HYPERLINK \l _Toc50614683 </w:instrText>
          </w:r>
          <w:r>
            <w:rPr>
              <w:color w:val="auto"/>
            </w:rPr>
            <w:fldChar w:fldCharType="separate"/>
          </w:r>
          <w:r>
            <w:rPr>
              <w:rFonts w:hint="eastAsia" w:ascii="黑体" w:hAnsi="Times New Roman" w:eastAsia="黑体" w:cs="Times New Roman"/>
              <w:bCs w:val="0"/>
              <w:i w:val="0"/>
              <w:iCs w:val="0"/>
              <w:caps w:val="0"/>
              <w:smallCaps w:val="0"/>
              <w:strike w:val="0"/>
              <w:dstrike w:val="0"/>
              <w:vanish w:val="0"/>
              <w:color w:val="auto"/>
              <w:spacing w:val="0"/>
              <w:kern w:val="0"/>
              <w:position w:val="0"/>
              <w:vertAlign w:val="baseline"/>
              <w:lang w:val="en-US" w:eastAsia="zh-CN"/>
            </w:rPr>
            <w:t xml:space="preserve">3.3 </w:t>
          </w:r>
          <w:r>
            <w:rPr>
              <w:rFonts w:hint="eastAsia"/>
              <w:color w:val="auto"/>
              <w:lang w:val="en-US" w:eastAsia="zh-CN"/>
            </w:rPr>
            <w:t>市场经营主体</w:t>
          </w:r>
          <w:r>
            <w:rPr>
              <w:color w:val="auto"/>
            </w:rPr>
            <w:tab/>
          </w:r>
          <w:r>
            <w:rPr>
              <w:color w:val="auto"/>
            </w:rPr>
            <w:fldChar w:fldCharType="begin"/>
          </w:r>
          <w:r>
            <w:rPr>
              <w:color w:val="auto"/>
            </w:rPr>
            <w:instrText xml:space="preserve"> PAGEREF _Toc50614683 \h </w:instrText>
          </w:r>
          <w:r>
            <w:rPr>
              <w:color w:val="auto"/>
            </w:rPr>
            <w:fldChar w:fldCharType="separate"/>
          </w:r>
          <w:r>
            <w:rPr>
              <w:color w:val="auto"/>
            </w:rPr>
            <w:t>1</w:t>
          </w:r>
          <w:r>
            <w:rPr>
              <w:color w:val="auto"/>
            </w:rPr>
            <w:fldChar w:fldCharType="end"/>
          </w:r>
          <w:r>
            <w:rPr>
              <w:color w:val="auto"/>
            </w:rPr>
            <w:fldChar w:fldCharType="end"/>
          </w:r>
        </w:p>
        <w:p w14:paraId="7BB0654B">
          <w:pPr>
            <w:pStyle w:val="7"/>
            <w:tabs>
              <w:tab w:val="right" w:leader="dot" w:pos="8300"/>
            </w:tabs>
            <w:rPr>
              <w:color w:val="auto"/>
            </w:rPr>
          </w:pPr>
          <w:r>
            <w:rPr>
              <w:color w:val="auto"/>
            </w:rPr>
            <w:fldChar w:fldCharType="begin"/>
          </w:r>
          <w:r>
            <w:rPr>
              <w:color w:val="auto"/>
            </w:rPr>
            <w:instrText xml:space="preserve"> HYPERLINK \l _Toc2001028848 </w:instrText>
          </w:r>
          <w:r>
            <w:rPr>
              <w:color w:val="auto"/>
            </w:rPr>
            <w:fldChar w:fldCharType="separate"/>
          </w:r>
          <w:r>
            <w:rPr>
              <w:rFonts w:hint="eastAsia" w:ascii="黑体" w:eastAsia="黑体"/>
              <w:i w:val="0"/>
              <w:color w:val="auto"/>
            </w:rPr>
            <w:t xml:space="preserve">4 </w:t>
          </w:r>
          <w:r>
            <w:rPr>
              <w:rFonts w:hint="eastAsia"/>
              <w:color w:val="auto"/>
            </w:rPr>
            <w:t>准入条件</w:t>
          </w:r>
          <w:r>
            <w:rPr>
              <w:color w:val="auto"/>
            </w:rPr>
            <w:tab/>
          </w:r>
          <w:r>
            <w:rPr>
              <w:color w:val="auto"/>
            </w:rPr>
            <w:fldChar w:fldCharType="begin"/>
          </w:r>
          <w:r>
            <w:rPr>
              <w:color w:val="auto"/>
            </w:rPr>
            <w:instrText xml:space="preserve"> PAGEREF _Toc2001028848 \h </w:instrText>
          </w:r>
          <w:r>
            <w:rPr>
              <w:color w:val="auto"/>
            </w:rPr>
            <w:fldChar w:fldCharType="separate"/>
          </w:r>
          <w:r>
            <w:rPr>
              <w:color w:val="auto"/>
            </w:rPr>
            <w:t>1</w:t>
          </w:r>
          <w:r>
            <w:rPr>
              <w:color w:val="auto"/>
            </w:rPr>
            <w:fldChar w:fldCharType="end"/>
          </w:r>
          <w:r>
            <w:rPr>
              <w:color w:val="auto"/>
            </w:rPr>
            <w:fldChar w:fldCharType="end"/>
          </w:r>
        </w:p>
        <w:p w14:paraId="08E0697F">
          <w:pPr>
            <w:pStyle w:val="8"/>
            <w:tabs>
              <w:tab w:val="right" w:leader="dot" w:pos="8300"/>
            </w:tabs>
            <w:rPr>
              <w:color w:val="auto"/>
            </w:rPr>
          </w:pPr>
          <w:r>
            <w:rPr>
              <w:color w:val="auto"/>
            </w:rPr>
            <w:fldChar w:fldCharType="begin"/>
          </w:r>
          <w:r>
            <w:rPr>
              <w:color w:val="auto"/>
            </w:rPr>
            <w:instrText xml:space="preserve"> HYPERLINK \l _Toc640722003 </w:instrText>
          </w:r>
          <w:r>
            <w:rPr>
              <w:color w:val="auto"/>
            </w:rPr>
            <w:fldChar w:fldCharType="separate"/>
          </w:r>
          <w:r>
            <w:rPr>
              <w:rFonts w:hint="eastAsia" w:ascii="黑体" w:hAnsi="Times New Roman" w:eastAsia="黑体" w:cs="Times New Roman"/>
              <w:bCs w:val="0"/>
              <w:i w:val="0"/>
              <w:iCs w:val="0"/>
              <w:caps w:val="0"/>
              <w:smallCaps w:val="0"/>
              <w:strike w:val="0"/>
              <w:dstrike w:val="0"/>
              <w:vanish w:val="0"/>
              <w:color w:val="auto"/>
              <w:spacing w:val="0"/>
              <w:kern w:val="0"/>
              <w:position w:val="0"/>
              <w:vertAlign w:val="baseline"/>
              <w:lang w:val="en-US" w:eastAsia="zh-CN"/>
            </w:rPr>
            <w:t xml:space="preserve">4.1 </w:t>
          </w:r>
          <w:r>
            <w:rPr>
              <w:rFonts w:hint="eastAsia"/>
              <w:color w:val="auto"/>
              <w:lang w:val="en-US" w:eastAsia="zh-CN"/>
            </w:rPr>
            <w:t>产地环境</w:t>
          </w:r>
          <w:r>
            <w:rPr>
              <w:color w:val="auto"/>
            </w:rPr>
            <w:tab/>
          </w:r>
          <w:r>
            <w:rPr>
              <w:color w:val="auto"/>
            </w:rPr>
            <w:fldChar w:fldCharType="begin"/>
          </w:r>
          <w:r>
            <w:rPr>
              <w:color w:val="auto"/>
            </w:rPr>
            <w:instrText xml:space="preserve"> PAGEREF _Toc640722003 \h </w:instrText>
          </w:r>
          <w:r>
            <w:rPr>
              <w:color w:val="auto"/>
            </w:rPr>
            <w:fldChar w:fldCharType="separate"/>
          </w:r>
          <w:r>
            <w:rPr>
              <w:color w:val="auto"/>
            </w:rPr>
            <w:t>1</w:t>
          </w:r>
          <w:r>
            <w:rPr>
              <w:color w:val="auto"/>
            </w:rPr>
            <w:fldChar w:fldCharType="end"/>
          </w:r>
          <w:r>
            <w:rPr>
              <w:color w:val="auto"/>
            </w:rPr>
            <w:fldChar w:fldCharType="end"/>
          </w:r>
        </w:p>
        <w:p w14:paraId="121F3904">
          <w:pPr>
            <w:pStyle w:val="8"/>
            <w:tabs>
              <w:tab w:val="right" w:leader="dot" w:pos="8300"/>
            </w:tabs>
            <w:rPr>
              <w:color w:val="auto"/>
            </w:rPr>
          </w:pPr>
          <w:r>
            <w:rPr>
              <w:color w:val="auto"/>
            </w:rPr>
            <w:fldChar w:fldCharType="begin"/>
          </w:r>
          <w:r>
            <w:rPr>
              <w:color w:val="auto"/>
            </w:rPr>
            <w:instrText xml:space="preserve"> HYPERLINK \l _Toc201404250 </w:instrText>
          </w:r>
          <w:r>
            <w:rPr>
              <w:color w:val="auto"/>
            </w:rPr>
            <w:fldChar w:fldCharType="separate"/>
          </w:r>
          <w:r>
            <w:rPr>
              <w:rFonts w:hint="eastAsia" w:ascii="黑体" w:hAnsi="Times New Roman" w:eastAsia="黑体" w:cs="Times New Roman"/>
              <w:bCs w:val="0"/>
              <w:i w:val="0"/>
              <w:iCs w:val="0"/>
              <w:caps w:val="0"/>
              <w:smallCaps w:val="0"/>
              <w:strike w:val="0"/>
              <w:dstrike w:val="0"/>
              <w:vanish w:val="0"/>
              <w:color w:val="auto"/>
              <w:spacing w:val="0"/>
              <w:kern w:val="0"/>
              <w:position w:val="0"/>
              <w:vertAlign w:val="baseline"/>
              <w:lang w:val="en-US" w:eastAsia="zh-CN"/>
            </w:rPr>
            <w:t xml:space="preserve">4.2 </w:t>
          </w:r>
          <w:r>
            <w:rPr>
              <w:rFonts w:hint="eastAsia"/>
              <w:color w:val="auto"/>
              <w:lang w:val="en-US" w:eastAsia="zh-CN"/>
            </w:rPr>
            <w:t>品种要求</w:t>
          </w:r>
          <w:r>
            <w:rPr>
              <w:color w:val="auto"/>
            </w:rPr>
            <w:tab/>
          </w:r>
          <w:r>
            <w:rPr>
              <w:color w:val="auto"/>
            </w:rPr>
            <w:fldChar w:fldCharType="begin"/>
          </w:r>
          <w:r>
            <w:rPr>
              <w:color w:val="auto"/>
            </w:rPr>
            <w:instrText xml:space="preserve"> PAGEREF _Toc201404250 \h </w:instrText>
          </w:r>
          <w:r>
            <w:rPr>
              <w:color w:val="auto"/>
            </w:rPr>
            <w:fldChar w:fldCharType="separate"/>
          </w:r>
          <w:r>
            <w:rPr>
              <w:color w:val="auto"/>
            </w:rPr>
            <w:t>2</w:t>
          </w:r>
          <w:r>
            <w:rPr>
              <w:color w:val="auto"/>
            </w:rPr>
            <w:fldChar w:fldCharType="end"/>
          </w:r>
          <w:r>
            <w:rPr>
              <w:color w:val="auto"/>
            </w:rPr>
            <w:fldChar w:fldCharType="end"/>
          </w:r>
        </w:p>
        <w:p w14:paraId="1B032D8E">
          <w:pPr>
            <w:pStyle w:val="8"/>
            <w:tabs>
              <w:tab w:val="right" w:leader="dot" w:pos="8300"/>
            </w:tabs>
            <w:rPr>
              <w:color w:val="auto"/>
            </w:rPr>
          </w:pPr>
          <w:r>
            <w:rPr>
              <w:color w:val="auto"/>
            </w:rPr>
            <w:fldChar w:fldCharType="begin"/>
          </w:r>
          <w:r>
            <w:rPr>
              <w:color w:val="auto"/>
            </w:rPr>
            <w:instrText xml:space="preserve"> HYPERLINK \l _Toc646677461 </w:instrText>
          </w:r>
          <w:r>
            <w:rPr>
              <w:color w:val="auto"/>
            </w:rPr>
            <w:fldChar w:fldCharType="separate"/>
          </w:r>
          <w:r>
            <w:rPr>
              <w:rFonts w:hint="eastAsia" w:ascii="黑体" w:hAnsi="Times New Roman" w:eastAsia="黑体" w:cs="Times New Roman"/>
              <w:bCs w:val="0"/>
              <w:i w:val="0"/>
              <w:iCs w:val="0"/>
              <w:caps w:val="0"/>
              <w:smallCaps w:val="0"/>
              <w:strike w:val="0"/>
              <w:dstrike w:val="0"/>
              <w:vanish w:val="0"/>
              <w:color w:val="auto"/>
              <w:spacing w:val="0"/>
              <w:kern w:val="0"/>
              <w:position w:val="0"/>
              <w:vertAlign w:val="baseline"/>
              <w:lang w:val="en-US" w:eastAsia="zh-CN"/>
            </w:rPr>
            <w:t xml:space="preserve">4.3 </w:t>
          </w:r>
          <w:r>
            <w:rPr>
              <w:rFonts w:hint="eastAsia"/>
              <w:color w:val="auto"/>
              <w:lang w:val="en-US" w:eastAsia="zh-CN"/>
            </w:rPr>
            <w:t>生产管理</w:t>
          </w:r>
          <w:r>
            <w:rPr>
              <w:color w:val="auto"/>
            </w:rPr>
            <w:tab/>
          </w:r>
          <w:r>
            <w:rPr>
              <w:color w:val="auto"/>
            </w:rPr>
            <w:fldChar w:fldCharType="begin"/>
          </w:r>
          <w:r>
            <w:rPr>
              <w:color w:val="auto"/>
            </w:rPr>
            <w:instrText xml:space="preserve"> PAGEREF _Toc646677461 \h </w:instrText>
          </w:r>
          <w:r>
            <w:rPr>
              <w:color w:val="auto"/>
            </w:rPr>
            <w:fldChar w:fldCharType="separate"/>
          </w:r>
          <w:r>
            <w:rPr>
              <w:color w:val="auto"/>
            </w:rPr>
            <w:t>2</w:t>
          </w:r>
          <w:r>
            <w:rPr>
              <w:color w:val="auto"/>
            </w:rPr>
            <w:fldChar w:fldCharType="end"/>
          </w:r>
          <w:r>
            <w:rPr>
              <w:color w:val="auto"/>
            </w:rPr>
            <w:fldChar w:fldCharType="end"/>
          </w:r>
        </w:p>
        <w:p w14:paraId="0E49057A">
          <w:pPr>
            <w:pStyle w:val="8"/>
            <w:tabs>
              <w:tab w:val="right" w:leader="dot" w:pos="8300"/>
            </w:tabs>
            <w:rPr>
              <w:color w:val="auto"/>
            </w:rPr>
          </w:pPr>
          <w:r>
            <w:rPr>
              <w:color w:val="auto"/>
            </w:rPr>
            <w:fldChar w:fldCharType="begin"/>
          </w:r>
          <w:r>
            <w:rPr>
              <w:color w:val="auto"/>
            </w:rPr>
            <w:instrText xml:space="preserve"> HYPERLINK \l _Toc1695343198 </w:instrText>
          </w:r>
          <w:r>
            <w:rPr>
              <w:color w:val="auto"/>
            </w:rPr>
            <w:fldChar w:fldCharType="separate"/>
          </w:r>
          <w:r>
            <w:rPr>
              <w:rFonts w:hint="eastAsia" w:ascii="黑体" w:hAnsi="Times New Roman" w:eastAsia="黑体" w:cs="Times New Roman"/>
              <w:bCs w:val="0"/>
              <w:i w:val="0"/>
              <w:iCs w:val="0"/>
              <w:caps w:val="0"/>
              <w:smallCaps w:val="0"/>
              <w:strike w:val="0"/>
              <w:dstrike w:val="0"/>
              <w:vanish w:val="0"/>
              <w:color w:val="auto"/>
              <w:spacing w:val="0"/>
              <w:kern w:val="0"/>
              <w:position w:val="0"/>
              <w:vertAlign w:val="baseline"/>
              <w:lang w:val="en-US" w:eastAsia="zh-CN"/>
            </w:rPr>
            <w:t xml:space="preserve">4.4 </w:t>
          </w:r>
          <w:r>
            <w:rPr>
              <w:rFonts w:hint="eastAsia"/>
              <w:color w:val="auto"/>
              <w:lang w:val="en-US" w:eastAsia="zh-CN"/>
            </w:rPr>
            <w:t>品质指标</w:t>
          </w:r>
          <w:r>
            <w:rPr>
              <w:color w:val="auto"/>
            </w:rPr>
            <w:tab/>
          </w:r>
          <w:r>
            <w:rPr>
              <w:color w:val="auto"/>
            </w:rPr>
            <w:fldChar w:fldCharType="begin"/>
          </w:r>
          <w:r>
            <w:rPr>
              <w:color w:val="auto"/>
            </w:rPr>
            <w:instrText xml:space="preserve"> PAGEREF _Toc1695343198 \h </w:instrText>
          </w:r>
          <w:r>
            <w:rPr>
              <w:color w:val="auto"/>
            </w:rPr>
            <w:fldChar w:fldCharType="separate"/>
          </w:r>
          <w:r>
            <w:rPr>
              <w:color w:val="auto"/>
            </w:rPr>
            <w:t>2</w:t>
          </w:r>
          <w:r>
            <w:rPr>
              <w:color w:val="auto"/>
            </w:rPr>
            <w:fldChar w:fldCharType="end"/>
          </w:r>
          <w:r>
            <w:rPr>
              <w:color w:val="auto"/>
            </w:rPr>
            <w:fldChar w:fldCharType="end"/>
          </w:r>
        </w:p>
        <w:p w14:paraId="083E42DE">
          <w:pPr>
            <w:pStyle w:val="8"/>
            <w:tabs>
              <w:tab w:val="right" w:leader="dot" w:pos="8300"/>
            </w:tabs>
            <w:rPr>
              <w:color w:val="auto"/>
            </w:rPr>
          </w:pPr>
          <w:r>
            <w:rPr>
              <w:color w:val="auto"/>
            </w:rPr>
            <w:fldChar w:fldCharType="begin"/>
          </w:r>
          <w:r>
            <w:rPr>
              <w:color w:val="auto"/>
            </w:rPr>
            <w:instrText xml:space="preserve"> HYPERLINK \l _Toc1158826169 </w:instrText>
          </w:r>
          <w:r>
            <w:rPr>
              <w:color w:val="auto"/>
            </w:rPr>
            <w:fldChar w:fldCharType="separate"/>
          </w:r>
          <w:r>
            <w:rPr>
              <w:rFonts w:hint="eastAsia" w:ascii="黑体" w:hAnsi="Times New Roman" w:eastAsia="黑体" w:cs="Times New Roman"/>
              <w:bCs w:val="0"/>
              <w:i w:val="0"/>
              <w:iCs w:val="0"/>
              <w:caps w:val="0"/>
              <w:smallCaps w:val="0"/>
              <w:strike w:val="0"/>
              <w:dstrike w:val="0"/>
              <w:vanish w:val="0"/>
              <w:color w:val="auto"/>
              <w:spacing w:val="0"/>
              <w:kern w:val="0"/>
              <w:position w:val="0"/>
              <w:vertAlign w:val="baseline"/>
              <w:lang w:val="en-US" w:eastAsia="zh-CN"/>
            </w:rPr>
            <w:t xml:space="preserve">4.5 </w:t>
          </w:r>
          <w:r>
            <w:rPr>
              <w:rFonts w:hint="eastAsia"/>
              <w:color w:val="auto"/>
              <w:lang w:val="en-US" w:eastAsia="zh-CN"/>
            </w:rPr>
            <w:t>加工流通</w:t>
          </w:r>
          <w:r>
            <w:rPr>
              <w:color w:val="auto"/>
            </w:rPr>
            <w:tab/>
          </w:r>
          <w:r>
            <w:rPr>
              <w:color w:val="auto"/>
            </w:rPr>
            <w:fldChar w:fldCharType="begin"/>
          </w:r>
          <w:r>
            <w:rPr>
              <w:color w:val="auto"/>
            </w:rPr>
            <w:instrText xml:space="preserve"> PAGEREF _Toc1158826169 \h </w:instrText>
          </w:r>
          <w:r>
            <w:rPr>
              <w:color w:val="auto"/>
            </w:rPr>
            <w:fldChar w:fldCharType="separate"/>
          </w:r>
          <w:r>
            <w:rPr>
              <w:color w:val="auto"/>
            </w:rPr>
            <w:t>2</w:t>
          </w:r>
          <w:r>
            <w:rPr>
              <w:color w:val="auto"/>
            </w:rPr>
            <w:fldChar w:fldCharType="end"/>
          </w:r>
          <w:r>
            <w:rPr>
              <w:color w:val="auto"/>
            </w:rPr>
            <w:fldChar w:fldCharType="end"/>
          </w:r>
        </w:p>
        <w:p w14:paraId="6E0ECDDC">
          <w:pPr>
            <w:pStyle w:val="8"/>
            <w:tabs>
              <w:tab w:val="right" w:leader="dot" w:pos="8300"/>
            </w:tabs>
            <w:rPr>
              <w:color w:val="auto"/>
            </w:rPr>
          </w:pPr>
          <w:r>
            <w:rPr>
              <w:color w:val="auto"/>
            </w:rPr>
            <w:fldChar w:fldCharType="begin"/>
          </w:r>
          <w:r>
            <w:rPr>
              <w:color w:val="auto"/>
            </w:rPr>
            <w:instrText xml:space="preserve"> HYPERLINK \l _Toc1032842545 </w:instrText>
          </w:r>
          <w:r>
            <w:rPr>
              <w:color w:val="auto"/>
            </w:rPr>
            <w:fldChar w:fldCharType="separate"/>
          </w:r>
          <w:r>
            <w:rPr>
              <w:rFonts w:hint="eastAsia" w:ascii="黑体" w:hAnsi="Times New Roman" w:eastAsia="黑体" w:cs="Times New Roman"/>
              <w:bCs w:val="0"/>
              <w:i w:val="0"/>
              <w:iCs w:val="0"/>
              <w:caps w:val="0"/>
              <w:smallCaps w:val="0"/>
              <w:strike w:val="0"/>
              <w:dstrike w:val="0"/>
              <w:vanish w:val="0"/>
              <w:color w:val="auto"/>
              <w:spacing w:val="0"/>
              <w:kern w:val="0"/>
              <w:position w:val="0"/>
              <w:vertAlign w:val="baseline"/>
              <w:lang w:val="en-US" w:eastAsia="zh-CN"/>
            </w:rPr>
            <w:t xml:space="preserve">4.6 </w:t>
          </w:r>
          <w:r>
            <w:rPr>
              <w:rFonts w:hint="eastAsia"/>
              <w:color w:val="auto"/>
              <w:highlight w:val="none"/>
              <w:lang w:val="en-US" w:eastAsia="zh-CN"/>
            </w:rPr>
            <w:t>运输贮存</w:t>
          </w:r>
          <w:r>
            <w:rPr>
              <w:color w:val="auto"/>
            </w:rPr>
            <w:tab/>
          </w:r>
          <w:r>
            <w:rPr>
              <w:color w:val="auto"/>
            </w:rPr>
            <w:fldChar w:fldCharType="begin"/>
          </w:r>
          <w:r>
            <w:rPr>
              <w:color w:val="auto"/>
            </w:rPr>
            <w:instrText xml:space="preserve"> PAGEREF _Toc1032842545 \h </w:instrText>
          </w:r>
          <w:r>
            <w:rPr>
              <w:color w:val="auto"/>
            </w:rPr>
            <w:fldChar w:fldCharType="separate"/>
          </w:r>
          <w:r>
            <w:rPr>
              <w:color w:val="auto"/>
            </w:rPr>
            <w:t>2</w:t>
          </w:r>
          <w:r>
            <w:rPr>
              <w:color w:val="auto"/>
            </w:rPr>
            <w:fldChar w:fldCharType="end"/>
          </w:r>
          <w:r>
            <w:rPr>
              <w:color w:val="auto"/>
            </w:rPr>
            <w:fldChar w:fldCharType="end"/>
          </w:r>
        </w:p>
        <w:p w14:paraId="01FE1989">
          <w:pPr>
            <w:pStyle w:val="8"/>
            <w:tabs>
              <w:tab w:val="right" w:leader="dot" w:pos="8300"/>
            </w:tabs>
            <w:rPr>
              <w:color w:val="auto"/>
            </w:rPr>
          </w:pPr>
          <w:r>
            <w:rPr>
              <w:color w:val="auto"/>
            </w:rPr>
            <w:fldChar w:fldCharType="begin"/>
          </w:r>
          <w:r>
            <w:rPr>
              <w:color w:val="auto"/>
            </w:rPr>
            <w:instrText xml:space="preserve"> HYPERLINK \l _Toc1244281881 </w:instrText>
          </w:r>
          <w:r>
            <w:rPr>
              <w:color w:val="auto"/>
            </w:rPr>
            <w:fldChar w:fldCharType="separate"/>
          </w:r>
          <w:r>
            <w:rPr>
              <w:rFonts w:hint="eastAsia" w:ascii="黑体" w:hAnsi="Times New Roman" w:eastAsia="黑体" w:cs="Times New Roman"/>
              <w:bCs w:val="0"/>
              <w:i w:val="0"/>
              <w:iCs w:val="0"/>
              <w:caps w:val="0"/>
              <w:smallCaps w:val="0"/>
              <w:strike w:val="0"/>
              <w:dstrike w:val="0"/>
              <w:vanish w:val="0"/>
              <w:color w:val="auto"/>
              <w:spacing w:val="0"/>
              <w:kern w:val="0"/>
              <w:position w:val="0"/>
              <w:vertAlign w:val="baseline"/>
              <w:lang w:val="en-US" w:eastAsia="zh-CN"/>
            </w:rPr>
            <w:t xml:space="preserve">4.7 </w:t>
          </w:r>
          <w:r>
            <w:rPr>
              <w:rFonts w:hint="eastAsia"/>
              <w:color w:val="auto"/>
              <w:lang w:val="en-US" w:eastAsia="zh-CN"/>
            </w:rPr>
            <w:t>品牌授权主体资格</w:t>
          </w:r>
          <w:r>
            <w:rPr>
              <w:color w:val="auto"/>
            </w:rPr>
            <w:tab/>
          </w:r>
          <w:r>
            <w:rPr>
              <w:color w:val="auto"/>
            </w:rPr>
            <w:fldChar w:fldCharType="begin"/>
          </w:r>
          <w:r>
            <w:rPr>
              <w:color w:val="auto"/>
            </w:rPr>
            <w:instrText xml:space="preserve"> PAGEREF _Toc1244281881 \h </w:instrText>
          </w:r>
          <w:r>
            <w:rPr>
              <w:color w:val="auto"/>
            </w:rPr>
            <w:fldChar w:fldCharType="separate"/>
          </w:r>
          <w:r>
            <w:rPr>
              <w:color w:val="auto"/>
            </w:rPr>
            <w:t>2</w:t>
          </w:r>
          <w:r>
            <w:rPr>
              <w:color w:val="auto"/>
            </w:rPr>
            <w:fldChar w:fldCharType="end"/>
          </w:r>
          <w:r>
            <w:rPr>
              <w:color w:val="auto"/>
            </w:rPr>
            <w:fldChar w:fldCharType="end"/>
          </w:r>
        </w:p>
        <w:p w14:paraId="021D79F4">
          <w:pPr>
            <w:pStyle w:val="7"/>
            <w:tabs>
              <w:tab w:val="right" w:leader="dot" w:pos="8300"/>
            </w:tabs>
            <w:rPr>
              <w:color w:val="auto"/>
            </w:rPr>
          </w:pPr>
          <w:r>
            <w:rPr>
              <w:color w:val="auto"/>
            </w:rPr>
            <w:fldChar w:fldCharType="begin"/>
          </w:r>
          <w:r>
            <w:rPr>
              <w:color w:val="auto"/>
            </w:rPr>
            <w:instrText xml:space="preserve"> HYPERLINK \l _Toc450233676 </w:instrText>
          </w:r>
          <w:r>
            <w:rPr>
              <w:color w:val="auto"/>
            </w:rPr>
            <w:fldChar w:fldCharType="separate"/>
          </w:r>
          <w:r>
            <w:rPr>
              <w:rFonts w:hint="eastAsia" w:ascii="黑体" w:eastAsia="黑体"/>
              <w:i w:val="0"/>
              <w:color w:val="auto"/>
            </w:rPr>
            <w:t xml:space="preserve">5 </w:t>
          </w:r>
          <w:r>
            <w:rPr>
              <w:rFonts w:hint="eastAsia"/>
              <w:color w:val="auto"/>
            </w:rPr>
            <w:t>认证管理</w:t>
          </w:r>
          <w:r>
            <w:rPr>
              <w:color w:val="auto"/>
            </w:rPr>
            <w:tab/>
          </w:r>
          <w:r>
            <w:rPr>
              <w:color w:val="auto"/>
            </w:rPr>
            <w:fldChar w:fldCharType="begin"/>
          </w:r>
          <w:r>
            <w:rPr>
              <w:color w:val="auto"/>
            </w:rPr>
            <w:instrText xml:space="preserve"> PAGEREF _Toc450233676 \h </w:instrText>
          </w:r>
          <w:r>
            <w:rPr>
              <w:color w:val="auto"/>
            </w:rPr>
            <w:fldChar w:fldCharType="separate"/>
          </w:r>
          <w:r>
            <w:rPr>
              <w:color w:val="auto"/>
            </w:rPr>
            <w:t>3</w:t>
          </w:r>
          <w:r>
            <w:rPr>
              <w:color w:val="auto"/>
            </w:rPr>
            <w:fldChar w:fldCharType="end"/>
          </w:r>
          <w:r>
            <w:rPr>
              <w:color w:val="auto"/>
            </w:rPr>
            <w:fldChar w:fldCharType="end"/>
          </w:r>
        </w:p>
        <w:p w14:paraId="445D8978">
          <w:pPr>
            <w:pStyle w:val="8"/>
            <w:tabs>
              <w:tab w:val="right" w:leader="dot" w:pos="8300"/>
            </w:tabs>
            <w:rPr>
              <w:color w:val="auto"/>
            </w:rPr>
          </w:pPr>
          <w:r>
            <w:rPr>
              <w:color w:val="auto"/>
            </w:rPr>
            <w:fldChar w:fldCharType="begin"/>
          </w:r>
          <w:r>
            <w:rPr>
              <w:color w:val="auto"/>
            </w:rPr>
            <w:instrText xml:space="preserve"> HYPERLINK \l _Toc1599218892 </w:instrText>
          </w:r>
          <w:r>
            <w:rPr>
              <w:color w:val="auto"/>
            </w:rPr>
            <w:fldChar w:fldCharType="separate"/>
          </w:r>
          <w:r>
            <w:rPr>
              <w:rFonts w:hint="eastAsia" w:ascii="黑体" w:hAnsi="Times New Roman" w:eastAsia="黑体" w:cs="Times New Roman"/>
              <w:bCs w:val="0"/>
              <w:i w:val="0"/>
              <w:iCs w:val="0"/>
              <w:caps w:val="0"/>
              <w:smallCaps w:val="0"/>
              <w:strike w:val="0"/>
              <w:dstrike w:val="0"/>
              <w:vanish w:val="0"/>
              <w:color w:val="auto"/>
              <w:spacing w:val="0"/>
              <w:kern w:val="0"/>
              <w:position w:val="0"/>
              <w:vertAlign w:val="baseline"/>
              <w:lang w:val="en-US" w:eastAsia="zh-CN"/>
            </w:rPr>
            <w:t xml:space="preserve">5.1 </w:t>
          </w:r>
          <w:r>
            <w:rPr>
              <w:rFonts w:hint="eastAsia"/>
              <w:color w:val="auto"/>
              <w:highlight w:val="none"/>
              <w:lang w:val="en-US" w:eastAsia="zh-CN"/>
            </w:rPr>
            <w:t>准入流程</w:t>
          </w:r>
          <w:r>
            <w:rPr>
              <w:color w:val="auto"/>
            </w:rPr>
            <w:tab/>
          </w:r>
          <w:r>
            <w:rPr>
              <w:color w:val="auto"/>
            </w:rPr>
            <w:fldChar w:fldCharType="begin"/>
          </w:r>
          <w:r>
            <w:rPr>
              <w:color w:val="auto"/>
            </w:rPr>
            <w:instrText xml:space="preserve"> PAGEREF _Toc1599218892 \h </w:instrText>
          </w:r>
          <w:r>
            <w:rPr>
              <w:color w:val="auto"/>
            </w:rPr>
            <w:fldChar w:fldCharType="separate"/>
          </w:r>
          <w:r>
            <w:rPr>
              <w:color w:val="auto"/>
            </w:rPr>
            <w:t>3</w:t>
          </w:r>
          <w:r>
            <w:rPr>
              <w:color w:val="auto"/>
            </w:rPr>
            <w:fldChar w:fldCharType="end"/>
          </w:r>
          <w:r>
            <w:rPr>
              <w:color w:val="auto"/>
            </w:rPr>
            <w:fldChar w:fldCharType="end"/>
          </w:r>
        </w:p>
        <w:p w14:paraId="561FA8EF">
          <w:pPr>
            <w:pStyle w:val="8"/>
            <w:tabs>
              <w:tab w:val="right" w:leader="dot" w:pos="8300"/>
            </w:tabs>
            <w:rPr>
              <w:color w:val="auto"/>
            </w:rPr>
          </w:pPr>
          <w:r>
            <w:rPr>
              <w:color w:val="auto"/>
            </w:rPr>
            <w:fldChar w:fldCharType="begin"/>
          </w:r>
          <w:r>
            <w:rPr>
              <w:color w:val="auto"/>
            </w:rPr>
            <w:instrText xml:space="preserve"> HYPERLINK \l _Toc964126503 </w:instrText>
          </w:r>
          <w:r>
            <w:rPr>
              <w:color w:val="auto"/>
            </w:rPr>
            <w:fldChar w:fldCharType="separate"/>
          </w:r>
          <w:r>
            <w:rPr>
              <w:rFonts w:hint="eastAsia" w:ascii="黑体" w:hAnsi="Times New Roman" w:eastAsia="黑体" w:cs="Times New Roman"/>
              <w:bCs w:val="0"/>
              <w:i w:val="0"/>
              <w:iCs w:val="0"/>
              <w:caps w:val="0"/>
              <w:smallCaps w:val="0"/>
              <w:strike w:val="0"/>
              <w:dstrike w:val="0"/>
              <w:vanish w:val="0"/>
              <w:color w:val="auto"/>
              <w:spacing w:val="0"/>
              <w:kern w:val="0"/>
              <w:position w:val="0"/>
              <w:vertAlign w:val="baseline"/>
              <w:lang w:val="en-US" w:eastAsia="zh-CN"/>
            </w:rPr>
            <w:t xml:space="preserve">5.2 </w:t>
          </w:r>
          <w:r>
            <w:rPr>
              <w:rFonts w:hint="eastAsia"/>
              <w:color w:val="auto"/>
              <w:lang w:val="en-US" w:eastAsia="zh-CN"/>
            </w:rPr>
            <w:t>监督管理</w:t>
          </w:r>
          <w:r>
            <w:rPr>
              <w:color w:val="auto"/>
            </w:rPr>
            <w:tab/>
          </w:r>
          <w:r>
            <w:rPr>
              <w:color w:val="auto"/>
            </w:rPr>
            <w:fldChar w:fldCharType="begin"/>
          </w:r>
          <w:r>
            <w:rPr>
              <w:color w:val="auto"/>
            </w:rPr>
            <w:instrText xml:space="preserve"> PAGEREF _Toc964126503 \h </w:instrText>
          </w:r>
          <w:r>
            <w:rPr>
              <w:color w:val="auto"/>
            </w:rPr>
            <w:fldChar w:fldCharType="separate"/>
          </w:r>
          <w:r>
            <w:rPr>
              <w:color w:val="auto"/>
            </w:rPr>
            <w:t>3</w:t>
          </w:r>
          <w:r>
            <w:rPr>
              <w:color w:val="auto"/>
            </w:rPr>
            <w:fldChar w:fldCharType="end"/>
          </w:r>
          <w:r>
            <w:rPr>
              <w:color w:val="auto"/>
            </w:rPr>
            <w:fldChar w:fldCharType="end"/>
          </w:r>
        </w:p>
        <w:p w14:paraId="774F7EDC">
          <w:pPr>
            <w:pStyle w:val="7"/>
            <w:tabs>
              <w:tab w:val="right" w:leader="dot" w:pos="8300"/>
            </w:tabs>
            <w:rPr>
              <w:color w:val="auto"/>
            </w:rPr>
          </w:pPr>
          <w:r>
            <w:rPr>
              <w:color w:val="auto"/>
            </w:rPr>
            <w:fldChar w:fldCharType="begin"/>
          </w:r>
          <w:r>
            <w:rPr>
              <w:color w:val="auto"/>
            </w:rPr>
            <w:instrText xml:space="preserve"> HYPERLINK \l _Toc2039243223 </w:instrText>
          </w:r>
          <w:r>
            <w:rPr>
              <w:color w:val="auto"/>
            </w:rPr>
            <w:fldChar w:fldCharType="separate"/>
          </w:r>
          <w:r>
            <w:rPr>
              <w:rFonts w:hint="eastAsia" w:ascii="黑体" w:eastAsia="黑体"/>
              <w:i w:val="0"/>
              <w:color w:val="auto"/>
            </w:rPr>
            <w:t xml:space="preserve">6 </w:t>
          </w:r>
          <w:r>
            <w:rPr>
              <w:rFonts w:hint="eastAsia"/>
              <w:color w:val="auto"/>
            </w:rPr>
            <w:t>退出机制</w:t>
          </w:r>
          <w:r>
            <w:rPr>
              <w:color w:val="auto"/>
            </w:rPr>
            <w:tab/>
          </w:r>
          <w:r>
            <w:rPr>
              <w:color w:val="auto"/>
            </w:rPr>
            <w:fldChar w:fldCharType="begin"/>
          </w:r>
          <w:r>
            <w:rPr>
              <w:color w:val="auto"/>
            </w:rPr>
            <w:instrText xml:space="preserve"> PAGEREF _Toc2039243223 \h </w:instrText>
          </w:r>
          <w:r>
            <w:rPr>
              <w:color w:val="auto"/>
            </w:rPr>
            <w:fldChar w:fldCharType="separate"/>
          </w:r>
          <w:r>
            <w:rPr>
              <w:color w:val="auto"/>
            </w:rPr>
            <w:t>3</w:t>
          </w:r>
          <w:r>
            <w:rPr>
              <w:color w:val="auto"/>
            </w:rPr>
            <w:fldChar w:fldCharType="end"/>
          </w:r>
          <w:r>
            <w:rPr>
              <w:color w:val="auto"/>
            </w:rPr>
            <w:fldChar w:fldCharType="end"/>
          </w:r>
        </w:p>
        <w:p w14:paraId="78A7F267">
          <w:pPr>
            <w:pStyle w:val="8"/>
            <w:tabs>
              <w:tab w:val="right" w:leader="dot" w:pos="8300"/>
            </w:tabs>
            <w:rPr>
              <w:color w:val="auto"/>
            </w:rPr>
          </w:pPr>
          <w:r>
            <w:rPr>
              <w:color w:val="auto"/>
            </w:rPr>
            <w:fldChar w:fldCharType="begin"/>
          </w:r>
          <w:r>
            <w:rPr>
              <w:color w:val="auto"/>
            </w:rPr>
            <w:instrText xml:space="preserve"> HYPERLINK \l _Toc1047929004 </w:instrText>
          </w:r>
          <w:r>
            <w:rPr>
              <w:color w:val="auto"/>
            </w:rPr>
            <w:fldChar w:fldCharType="separate"/>
          </w:r>
          <w:r>
            <w:rPr>
              <w:rFonts w:hint="eastAsia" w:ascii="黑体" w:hAnsi="Times New Roman" w:eastAsia="黑体" w:cs="Times New Roman"/>
              <w:bCs w:val="0"/>
              <w:i w:val="0"/>
              <w:iCs w:val="0"/>
              <w:caps w:val="0"/>
              <w:smallCaps w:val="0"/>
              <w:strike w:val="0"/>
              <w:dstrike w:val="0"/>
              <w:vanish w:val="0"/>
              <w:color w:val="auto"/>
              <w:spacing w:val="0"/>
              <w:kern w:val="0"/>
              <w:position w:val="0"/>
              <w:vertAlign w:val="baseline"/>
              <w:lang w:val="en-US" w:eastAsia="zh-CN"/>
            </w:rPr>
            <w:t xml:space="preserve">6.1 </w:t>
          </w:r>
          <w:r>
            <w:rPr>
              <w:rFonts w:hint="eastAsia"/>
              <w:color w:val="auto"/>
              <w:highlight w:val="none"/>
              <w:lang w:val="en-US" w:eastAsia="zh-CN"/>
            </w:rPr>
            <w:t>退出情形</w:t>
          </w:r>
          <w:r>
            <w:rPr>
              <w:color w:val="auto"/>
            </w:rPr>
            <w:tab/>
          </w:r>
          <w:r>
            <w:rPr>
              <w:color w:val="auto"/>
            </w:rPr>
            <w:fldChar w:fldCharType="begin"/>
          </w:r>
          <w:r>
            <w:rPr>
              <w:color w:val="auto"/>
            </w:rPr>
            <w:instrText xml:space="preserve"> PAGEREF _Toc1047929004 \h </w:instrText>
          </w:r>
          <w:r>
            <w:rPr>
              <w:color w:val="auto"/>
            </w:rPr>
            <w:fldChar w:fldCharType="separate"/>
          </w:r>
          <w:r>
            <w:rPr>
              <w:color w:val="auto"/>
            </w:rPr>
            <w:t>3</w:t>
          </w:r>
          <w:r>
            <w:rPr>
              <w:color w:val="auto"/>
            </w:rPr>
            <w:fldChar w:fldCharType="end"/>
          </w:r>
          <w:r>
            <w:rPr>
              <w:color w:val="auto"/>
            </w:rPr>
            <w:fldChar w:fldCharType="end"/>
          </w:r>
        </w:p>
        <w:p w14:paraId="26D57A3D">
          <w:pPr>
            <w:pStyle w:val="8"/>
            <w:tabs>
              <w:tab w:val="right" w:leader="dot" w:pos="8300"/>
            </w:tabs>
            <w:rPr>
              <w:color w:val="auto"/>
            </w:rPr>
          </w:pPr>
          <w:r>
            <w:rPr>
              <w:color w:val="auto"/>
            </w:rPr>
            <w:fldChar w:fldCharType="begin"/>
          </w:r>
          <w:r>
            <w:rPr>
              <w:color w:val="auto"/>
            </w:rPr>
            <w:instrText xml:space="preserve"> HYPERLINK \l _Toc1444132034 </w:instrText>
          </w:r>
          <w:r>
            <w:rPr>
              <w:color w:val="auto"/>
            </w:rPr>
            <w:fldChar w:fldCharType="separate"/>
          </w:r>
          <w:r>
            <w:rPr>
              <w:rFonts w:hint="eastAsia" w:ascii="黑体" w:hAnsi="Times New Roman" w:eastAsia="黑体" w:cs="Times New Roman"/>
              <w:bCs w:val="0"/>
              <w:i w:val="0"/>
              <w:iCs w:val="0"/>
              <w:caps w:val="0"/>
              <w:smallCaps w:val="0"/>
              <w:strike w:val="0"/>
              <w:dstrike w:val="0"/>
              <w:vanish w:val="0"/>
              <w:color w:val="auto"/>
              <w:spacing w:val="0"/>
              <w:kern w:val="0"/>
              <w:position w:val="0"/>
              <w:vertAlign w:val="baseline"/>
              <w:lang w:val="en-US" w:eastAsia="zh-CN"/>
            </w:rPr>
            <w:t xml:space="preserve">6.2 </w:t>
          </w:r>
          <w:r>
            <w:rPr>
              <w:rFonts w:hint="eastAsia"/>
              <w:color w:val="auto"/>
              <w:lang w:val="en-US" w:eastAsia="zh-CN"/>
            </w:rPr>
            <w:t>退出流程</w:t>
          </w:r>
          <w:r>
            <w:rPr>
              <w:color w:val="auto"/>
            </w:rPr>
            <w:tab/>
          </w:r>
          <w:r>
            <w:rPr>
              <w:color w:val="auto"/>
            </w:rPr>
            <w:fldChar w:fldCharType="begin"/>
          </w:r>
          <w:r>
            <w:rPr>
              <w:color w:val="auto"/>
            </w:rPr>
            <w:instrText xml:space="preserve"> PAGEREF _Toc1444132034 \h </w:instrText>
          </w:r>
          <w:r>
            <w:rPr>
              <w:color w:val="auto"/>
            </w:rPr>
            <w:fldChar w:fldCharType="separate"/>
          </w:r>
          <w:r>
            <w:rPr>
              <w:color w:val="auto"/>
            </w:rPr>
            <w:t>3</w:t>
          </w:r>
          <w:r>
            <w:rPr>
              <w:color w:val="auto"/>
            </w:rPr>
            <w:fldChar w:fldCharType="end"/>
          </w:r>
          <w:r>
            <w:rPr>
              <w:color w:val="auto"/>
            </w:rPr>
            <w:fldChar w:fldCharType="end"/>
          </w:r>
        </w:p>
        <w:p w14:paraId="1629EBBF">
          <w:pPr>
            <w:pStyle w:val="7"/>
            <w:tabs>
              <w:tab w:val="right" w:leader="dot" w:pos="8300"/>
            </w:tabs>
            <w:rPr>
              <w:color w:val="auto"/>
            </w:rPr>
          </w:pPr>
          <w:r>
            <w:rPr>
              <w:color w:val="auto"/>
            </w:rPr>
            <w:fldChar w:fldCharType="begin"/>
          </w:r>
          <w:r>
            <w:rPr>
              <w:color w:val="auto"/>
            </w:rPr>
            <w:instrText xml:space="preserve"> HYPERLINK \l _Toc732508370 </w:instrText>
          </w:r>
          <w:r>
            <w:rPr>
              <w:color w:val="auto"/>
            </w:rPr>
            <w:fldChar w:fldCharType="separate"/>
          </w:r>
          <w:r>
            <w:rPr>
              <w:rFonts w:hint="eastAsia" w:ascii="黑体" w:hAnsi="Times New Roman" w:eastAsia="黑体" w:cs="Times New Roman"/>
              <w:snapToGrid w:val="0"/>
              <w:color w:val="auto"/>
              <w:kern w:val="0"/>
              <w:szCs w:val="20"/>
              <w:lang w:val="en-US" w:eastAsia="zh-CN" w:bidi="ar-SA"/>
            </w:rPr>
            <w:t>附 录  A</w:t>
          </w:r>
          <w:r>
            <w:rPr>
              <w:color w:val="auto"/>
            </w:rPr>
            <w:tab/>
          </w:r>
          <w:r>
            <w:rPr>
              <w:color w:val="auto"/>
            </w:rPr>
            <w:fldChar w:fldCharType="begin"/>
          </w:r>
          <w:r>
            <w:rPr>
              <w:color w:val="auto"/>
            </w:rPr>
            <w:instrText xml:space="preserve"> PAGEREF _Toc732508370 \h </w:instrText>
          </w:r>
          <w:r>
            <w:rPr>
              <w:color w:val="auto"/>
            </w:rPr>
            <w:fldChar w:fldCharType="separate"/>
          </w:r>
          <w:r>
            <w:rPr>
              <w:color w:val="auto"/>
            </w:rPr>
            <w:t>1</w:t>
          </w:r>
          <w:r>
            <w:rPr>
              <w:color w:val="auto"/>
            </w:rPr>
            <w:fldChar w:fldCharType="end"/>
          </w:r>
          <w:r>
            <w:rPr>
              <w:color w:val="auto"/>
            </w:rPr>
            <w:fldChar w:fldCharType="end"/>
          </w:r>
        </w:p>
        <w:p w14:paraId="66A07F44">
          <w:pPr>
            <w:pStyle w:val="7"/>
            <w:tabs>
              <w:tab w:val="right" w:leader="dot" w:pos="8300"/>
            </w:tabs>
            <w:rPr>
              <w:color w:val="auto"/>
            </w:rPr>
          </w:pPr>
          <w:r>
            <w:rPr>
              <w:color w:val="auto"/>
            </w:rPr>
            <w:fldChar w:fldCharType="begin"/>
          </w:r>
          <w:r>
            <w:rPr>
              <w:color w:val="auto"/>
            </w:rPr>
            <w:instrText xml:space="preserve"> HYPERLINK \l _Toc474927378 </w:instrText>
          </w:r>
          <w:r>
            <w:rPr>
              <w:color w:val="auto"/>
            </w:rPr>
            <w:fldChar w:fldCharType="separate"/>
          </w:r>
          <w:r>
            <w:rPr>
              <w:rFonts w:hint="eastAsia"/>
              <w:color w:val="auto"/>
              <w:lang w:val="en-US" w:eastAsia="zh-CN"/>
            </w:rPr>
            <w:t>A.1  各环节风险分析</w:t>
          </w:r>
          <w:r>
            <w:rPr>
              <w:color w:val="auto"/>
            </w:rPr>
            <w:tab/>
          </w:r>
          <w:r>
            <w:rPr>
              <w:color w:val="auto"/>
            </w:rPr>
            <w:fldChar w:fldCharType="begin"/>
          </w:r>
          <w:r>
            <w:rPr>
              <w:color w:val="auto"/>
            </w:rPr>
            <w:instrText xml:space="preserve"> PAGEREF _Toc474927378 \h </w:instrText>
          </w:r>
          <w:r>
            <w:rPr>
              <w:color w:val="auto"/>
            </w:rPr>
            <w:fldChar w:fldCharType="separate"/>
          </w:r>
          <w:r>
            <w:rPr>
              <w:color w:val="auto"/>
            </w:rPr>
            <w:t>2</w:t>
          </w:r>
          <w:r>
            <w:rPr>
              <w:color w:val="auto"/>
            </w:rPr>
            <w:fldChar w:fldCharType="end"/>
          </w:r>
          <w:r>
            <w:rPr>
              <w:color w:val="auto"/>
            </w:rPr>
            <w:fldChar w:fldCharType="end"/>
          </w:r>
        </w:p>
        <w:p w14:paraId="2FB279D0">
          <w:pPr>
            <w:pStyle w:val="8"/>
            <w:tabs>
              <w:tab w:val="right" w:leader="dot" w:pos="8300"/>
            </w:tabs>
            <w:rPr>
              <w:color w:val="auto"/>
            </w:rPr>
          </w:pPr>
          <w:r>
            <w:rPr>
              <w:color w:val="auto"/>
            </w:rPr>
            <w:fldChar w:fldCharType="begin"/>
          </w:r>
          <w:r>
            <w:rPr>
              <w:color w:val="auto"/>
            </w:rPr>
            <w:instrText xml:space="preserve"> HYPERLINK \l _Toc993243993 </w:instrText>
          </w:r>
          <w:r>
            <w:rPr>
              <w:color w:val="auto"/>
            </w:rPr>
            <w:fldChar w:fldCharType="separate"/>
          </w:r>
          <w:r>
            <w:rPr>
              <w:rFonts w:hint="eastAsia" w:ascii="宋体" w:hAnsi="Times New Roman" w:eastAsia="宋体" w:cs="Times New Roman"/>
              <w:color w:val="auto"/>
              <w:lang w:val="en-US" w:eastAsia="zh-CN" w:bidi="ar-SA"/>
            </w:rPr>
            <w:t>A.1.1  苹果种植及采摘</w:t>
          </w:r>
          <w:r>
            <w:rPr>
              <w:color w:val="auto"/>
            </w:rPr>
            <w:tab/>
          </w:r>
          <w:r>
            <w:rPr>
              <w:color w:val="auto"/>
            </w:rPr>
            <w:fldChar w:fldCharType="begin"/>
          </w:r>
          <w:r>
            <w:rPr>
              <w:color w:val="auto"/>
            </w:rPr>
            <w:instrText xml:space="preserve"> PAGEREF _Toc993243993 \h </w:instrText>
          </w:r>
          <w:r>
            <w:rPr>
              <w:color w:val="auto"/>
            </w:rPr>
            <w:fldChar w:fldCharType="separate"/>
          </w:r>
          <w:r>
            <w:rPr>
              <w:color w:val="auto"/>
            </w:rPr>
            <w:t>2</w:t>
          </w:r>
          <w:r>
            <w:rPr>
              <w:color w:val="auto"/>
            </w:rPr>
            <w:fldChar w:fldCharType="end"/>
          </w:r>
          <w:r>
            <w:rPr>
              <w:color w:val="auto"/>
            </w:rPr>
            <w:fldChar w:fldCharType="end"/>
          </w:r>
        </w:p>
        <w:p w14:paraId="70A38302">
          <w:pPr>
            <w:pStyle w:val="8"/>
            <w:tabs>
              <w:tab w:val="right" w:leader="dot" w:pos="8300"/>
            </w:tabs>
            <w:rPr>
              <w:color w:val="auto"/>
            </w:rPr>
          </w:pPr>
          <w:r>
            <w:rPr>
              <w:color w:val="auto"/>
            </w:rPr>
            <w:fldChar w:fldCharType="begin"/>
          </w:r>
          <w:r>
            <w:rPr>
              <w:color w:val="auto"/>
            </w:rPr>
            <w:instrText xml:space="preserve"> HYPERLINK \l _Toc691033593 </w:instrText>
          </w:r>
          <w:r>
            <w:rPr>
              <w:color w:val="auto"/>
            </w:rPr>
            <w:fldChar w:fldCharType="separate"/>
          </w:r>
          <w:r>
            <w:rPr>
              <w:rFonts w:hint="eastAsia" w:ascii="宋体" w:hAnsi="Times New Roman" w:eastAsia="宋体" w:cs="Times New Roman"/>
              <w:color w:val="auto"/>
              <w:lang w:val="en-US" w:eastAsia="zh-CN" w:bidi="ar-SA"/>
            </w:rPr>
            <w:t>A.1.2  原辅料采购</w:t>
          </w:r>
          <w:r>
            <w:rPr>
              <w:color w:val="auto"/>
            </w:rPr>
            <w:tab/>
          </w:r>
          <w:r>
            <w:rPr>
              <w:color w:val="auto"/>
            </w:rPr>
            <w:fldChar w:fldCharType="begin"/>
          </w:r>
          <w:r>
            <w:rPr>
              <w:color w:val="auto"/>
            </w:rPr>
            <w:instrText xml:space="preserve"> PAGEREF _Toc691033593 \h </w:instrText>
          </w:r>
          <w:r>
            <w:rPr>
              <w:color w:val="auto"/>
            </w:rPr>
            <w:fldChar w:fldCharType="separate"/>
          </w:r>
          <w:r>
            <w:rPr>
              <w:color w:val="auto"/>
            </w:rPr>
            <w:t>3</w:t>
          </w:r>
          <w:r>
            <w:rPr>
              <w:color w:val="auto"/>
            </w:rPr>
            <w:fldChar w:fldCharType="end"/>
          </w:r>
          <w:r>
            <w:rPr>
              <w:color w:val="auto"/>
            </w:rPr>
            <w:fldChar w:fldCharType="end"/>
          </w:r>
        </w:p>
        <w:p w14:paraId="470B387E">
          <w:pPr>
            <w:pStyle w:val="8"/>
            <w:tabs>
              <w:tab w:val="right" w:leader="dot" w:pos="8300"/>
            </w:tabs>
            <w:rPr>
              <w:color w:val="auto"/>
            </w:rPr>
          </w:pPr>
          <w:r>
            <w:rPr>
              <w:color w:val="auto"/>
            </w:rPr>
            <w:fldChar w:fldCharType="begin"/>
          </w:r>
          <w:r>
            <w:rPr>
              <w:color w:val="auto"/>
            </w:rPr>
            <w:instrText xml:space="preserve"> HYPERLINK \l _Toc1750305854 </w:instrText>
          </w:r>
          <w:r>
            <w:rPr>
              <w:color w:val="auto"/>
            </w:rPr>
            <w:fldChar w:fldCharType="separate"/>
          </w:r>
          <w:r>
            <w:rPr>
              <w:rFonts w:hint="eastAsia" w:ascii="宋体" w:hAnsi="Times New Roman" w:eastAsia="宋体" w:cs="Times New Roman"/>
              <w:color w:val="auto"/>
              <w:lang w:val="en-US" w:eastAsia="zh-CN" w:bidi="ar-SA"/>
            </w:rPr>
            <w:t>A.1.3  原辅料库存管理</w:t>
          </w:r>
          <w:r>
            <w:rPr>
              <w:color w:val="auto"/>
            </w:rPr>
            <w:tab/>
          </w:r>
          <w:r>
            <w:rPr>
              <w:color w:val="auto"/>
            </w:rPr>
            <w:fldChar w:fldCharType="begin"/>
          </w:r>
          <w:r>
            <w:rPr>
              <w:color w:val="auto"/>
            </w:rPr>
            <w:instrText xml:space="preserve"> PAGEREF _Toc1750305854 \h </w:instrText>
          </w:r>
          <w:r>
            <w:rPr>
              <w:color w:val="auto"/>
            </w:rPr>
            <w:fldChar w:fldCharType="separate"/>
          </w:r>
          <w:r>
            <w:rPr>
              <w:color w:val="auto"/>
            </w:rPr>
            <w:t>5</w:t>
          </w:r>
          <w:r>
            <w:rPr>
              <w:color w:val="auto"/>
            </w:rPr>
            <w:fldChar w:fldCharType="end"/>
          </w:r>
          <w:r>
            <w:rPr>
              <w:color w:val="auto"/>
            </w:rPr>
            <w:fldChar w:fldCharType="end"/>
          </w:r>
        </w:p>
        <w:p w14:paraId="348BA53D">
          <w:pPr>
            <w:pStyle w:val="8"/>
            <w:tabs>
              <w:tab w:val="right" w:leader="dot" w:pos="8300"/>
            </w:tabs>
            <w:rPr>
              <w:color w:val="auto"/>
            </w:rPr>
          </w:pPr>
          <w:r>
            <w:rPr>
              <w:color w:val="auto"/>
            </w:rPr>
            <w:fldChar w:fldCharType="begin"/>
          </w:r>
          <w:r>
            <w:rPr>
              <w:color w:val="auto"/>
            </w:rPr>
            <w:instrText xml:space="preserve"> HYPERLINK \l _Toc1999014034 </w:instrText>
          </w:r>
          <w:r>
            <w:rPr>
              <w:color w:val="auto"/>
            </w:rPr>
            <w:fldChar w:fldCharType="separate"/>
          </w:r>
          <w:r>
            <w:rPr>
              <w:rFonts w:hint="eastAsia" w:ascii="宋体" w:hAnsi="Times New Roman" w:eastAsia="宋体" w:cs="Times New Roman"/>
              <w:color w:val="auto"/>
              <w:lang w:val="en-US" w:eastAsia="zh-CN" w:bidi="ar-SA"/>
            </w:rPr>
            <w:t>A.1.4  产成品库存管理</w:t>
          </w:r>
          <w:r>
            <w:rPr>
              <w:color w:val="auto"/>
            </w:rPr>
            <w:tab/>
          </w:r>
          <w:r>
            <w:rPr>
              <w:color w:val="auto"/>
            </w:rPr>
            <w:fldChar w:fldCharType="begin"/>
          </w:r>
          <w:r>
            <w:rPr>
              <w:color w:val="auto"/>
            </w:rPr>
            <w:instrText xml:space="preserve"> PAGEREF _Toc1999014034 \h </w:instrText>
          </w:r>
          <w:r>
            <w:rPr>
              <w:color w:val="auto"/>
            </w:rPr>
            <w:fldChar w:fldCharType="separate"/>
          </w:r>
          <w:r>
            <w:rPr>
              <w:color w:val="auto"/>
            </w:rPr>
            <w:t>6</w:t>
          </w:r>
          <w:r>
            <w:rPr>
              <w:color w:val="auto"/>
            </w:rPr>
            <w:fldChar w:fldCharType="end"/>
          </w:r>
          <w:r>
            <w:rPr>
              <w:color w:val="auto"/>
            </w:rPr>
            <w:fldChar w:fldCharType="end"/>
          </w:r>
        </w:p>
        <w:p w14:paraId="57F19F50">
          <w:pPr>
            <w:pStyle w:val="8"/>
            <w:tabs>
              <w:tab w:val="right" w:leader="dot" w:pos="8300"/>
            </w:tabs>
            <w:rPr>
              <w:color w:val="auto"/>
            </w:rPr>
          </w:pPr>
          <w:r>
            <w:rPr>
              <w:color w:val="auto"/>
            </w:rPr>
            <w:fldChar w:fldCharType="begin"/>
          </w:r>
          <w:r>
            <w:rPr>
              <w:color w:val="auto"/>
            </w:rPr>
            <w:instrText xml:space="preserve"> HYPERLINK \l _Toc961409013 </w:instrText>
          </w:r>
          <w:r>
            <w:rPr>
              <w:color w:val="auto"/>
            </w:rPr>
            <w:fldChar w:fldCharType="separate"/>
          </w:r>
          <w:r>
            <w:rPr>
              <w:rFonts w:hint="eastAsia" w:ascii="宋体" w:hAnsi="Times New Roman" w:eastAsia="宋体" w:cs="Times New Roman"/>
              <w:color w:val="auto"/>
              <w:lang w:val="en-US" w:eastAsia="zh-CN" w:bidi="ar-SA"/>
            </w:rPr>
            <w:t>A.1.5  流通/分销风险</w:t>
          </w:r>
          <w:r>
            <w:rPr>
              <w:color w:val="auto"/>
            </w:rPr>
            <w:tab/>
          </w:r>
          <w:r>
            <w:rPr>
              <w:color w:val="auto"/>
            </w:rPr>
            <w:fldChar w:fldCharType="begin"/>
          </w:r>
          <w:r>
            <w:rPr>
              <w:color w:val="auto"/>
            </w:rPr>
            <w:instrText xml:space="preserve"> PAGEREF _Toc961409013 \h </w:instrText>
          </w:r>
          <w:r>
            <w:rPr>
              <w:color w:val="auto"/>
            </w:rPr>
            <w:fldChar w:fldCharType="separate"/>
          </w:r>
          <w:r>
            <w:rPr>
              <w:color w:val="auto"/>
            </w:rPr>
            <w:t>7</w:t>
          </w:r>
          <w:r>
            <w:rPr>
              <w:color w:val="auto"/>
            </w:rPr>
            <w:fldChar w:fldCharType="end"/>
          </w:r>
          <w:r>
            <w:rPr>
              <w:color w:val="auto"/>
            </w:rPr>
            <w:fldChar w:fldCharType="end"/>
          </w:r>
        </w:p>
        <w:p w14:paraId="0C8D3811">
          <w:pPr>
            <w:pStyle w:val="8"/>
            <w:tabs>
              <w:tab w:val="right" w:leader="dot" w:pos="8300"/>
            </w:tabs>
            <w:rPr>
              <w:color w:val="auto"/>
            </w:rPr>
          </w:pPr>
          <w:r>
            <w:rPr>
              <w:color w:val="auto"/>
            </w:rPr>
            <w:fldChar w:fldCharType="begin"/>
          </w:r>
          <w:r>
            <w:rPr>
              <w:color w:val="auto"/>
            </w:rPr>
            <w:instrText xml:space="preserve"> HYPERLINK \l _Toc1836550383 </w:instrText>
          </w:r>
          <w:r>
            <w:rPr>
              <w:color w:val="auto"/>
            </w:rPr>
            <w:fldChar w:fldCharType="separate"/>
          </w:r>
          <w:r>
            <w:rPr>
              <w:rFonts w:hint="eastAsia" w:ascii="宋体" w:hAnsi="Times New Roman" w:eastAsia="宋体" w:cs="Times New Roman"/>
              <w:color w:val="auto"/>
              <w:lang w:val="en-US" w:eastAsia="zh-CN" w:bidi="ar-SA"/>
            </w:rPr>
            <w:t>A.1.6  消费者沟通管理</w:t>
          </w:r>
          <w:r>
            <w:rPr>
              <w:color w:val="auto"/>
            </w:rPr>
            <w:tab/>
          </w:r>
          <w:r>
            <w:rPr>
              <w:color w:val="auto"/>
            </w:rPr>
            <w:fldChar w:fldCharType="begin"/>
          </w:r>
          <w:r>
            <w:rPr>
              <w:color w:val="auto"/>
            </w:rPr>
            <w:instrText xml:space="preserve"> PAGEREF _Toc1836550383 \h </w:instrText>
          </w:r>
          <w:r>
            <w:rPr>
              <w:color w:val="auto"/>
            </w:rPr>
            <w:fldChar w:fldCharType="separate"/>
          </w:r>
          <w:r>
            <w:rPr>
              <w:color w:val="auto"/>
            </w:rPr>
            <w:t>7</w:t>
          </w:r>
          <w:r>
            <w:rPr>
              <w:color w:val="auto"/>
            </w:rPr>
            <w:fldChar w:fldCharType="end"/>
          </w:r>
          <w:r>
            <w:rPr>
              <w:color w:val="auto"/>
            </w:rPr>
            <w:fldChar w:fldCharType="end"/>
          </w:r>
        </w:p>
        <w:p w14:paraId="3CCC8058">
          <w:pPr>
            <w:pStyle w:val="7"/>
            <w:tabs>
              <w:tab w:val="right" w:leader="dot" w:pos="8300"/>
            </w:tabs>
            <w:rPr>
              <w:color w:val="auto"/>
            </w:rPr>
          </w:pPr>
          <w:r>
            <w:rPr>
              <w:color w:val="auto"/>
            </w:rPr>
            <w:fldChar w:fldCharType="begin"/>
          </w:r>
          <w:r>
            <w:rPr>
              <w:color w:val="auto"/>
            </w:rPr>
            <w:instrText xml:space="preserve"> HYPERLINK \l _Toc567457957 </w:instrText>
          </w:r>
          <w:r>
            <w:rPr>
              <w:color w:val="auto"/>
            </w:rPr>
            <w:fldChar w:fldCharType="separate"/>
          </w:r>
          <w:r>
            <w:rPr>
              <w:rFonts w:hint="eastAsia"/>
              <w:color w:val="auto"/>
              <w:lang w:val="en-US" w:eastAsia="zh-CN"/>
            </w:rPr>
            <w:t>A.2  产业链高风险环节控制方案</w:t>
          </w:r>
          <w:r>
            <w:rPr>
              <w:color w:val="auto"/>
            </w:rPr>
            <w:tab/>
          </w:r>
          <w:r>
            <w:rPr>
              <w:color w:val="auto"/>
            </w:rPr>
            <w:fldChar w:fldCharType="begin"/>
          </w:r>
          <w:r>
            <w:rPr>
              <w:color w:val="auto"/>
            </w:rPr>
            <w:instrText xml:space="preserve"> PAGEREF _Toc567457957 \h </w:instrText>
          </w:r>
          <w:r>
            <w:rPr>
              <w:color w:val="auto"/>
            </w:rPr>
            <w:fldChar w:fldCharType="separate"/>
          </w:r>
          <w:r>
            <w:rPr>
              <w:color w:val="auto"/>
            </w:rPr>
            <w:t>8</w:t>
          </w:r>
          <w:r>
            <w:rPr>
              <w:color w:val="auto"/>
            </w:rPr>
            <w:fldChar w:fldCharType="end"/>
          </w:r>
          <w:r>
            <w:rPr>
              <w:color w:val="auto"/>
            </w:rPr>
            <w:fldChar w:fldCharType="end"/>
          </w:r>
        </w:p>
        <w:p w14:paraId="6F02B287">
          <w:pPr>
            <w:pStyle w:val="8"/>
            <w:tabs>
              <w:tab w:val="right" w:leader="dot" w:pos="8300"/>
            </w:tabs>
            <w:rPr>
              <w:color w:val="auto"/>
            </w:rPr>
          </w:pPr>
          <w:r>
            <w:rPr>
              <w:color w:val="auto"/>
            </w:rPr>
            <w:fldChar w:fldCharType="begin"/>
          </w:r>
          <w:r>
            <w:rPr>
              <w:color w:val="auto"/>
            </w:rPr>
            <w:instrText xml:space="preserve"> HYPERLINK \l _Toc554811234 </w:instrText>
          </w:r>
          <w:r>
            <w:rPr>
              <w:color w:val="auto"/>
            </w:rPr>
            <w:fldChar w:fldCharType="separate"/>
          </w:r>
          <w:r>
            <w:rPr>
              <w:rFonts w:hint="eastAsia" w:ascii="宋体" w:hAnsi="Times New Roman" w:eastAsia="宋体" w:cs="Times New Roman"/>
              <w:color w:val="auto"/>
              <w:lang w:val="en-US" w:eastAsia="zh-CN" w:bidi="ar-SA"/>
            </w:rPr>
            <w:t>A.2.1  苹果种植及采摘</w:t>
          </w:r>
          <w:r>
            <w:rPr>
              <w:color w:val="auto"/>
            </w:rPr>
            <w:tab/>
          </w:r>
          <w:r>
            <w:rPr>
              <w:color w:val="auto"/>
            </w:rPr>
            <w:fldChar w:fldCharType="begin"/>
          </w:r>
          <w:r>
            <w:rPr>
              <w:color w:val="auto"/>
            </w:rPr>
            <w:instrText xml:space="preserve"> PAGEREF _Toc554811234 \h </w:instrText>
          </w:r>
          <w:r>
            <w:rPr>
              <w:color w:val="auto"/>
            </w:rPr>
            <w:fldChar w:fldCharType="separate"/>
          </w:r>
          <w:r>
            <w:rPr>
              <w:color w:val="auto"/>
            </w:rPr>
            <w:t>8</w:t>
          </w:r>
          <w:r>
            <w:rPr>
              <w:color w:val="auto"/>
            </w:rPr>
            <w:fldChar w:fldCharType="end"/>
          </w:r>
          <w:r>
            <w:rPr>
              <w:color w:val="auto"/>
            </w:rPr>
            <w:fldChar w:fldCharType="end"/>
          </w:r>
        </w:p>
        <w:p w14:paraId="60A85144">
          <w:pPr>
            <w:pStyle w:val="8"/>
            <w:tabs>
              <w:tab w:val="right" w:leader="dot" w:pos="8300"/>
            </w:tabs>
            <w:rPr>
              <w:color w:val="auto"/>
            </w:rPr>
          </w:pPr>
          <w:r>
            <w:rPr>
              <w:color w:val="auto"/>
            </w:rPr>
            <w:fldChar w:fldCharType="begin"/>
          </w:r>
          <w:r>
            <w:rPr>
              <w:color w:val="auto"/>
            </w:rPr>
            <w:instrText xml:space="preserve"> HYPERLINK \l _Toc1407629758 </w:instrText>
          </w:r>
          <w:r>
            <w:rPr>
              <w:color w:val="auto"/>
            </w:rPr>
            <w:fldChar w:fldCharType="separate"/>
          </w:r>
          <w:r>
            <w:rPr>
              <w:rFonts w:hint="eastAsia" w:ascii="宋体" w:hAnsi="Times New Roman" w:eastAsia="宋体" w:cs="Times New Roman"/>
              <w:color w:val="auto"/>
              <w:lang w:val="en-US" w:eastAsia="zh-CN" w:bidi="ar-SA"/>
            </w:rPr>
            <w:t>A.2.2  原辅料采购</w:t>
          </w:r>
          <w:r>
            <w:rPr>
              <w:color w:val="auto"/>
            </w:rPr>
            <w:tab/>
          </w:r>
          <w:r>
            <w:rPr>
              <w:color w:val="auto"/>
            </w:rPr>
            <w:fldChar w:fldCharType="begin"/>
          </w:r>
          <w:r>
            <w:rPr>
              <w:color w:val="auto"/>
            </w:rPr>
            <w:instrText xml:space="preserve"> PAGEREF _Toc1407629758 \h </w:instrText>
          </w:r>
          <w:r>
            <w:rPr>
              <w:color w:val="auto"/>
            </w:rPr>
            <w:fldChar w:fldCharType="separate"/>
          </w:r>
          <w:r>
            <w:rPr>
              <w:color w:val="auto"/>
            </w:rPr>
            <w:t>8</w:t>
          </w:r>
          <w:r>
            <w:rPr>
              <w:color w:val="auto"/>
            </w:rPr>
            <w:fldChar w:fldCharType="end"/>
          </w:r>
          <w:r>
            <w:rPr>
              <w:color w:val="auto"/>
            </w:rPr>
            <w:fldChar w:fldCharType="end"/>
          </w:r>
        </w:p>
        <w:p w14:paraId="7675EBED">
          <w:pPr>
            <w:pStyle w:val="7"/>
            <w:tabs>
              <w:tab w:val="right" w:leader="dot" w:pos="8300"/>
            </w:tabs>
            <w:rPr>
              <w:color w:val="auto"/>
            </w:rPr>
          </w:pPr>
          <w:r>
            <w:rPr>
              <w:color w:val="auto"/>
            </w:rPr>
            <w:fldChar w:fldCharType="begin"/>
          </w:r>
          <w:r>
            <w:rPr>
              <w:color w:val="auto"/>
            </w:rPr>
            <w:instrText xml:space="preserve"> HYPERLINK \l _Toc935855093 </w:instrText>
          </w:r>
          <w:r>
            <w:rPr>
              <w:color w:val="auto"/>
            </w:rPr>
            <w:fldChar w:fldCharType="separate"/>
          </w:r>
          <w:r>
            <w:rPr>
              <w:rFonts w:hint="eastAsia" w:ascii="黑体" w:hAnsi="Times New Roman" w:eastAsia="黑体" w:cs="Times New Roman"/>
              <w:snapToGrid w:val="0"/>
              <w:color w:val="auto"/>
              <w:kern w:val="0"/>
              <w:szCs w:val="20"/>
              <w:lang w:val="en-US" w:eastAsia="zh-CN" w:bidi="ar-SA"/>
            </w:rPr>
            <w:t>附 录  B</w:t>
          </w:r>
          <w:r>
            <w:rPr>
              <w:color w:val="auto"/>
            </w:rPr>
            <w:tab/>
          </w:r>
          <w:r>
            <w:rPr>
              <w:color w:val="auto"/>
            </w:rPr>
            <w:fldChar w:fldCharType="begin"/>
          </w:r>
          <w:r>
            <w:rPr>
              <w:color w:val="auto"/>
            </w:rPr>
            <w:instrText xml:space="preserve"> PAGEREF _Toc935855093 \h </w:instrText>
          </w:r>
          <w:r>
            <w:rPr>
              <w:color w:val="auto"/>
            </w:rPr>
            <w:fldChar w:fldCharType="separate"/>
          </w:r>
          <w:r>
            <w:rPr>
              <w:color w:val="auto"/>
            </w:rPr>
            <w:t>9</w:t>
          </w:r>
          <w:r>
            <w:rPr>
              <w:color w:val="auto"/>
            </w:rPr>
            <w:fldChar w:fldCharType="end"/>
          </w:r>
          <w:r>
            <w:rPr>
              <w:color w:val="auto"/>
            </w:rPr>
            <w:fldChar w:fldCharType="end"/>
          </w:r>
        </w:p>
        <w:p w14:paraId="563072CA">
          <w:pPr>
            <w:pStyle w:val="7"/>
            <w:tabs>
              <w:tab w:val="right" w:leader="dot" w:pos="8300"/>
            </w:tabs>
            <w:rPr>
              <w:color w:val="auto"/>
            </w:rPr>
          </w:pPr>
          <w:r>
            <w:rPr>
              <w:color w:val="auto"/>
            </w:rPr>
            <w:fldChar w:fldCharType="begin"/>
          </w:r>
          <w:r>
            <w:rPr>
              <w:color w:val="auto"/>
            </w:rPr>
            <w:instrText xml:space="preserve"> HYPERLINK \l _Toc237720344 </w:instrText>
          </w:r>
          <w:r>
            <w:rPr>
              <w:color w:val="auto"/>
            </w:rPr>
            <w:fldChar w:fldCharType="separate"/>
          </w:r>
          <w:r>
            <w:rPr>
              <w:rFonts w:hint="eastAsia"/>
              <w:color w:val="auto"/>
              <w:lang w:val="en-US" w:eastAsia="zh-CN"/>
            </w:rPr>
            <w:t>B.1  基本要求</w:t>
          </w:r>
          <w:r>
            <w:rPr>
              <w:color w:val="auto"/>
            </w:rPr>
            <w:tab/>
          </w:r>
          <w:r>
            <w:rPr>
              <w:color w:val="auto"/>
            </w:rPr>
            <w:fldChar w:fldCharType="begin"/>
          </w:r>
          <w:r>
            <w:rPr>
              <w:color w:val="auto"/>
            </w:rPr>
            <w:instrText xml:space="preserve"> PAGEREF _Toc237720344 \h </w:instrText>
          </w:r>
          <w:r>
            <w:rPr>
              <w:color w:val="auto"/>
            </w:rPr>
            <w:fldChar w:fldCharType="separate"/>
          </w:r>
          <w:r>
            <w:rPr>
              <w:color w:val="auto"/>
            </w:rPr>
            <w:t>9</w:t>
          </w:r>
          <w:r>
            <w:rPr>
              <w:color w:val="auto"/>
            </w:rPr>
            <w:fldChar w:fldCharType="end"/>
          </w:r>
          <w:r>
            <w:rPr>
              <w:color w:val="auto"/>
            </w:rPr>
            <w:fldChar w:fldCharType="end"/>
          </w:r>
        </w:p>
        <w:p w14:paraId="4F702E03">
          <w:pPr>
            <w:pStyle w:val="8"/>
            <w:tabs>
              <w:tab w:val="right" w:leader="dot" w:pos="8300"/>
            </w:tabs>
            <w:rPr>
              <w:color w:val="auto"/>
            </w:rPr>
          </w:pPr>
          <w:r>
            <w:rPr>
              <w:color w:val="auto"/>
            </w:rPr>
            <w:fldChar w:fldCharType="begin"/>
          </w:r>
          <w:r>
            <w:rPr>
              <w:color w:val="auto"/>
            </w:rPr>
            <w:instrText xml:space="preserve"> HYPERLINK \l _Toc920189156 </w:instrText>
          </w:r>
          <w:r>
            <w:rPr>
              <w:color w:val="auto"/>
            </w:rPr>
            <w:fldChar w:fldCharType="separate"/>
          </w:r>
          <w:r>
            <w:rPr>
              <w:rFonts w:hint="eastAsia" w:ascii="宋体" w:hAnsi="Times New Roman" w:eastAsia="宋体" w:cs="Times New Roman"/>
              <w:color w:val="auto"/>
              <w:lang w:val="en-US" w:eastAsia="zh-CN" w:bidi="ar-SA"/>
            </w:rPr>
            <w:t>B.1.1  可追溯性</w:t>
          </w:r>
          <w:r>
            <w:rPr>
              <w:color w:val="auto"/>
            </w:rPr>
            <w:tab/>
          </w:r>
          <w:r>
            <w:rPr>
              <w:color w:val="auto"/>
            </w:rPr>
            <w:fldChar w:fldCharType="begin"/>
          </w:r>
          <w:r>
            <w:rPr>
              <w:color w:val="auto"/>
            </w:rPr>
            <w:instrText xml:space="preserve"> PAGEREF _Toc920189156 \h </w:instrText>
          </w:r>
          <w:r>
            <w:rPr>
              <w:color w:val="auto"/>
            </w:rPr>
            <w:fldChar w:fldCharType="separate"/>
          </w:r>
          <w:r>
            <w:rPr>
              <w:color w:val="auto"/>
            </w:rPr>
            <w:t>9</w:t>
          </w:r>
          <w:r>
            <w:rPr>
              <w:color w:val="auto"/>
            </w:rPr>
            <w:fldChar w:fldCharType="end"/>
          </w:r>
          <w:r>
            <w:rPr>
              <w:color w:val="auto"/>
            </w:rPr>
            <w:fldChar w:fldCharType="end"/>
          </w:r>
        </w:p>
        <w:p w14:paraId="25896210">
          <w:pPr>
            <w:pStyle w:val="8"/>
            <w:tabs>
              <w:tab w:val="right" w:leader="dot" w:pos="8300"/>
            </w:tabs>
            <w:rPr>
              <w:color w:val="auto"/>
            </w:rPr>
          </w:pPr>
          <w:r>
            <w:rPr>
              <w:color w:val="auto"/>
            </w:rPr>
            <w:fldChar w:fldCharType="begin"/>
          </w:r>
          <w:r>
            <w:rPr>
              <w:color w:val="auto"/>
            </w:rPr>
            <w:instrText xml:space="preserve"> HYPERLINK \l _Toc1443342101 </w:instrText>
          </w:r>
          <w:r>
            <w:rPr>
              <w:color w:val="auto"/>
            </w:rPr>
            <w:fldChar w:fldCharType="separate"/>
          </w:r>
          <w:r>
            <w:rPr>
              <w:rFonts w:hint="eastAsia" w:ascii="宋体" w:hAnsi="Times New Roman" w:eastAsia="宋体" w:cs="Times New Roman"/>
              <w:color w:val="auto"/>
              <w:lang w:val="en-US" w:eastAsia="zh-CN" w:bidi="ar-SA"/>
            </w:rPr>
            <w:t>B.1.2  管理制度及记录保存</w:t>
          </w:r>
          <w:r>
            <w:rPr>
              <w:color w:val="auto"/>
            </w:rPr>
            <w:tab/>
          </w:r>
          <w:r>
            <w:rPr>
              <w:color w:val="auto"/>
            </w:rPr>
            <w:fldChar w:fldCharType="begin"/>
          </w:r>
          <w:r>
            <w:rPr>
              <w:color w:val="auto"/>
            </w:rPr>
            <w:instrText xml:space="preserve"> PAGEREF _Toc1443342101 \h </w:instrText>
          </w:r>
          <w:r>
            <w:rPr>
              <w:color w:val="auto"/>
            </w:rPr>
            <w:fldChar w:fldCharType="separate"/>
          </w:r>
          <w:r>
            <w:rPr>
              <w:color w:val="auto"/>
            </w:rPr>
            <w:t>9</w:t>
          </w:r>
          <w:r>
            <w:rPr>
              <w:color w:val="auto"/>
            </w:rPr>
            <w:fldChar w:fldCharType="end"/>
          </w:r>
          <w:r>
            <w:rPr>
              <w:color w:val="auto"/>
            </w:rPr>
            <w:fldChar w:fldCharType="end"/>
          </w:r>
        </w:p>
        <w:p w14:paraId="4F93C764">
          <w:pPr>
            <w:pStyle w:val="7"/>
            <w:tabs>
              <w:tab w:val="right" w:leader="dot" w:pos="8300"/>
            </w:tabs>
            <w:rPr>
              <w:color w:val="auto"/>
            </w:rPr>
          </w:pPr>
          <w:r>
            <w:rPr>
              <w:color w:val="auto"/>
            </w:rPr>
            <w:fldChar w:fldCharType="begin"/>
          </w:r>
          <w:r>
            <w:rPr>
              <w:color w:val="auto"/>
            </w:rPr>
            <w:instrText xml:space="preserve"> HYPERLINK \l _Toc428032872 </w:instrText>
          </w:r>
          <w:r>
            <w:rPr>
              <w:color w:val="auto"/>
            </w:rPr>
            <w:fldChar w:fldCharType="separate"/>
          </w:r>
          <w:r>
            <w:rPr>
              <w:rFonts w:hint="eastAsia"/>
              <w:color w:val="auto"/>
              <w:lang w:val="en-US" w:eastAsia="zh-CN"/>
            </w:rPr>
            <w:t>B.2  种植过程管理</w:t>
          </w:r>
          <w:r>
            <w:rPr>
              <w:color w:val="auto"/>
            </w:rPr>
            <w:tab/>
          </w:r>
          <w:r>
            <w:rPr>
              <w:color w:val="auto"/>
            </w:rPr>
            <w:fldChar w:fldCharType="begin"/>
          </w:r>
          <w:r>
            <w:rPr>
              <w:color w:val="auto"/>
            </w:rPr>
            <w:instrText xml:space="preserve"> PAGEREF _Toc428032872 \h </w:instrText>
          </w:r>
          <w:r>
            <w:rPr>
              <w:color w:val="auto"/>
            </w:rPr>
            <w:fldChar w:fldCharType="separate"/>
          </w:r>
          <w:r>
            <w:rPr>
              <w:color w:val="auto"/>
            </w:rPr>
            <w:t>9</w:t>
          </w:r>
          <w:r>
            <w:rPr>
              <w:color w:val="auto"/>
            </w:rPr>
            <w:fldChar w:fldCharType="end"/>
          </w:r>
          <w:r>
            <w:rPr>
              <w:color w:val="auto"/>
            </w:rPr>
            <w:fldChar w:fldCharType="end"/>
          </w:r>
        </w:p>
        <w:p w14:paraId="33E6241F">
          <w:pPr>
            <w:pStyle w:val="8"/>
            <w:tabs>
              <w:tab w:val="right" w:leader="dot" w:pos="8300"/>
            </w:tabs>
            <w:rPr>
              <w:color w:val="auto"/>
            </w:rPr>
          </w:pPr>
          <w:r>
            <w:rPr>
              <w:color w:val="auto"/>
            </w:rPr>
            <w:fldChar w:fldCharType="begin"/>
          </w:r>
          <w:r>
            <w:rPr>
              <w:color w:val="auto"/>
            </w:rPr>
            <w:instrText xml:space="preserve"> HYPERLINK \l _Toc970803840 </w:instrText>
          </w:r>
          <w:r>
            <w:rPr>
              <w:color w:val="auto"/>
            </w:rPr>
            <w:fldChar w:fldCharType="separate"/>
          </w:r>
          <w:r>
            <w:rPr>
              <w:rFonts w:hint="eastAsia" w:ascii="宋体" w:hAnsi="Times New Roman" w:eastAsia="宋体" w:cs="Times New Roman"/>
              <w:color w:val="auto"/>
              <w:lang w:val="en-US" w:eastAsia="zh-CN" w:bidi="ar-SA"/>
            </w:rPr>
            <w:t>B.2.1  种苗质量</w:t>
          </w:r>
          <w:r>
            <w:rPr>
              <w:color w:val="auto"/>
            </w:rPr>
            <w:tab/>
          </w:r>
          <w:r>
            <w:rPr>
              <w:color w:val="auto"/>
            </w:rPr>
            <w:fldChar w:fldCharType="begin"/>
          </w:r>
          <w:r>
            <w:rPr>
              <w:color w:val="auto"/>
            </w:rPr>
            <w:instrText xml:space="preserve"> PAGEREF _Toc970803840 \h </w:instrText>
          </w:r>
          <w:r>
            <w:rPr>
              <w:color w:val="auto"/>
            </w:rPr>
            <w:fldChar w:fldCharType="separate"/>
          </w:r>
          <w:r>
            <w:rPr>
              <w:color w:val="auto"/>
            </w:rPr>
            <w:t>9</w:t>
          </w:r>
          <w:r>
            <w:rPr>
              <w:color w:val="auto"/>
            </w:rPr>
            <w:fldChar w:fldCharType="end"/>
          </w:r>
          <w:r>
            <w:rPr>
              <w:color w:val="auto"/>
            </w:rPr>
            <w:fldChar w:fldCharType="end"/>
          </w:r>
        </w:p>
        <w:p w14:paraId="253A2D2A">
          <w:pPr>
            <w:pStyle w:val="8"/>
            <w:tabs>
              <w:tab w:val="right" w:leader="dot" w:pos="8300"/>
            </w:tabs>
            <w:rPr>
              <w:color w:val="auto"/>
            </w:rPr>
          </w:pPr>
          <w:r>
            <w:rPr>
              <w:color w:val="auto"/>
            </w:rPr>
            <w:fldChar w:fldCharType="begin"/>
          </w:r>
          <w:r>
            <w:rPr>
              <w:color w:val="auto"/>
            </w:rPr>
            <w:instrText xml:space="preserve"> HYPERLINK \l _Toc1296887301 </w:instrText>
          </w:r>
          <w:r>
            <w:rPr>
              <w:color w:val="auto"/>
            </w:rPr>
            <w:fldChar w:fldCharType="separate"/>
          </w:r>
          <w:r>
            <w:rPr>
              <w:rFonts w:hint="eastAsia" w:ascii="宋体" w:hAnsi="Times New Roman" w:eastAsia="宋体" w:cs="Times New Roman"/>
              <w:color w:val="auto"/>
              <w:lang w:val="en-US" w:eastAsia="zh-CN" w:bidi="ar-SA"/>
            </w:rPr>
            <w:t>B.2.2  种苗栽植</w:t>
          </w:r>
          <w:r>
            <w:rPr>
              <w:color w:val="auto"/>
            </w:rPr>
            <w:tab/>
          </w:r>
          <w:r>
            <w:rPr>
              <w:color w:val="auto"/>
            </w:rPr>
            <w:fldChar w:fldCharType="begin"/>
          </w:r>
          <w:r>
            <w:rPr>
              <w:color w:val="auto"/>
            </w:rPr>
            <w:instrText xml:space="preserve"> PAGEREF _Toc1296887301 \h </w:instrText>
          </w:r>
          <w:r>
            <w:rPr>
              <w:color w:val="auto"/>
            </w:rPr>
            <w:fldChar w:fldCharType="separate"/>
          </w:r>
          <w:r>
            <w:rPr>
              <w:color w:val="auto"/>
            </w:rPr>
            <w:t>9</w:t>
          </w:r>
          <w:r>
            <w:rPr>
              <w:color w:val="auto"/>
            </w:rPr>
            <w:fldChar w:fldCharType="end"/>
          </w:r>
          <w:r>
            <w:rPr>
              <w:color w:val="auto"/>
            </w:rPr>
            <w:fldChar w:fldCharType="end"/>
          </w:r>
        </w:p>
        <w:p w14:paraId="28F384E2">
          <w:pPr>
            <w:pStyle w:val="8"/>
            <w:tabs>
              <w:tab w:val="right" w:leader="dot" w:pos="8300"/>
            </w:tabs>
            <w:rPr>
              <w:color w:val="auto"/>
            </w:rPr>
          </w:pPr>
          <w:r>
            <w:rPr>
              <w:color w:val="auto"/>
            </w:rPr>
            <w:fldChar w:fldCharType="begin"/>
          </w:r>
          <w:r>
            <w:rPr>
              <w:color w:val="auto"/>
            </w:rPr>
            <w:instrText xml:space="preserve"> HYPERLINK \l _Toc1068754875 </w:instrText>
          </w:r>
          <w:r>
            <w:rPr>
              <w:color w:val="auto"/>
            </w:rPr>
            <w:fldChar w:fldCharType="separate"/>
          </w:r>
          <w:r>
            <w:rPr>
              <w:rFonts w:hint="eastAsia" w:ascii="宋体" w:hAnsi="Times New Roman" w:eastAsia="宋体" w:cs="Times New Roman"/>
              <w:color w:val="auto"/>
              <w:lang w:val="en-US" w:eastAsia="zh-CN" w:bidi="ar-SA"/>
            </w:rPr>
            <w:t>B.2.3  基地管理</w:t>
          </w:r>
          <w:r>
            <w:rPr>
              <w:color w:val="auto"/>
            </w:rPr>
            <w:tab/>
          </w:r>
          <w:r>
            <w:rPr>
              <w:color w:val="auto"/>
            </w:rPr>
            <w:fldChar w:fldCharType="begin"/>
          </w:r>
          <w:r>
            <w:rPr>
              <w:color w:val="auto"/>
            </w:rPr>
            <w:instrText xml:space="preserve"> PAGEREF _Toc1068754875 \h </w:instrText>
          </w:r>
          <w:r>
            <w:rPr>
              <w:color w:val="auto"/>
            </w:rPr>
            <w:fldChar w:fldCharType="separate"/>
          </w:r>
          <w:r>
            <w:rPr>
              <w:color w:val="auto"/>
            </w:rPr>
            <w:t>9</w:t>
          </w:r>
          <w:r>
            <w:rPr>
              <w:color w:val="auto"/>
            </w:rPr>
            <w:fldChar w:fldCharType="end"/>
          </w:r>
          <w:r>
            <w:rPr>
              <w:color w:val="auto"/>
            </w:rPr>
            <w:fldChar w:fldCharType="end"/>
          </w:r>
        </w:p>
        <w:p w14:paraId="10238DFA">
          <w:pPr>
            <w:pStyle w:val="8"/>
            <w:tabs>
              <w:tab w:val="right" w:leader="dot" w:pos="8300"/>
            </w:tabs>
            <w:rPr>
              <w:color w:val="auto"/>
            </w:rPr>
          </w:pPr>
          <w:r>
            <w:rPr>
              <w:color w:val="auto"/>
            </w:rPr>
            <w:fldChar w:fldCharType="begin"/>
          </w:r>
          <w:r>
            <w:rPr>
              <w:color w:val="auto"/>
            </w:rPr>
            <w:instrText xml:space="preserve"> HYPERLINK \l _Toc1172208090 </w:instrText>
          </w:r>
          <w:r>
            <w:rPr>
              <w:color w:val="auto"/>
            </w:rPr>
            <w:fldChar w:fldCharType="separate"/>
          </w:r>
          <w:r>
            <w:rPr>
              <w:rFonts w:hint="eastAsia" w:ascii="宋体" w:hAnsi="Times New Roman" w:eastAsia="宋体" w:cs="Times New Roman"/>
              <w:color w:val="auto"/>
              <w:lang w:val="en-US" w:eastAsia="zh-CN" w:bidi="ar-SA"/>
            </w:rPr>
            <w:t>B.2.4  土壤管理</w:t>
          </w:r>
          <w:r>
            <w:rPr>
              <w:color w:val="auto"/>
            </w:rPr>
            <w:tab/>
          </w:r>
          <w:r>
            <w:rPr>
              <w:color w:val="auto"/>
            </w:rPr>
            <w:fldChar w:fldCharType="begin"/>
          </w:r>
          <w:r>
            <w:rPr>
              <w:color w:val="auto"/>
            </w:rPr>
            <w:instrText xml:space="preserve"> PAGEREF _Toc1172208090 \h </w:instrText>
          </w:r>
          <w:r>
            <w:rPr>
              <w:color w:val="auto"/>
            </w:rPr>
            <w:fldChar w:fldCharType="separate"/>
          </w:r>
          <w:r>
            <w:rPr>
              <w:color w:val="auto"/>
            </w:rPr>
            <w:t>11</w:t>
          </w:r>
          <w:r>
            <w:rPr>
              <w:color w:val="auto"/>
            </w:rPr>
            <w:fldChar w:fldCharType="end"/>
          </w:r>
          <w:r>
            <w:rPr>
              <w:color w:val="auto"/>
            </w:rPr>
            <w:fldChar w:fldCharType="end"/>
          </w:r>
        </w:p>
        <w:p w14:paraId="70B69DA6">
          <w:pPr>
            <w:pStyle w:val="8"/>
            <w:tabs>
              <w:tab w:val="right" w:leader="dot" w:pos="8300"/>
            </w:tabs>
            <w:rPr>
              <w:color w:val="auto"/>
            </w:rPr>
          </w:pPr>
          <w:r>
            <w:rPr>
              <w:color w:val="auto"/>
            </w:rPr>
            <w:fldChar w:fldCharType="begin"/>
          </w:r>
          <w:r>
            <w:rPr>
              <w:color w:val="auto"/>
            </w:rPr>
            <w:instrText xml:space="preserve"> HYPERLINK \l _Toc1943564762 </w:instrText>
          </w:r>
          <w:r>
            <w:rPr>
              <w:color w:val="auto"/>
            </w:rPr>
            <w:fldChar w:fldCharType="separate"/>
          </w:r>
          <w:r>
            <w:rPr>
              <w:rFonts w:hint="eastAsia" w:ascii="宋体" w:hAnsi="Times New Roman" w:eastAsia="宋体" w:cs="Times New Roman"/>
              <w:color w:val="auto"/>
              <w:lang w:val="en-US" w:eastAsia="zh-CN" w:bidi="ar-SA"/>
            </w:rPr>
            <w:t>B.2.</w:t>
          </w:r>
          <w:r>
            <w:rPr>
              <w:rFonts w:hint="eastAsia" w:ascii="宋体" w:eastAsia="宋体" w:cs="Times New Roman"/>
              <w:color w:val="auto"/>
              <w:lang w:val="en-US" w:eastAsia="zh-CN" w:bidi="ar-SA"/>
            </w:rPr>
            <w:t>5</w:t>
          </w:r>
          <w:r>
            <w:rPr>
              <w:rFonts w:hint="eastAsia" w:ascii="宋体" w:hAnsi="Times New Roman" w:eastAsia="宋体" w:cs="Times New Roman"/>
              <w:color w:val="auto"/>
              <w:lang w:val="en-US" w:eastAsia="zh-CN" w:bidi="ar-SA"/>
            </w:rPr>
            <w:t xml:space="preserve">  </w:t>
          </w:r>
          <w:r>
            <w:rPr>
              <w:rFonts w:hint="eastAsia" w:ascii="宋体" w:eastAsia="宋体" w:cs="Times New Roman"/>
              <w:color w:val="auto"/>
              <w:lang w:val="en-US" w:eastAsia="zh-CN" w:bidi="ar-SA"/>
            </w:rPr>
            <w:t>肥料管理</w:t>
          </w:r>
          <w:r>
            <w:rPr>
              <w:color w:val="auto"/>
            </w:rPr>
            <w:tab/>
          </w:r>
          <w:r>
            <w:rPr>
              <w:color w:val="auto"/>
            </w:rPr>
            <w:fldChar w:fldCharType="begin"/>
          </w:r>
          <w:r>
            <w:rPr>
              <w:color w:val="auto"/>
            </w:rPr>
            <w:instrText xml:space="preserve"> PAGEREF _Toc1943564762 \h </w:instrText>
          </w:r>
          <w:r>
            <w:rPr>
              <w:color w:val="auto"/>
            </w:rPr>
            <w:fldChar w:fldCharType="separate"/>
          </w:r>
          <w:r>
            <w:rPr>
              <w:color w:val="auto"/>
            </w:rPr>
            <w:t>11</w:t>
          </w:r>
          <w:r>
            <w:rPr>
              <w:color w:val="auto"/>
            </w:rPr>
            <w:fldChar w:fldCharType="end"/>
          </w:r>
          <w:r>
            <w:rPr>
              <w:color w:val="auto"/>
            </w:rPr>
            <w:fldChar w:fldCharType="end"/>
          </w:r>
        </w:p>
        <w:p w14:paraId="42EC2AAE">
          <w:pPr>
            <w:pStyle w:val="8"/>
            <w:tabs>
              <w:tab w:val="right" w:leader="dot" w:pos="8300"/>
            </w:tabs>
            <w:rPr>
              <w:color w:val="auto"/>
            </w:rPr>
          </w:pPr>
          <w:r>
            <w:rPr>
              <w:color w:val="auto"/>
            </w:rPr>
            <w:fldChar w:fldCharType="begin"/>
          </w:r>
          <w:r>
            <w:rPr>
              <w:color w:val="auto"/>
            </w:rPr>
            <w:instrText xml:space="preserve"> HYPERLINK \l _Toc616614425 </w:instrText>
          </w:r>
          <w:r>
            <w:rPr>
              <w:color w:val="auto"/>
            </w:rPr>
            <w:fldChar w:fldCharType="separate"/>
          </w:r>
          <w:r>
            <w:rPr>
              <w:rFonts w:hint="eastAsia" w:ascii="宋体" w:hAnsi="Times New Roman" w:eastAsia="宋体" w:cs="Times New Roman"/>
              <w:color w:val="auto"/>
              <w:lang w:val="en-US" w:eastAsia="zh-CN" w:bidi="ar-SA"/>
            </w:rPr>
            <w:t>B.2.6  灌溉</w:t>
          </w:r>
          <w:r>
            <w:rPr>
              <w:color w:val="auto"/>
            </w:rPr>
            <w:tab/>
          </w:r>
          <w:r>
            <w:rPr>
              <w:color w:val="auto"/>
            </w:rPr>
            <w:fldChar w:fldCharType="begin"/>
          </w:r>
          <w:r>
            <w:rPr>
              <w:color w:val="auto"/>
            </w:rPr>
            <w:instrText xml:space="preserve"> PAGEREF _Toc616614425 \h </w:instrText>
          </w:r>
          <w:r>
            <w:rPr>
              <w:color w:val="auto"/>
            </w:rPr>
            <w:fldChar w:fldCharType="separate"/>
          </w:r>
          <w:r>
            <w:rPr>
              <w:color w:val="auto"/>
            </w:rPr>
            <w:t>13</w:t>
          </w:r>
          <w:r>
            <w:rPr>
              <w:color w:val="auto"/>
            </w:rPr>
            <w:fldChar w:fldCharType="end"/>
          </w:r>
          <w:r>
            <w:rPr>
              <w:color w:val="auto"/>
            </w:rPr>
            <w:fldChar w:fldCharType="end"/>
          </w:r>
        </w:p>
        <w:p w14:paraId="743D209E">
          <w:pPr>
            <w:pStyle w:val="7"/>
            <w:tabs>
              <w:tab w:val="right" w:leader="dot" w:pos="8300"/>
            </w:tabs>
            <w:rPr>
              <w:color w:val="auto"/>
            </w:rPr>
          </w:pPr>
          <w:r>
            <w:rPr>
              <w:color w:val="auto"/>
            </w:rPr>
            <w:fldChar w:fldCharType="begin"/>
          </w:r>
          <w:r>
            <w:rPr>
              <w:color w:val="auto"/>
            </w:rPr>
            <w:instrText xml:space="preserve"> HYPERLINK \l _Toc183550611 </w:instrText>
          </w:r>
          <w:r>
            <w:rPr>
              <w:color w:val="auto"/>
            </w:rPr>
            <w:fldChar w:fldCharType="separate"/>
          </w:r>
          <w:r>
            <w:rPr>
              <w:rFonts w:hint="eastAsia" w:ascii="宋体" w:hAnsi="Times New Roman" w:eastAsia="宋体" w:cs="Times New Roman"/>
              <w:color w:val="auto"/>
              <w:lang w:val="en-US" w:eastAsia="zh-CN" w:bidi="ar-SA"/>
            </w:rPr>
            <w:t>B.3  植物保护</w:t>
          </w:r>
          <w:r>
            <w:rPr>
              <w:color w:val="auto"/>
            </w:rPr>
            <w:tab/>
          </w:r>
          <w:r>
            <w:rPr>
              <w:color w:val="auto"/>
            </w:rPr>
            <w:fldChar w:fldCharType="begin"/>
          </w:r>
          <w:r>
            <w:rPr>
              <w:color w:val="auto"/>
            </w:rPr>
            <w:instrText xml:space="preserve"> PAGEREF _Toc183550611 \h </w:instrText>
          </w:r>
          <w:r>
            <w:rPr>
              <w:color w:val="auto"/>
            </w:rPr>
            <w:fldChar w:fldCharType="separate"/>
          </w:r>
          <w:r>
            <w:rPr>
              <w:color w:val="auto"/>
            </w:rPr>
            <w:t>13</w:t>
          </w:r>
          <w:r>
            <w:rPr>
              <w:color w:val="auto"/>
            </w:rPr>
            <w:fldChar w:fldCharType="end"/>
          </w:r>
          <w:r>
            <w:rPr>
              <w:color w:val="auto"/>
            </w:rPr>
            <w:fldChar w:fldCharType="end"/>
          </w:r>
        </w:p>
        <w:p w14:paraId="708EB57B">
          <w:pPr>
            <w:pStyle w:val="8"/>
            <w:tabs>
              <w:tab w:val="right" w:leader="dot" w:pos="8300"/>
            </w:tabs>
            <w:rPr>
              <w:color w:val="auto"/>
            </w:rPr>
          </w:pPr>
          <w:r>
            <w:rPr>
              <w:color w:val="auto"/>
            </w:rPr>
            <w:fldChar w:fldCharType="begin"/>
          </w:r>
          <w:r>
            <w:rPr>
              <w:color w:val="auto"/>
            </w:rPr>
            <w:instrText xml:space="preserve"> HYPERLINK \l _Toc828923660 </w:instrText>
          </w:r>
          <w:r>
            <w:rPr>
              <w:color w:val="auto"/>
            </w:rPr>
            <w:fldChar w:fldCharType="separate"/>
          </w:r>
          <w:r>
            <w:rPr>
              <w:rFonts w:hint="eastAsia" w:ascii="宋体" w:hAnsi="Times New Roman" w:eastAsia="宋体" w:cs="Times New Roman"/>
              <w:color w:val="auto"/>
              <w:lang w:val="en-US" w:eastAsia="zh-CN" w:bidi="ar-SA"/>
            </w:rPr>
            <w:t>B.3.1  病虫害综合防治</w:t>
          </w:r>
          <w:r>
            <w:rPr>
              <w:color w:val="auto"/>
            </w:rPr>
            <w:tab/>
          </w:r>
          <w:r>
            <w:rPr>
              <w:color w:val="auto"/>
            </w:rPr>
            <w:fldChar w:fldCharType="begin"/>
          </w:r>
          <w:r>
            <w:rPr>
              <w:color w:val="auto"/>
            </w:rPr>
            <w:instrText xml:space="preserve"> PAGEREF _Toc828923660 \h </w:instrText>
          </w:r>
          <w:r>
            <w:rPr>
              <w:color w:val="auto"/>
            </w:rPr>
            <w:fldChar w:fldCharType="separate"/>
          </w:r>
          <w:r>
            <w:rPr>
              <w:color w:val="auto"/>
            </w:rPr>
            <w:t>13</w:t>
          </w:r>
          <w:r>
            <w:rPr>
              <w:color w:val="auto"/>
            </w:rPr>
            <w:fldChar w:fldCharType="end"/>
          </w:r>
          <w:r>
            <w:rPr>
              <w:color w:val="auto"/>
            </w:rPr>
            <w:fldChar w:fldCharType="end"/>
          </w:r>
        </w:p>
        <w:p w14:paraId="6BD13303">
          <w:pPr>
            <w:pStyle w:val="8"/>
            <w:tabs>
              <w:tab w:val="right" w:leader="dot" w:pos="8300"/>
            </w:tabs>
            <w:rPr>
              <w:color w:val="auto"/>
            </w:rPr>
          </w:pPr>
          <w:r>
            <w:rPr>
              <w:color w:val="auto"/>
            </w:rPr>
            <w:fldChar w:fldCharType="begin"/>
          </w:r>
          <w:r>
            <w:rPr>
              <w:color w:val="auto"/>
            </w:rPr>
            <w:instrText xml:space="preserve"> HYPERLINK \l _Toc1860896307 </w:instrText>
          </w:r>
          <w:r>
            <w:rPr>
              <w:color w:val="auto"/>
            </w:rPr>
            <w:fldChar w:fldCharType="separate"/>
          </w:r>
          <w:r>
            <w:rPr>
              <w:rFonts w:hint="eastAsia" w:ascii="宋体" w:hAnsi="Times New Roman" w:eastAsia="宋体" w:cs="Times New Roman"/>
              <w:color w:val="auto"/>
              <w:lang w:val="en-US" w:eastAsia="zh-CN" w:bidi="ar-SA"/>
            </w:rPr>
            <w:t>B.3.2  农药</w:t>
          </w:r>
          <w:r>
            <w:rPr>
              <w:color w:val="auto"/>
            </w:rPr>
            <w:tab/>
          </w:r>
          <w:r>
            <w:rPr>
              <w:color w:val="auto"/>
            </w:rPr>
            <w:fldChar w:fldCharType="begin"/>
          </w:r>
          <w:r>
            <w:rPr>
              <w:color w:val="auto"/>
            </w:rPr>
            <w:instrText xml:space="preserve"> PAGEREF _Toc1860896307 \h </w:instrText>
          </w:r>
          <w:r>
            <w:rPr>
              <w:color w:val="auto"/>
            </w:rPr>
            <w:fldChar w:fldCharType="separate"/>
          </w:r>
          <w:r>
            <w:rPr>
              <w:color w:val="auto"/>
            </w:rPr>
            <w:t>14</w:t>
          </w:r>
          <w:r>
            <w:rPr>
              <w:color w:val="auto"/>
            </w:rPr>
            <w:fldChar w:fldCharType="end"/>
          </w:r>
          <w:r>
            <w:rPr>
              <w:color w:val="auto"/>
            </w:rPr>
            <w:fldChar w:fldCharType="end"/>
          </w:r>
        </w:p>
        <w:p w14:paraId="6CCB65D6">
          <w:pPr>
            <w:pStyle w:val="7"/>
            <w:tabs>
              <w:tab w:val="right" w:leader="dot" w:pos="8300"/>
            </w:tabs>
            <w:rPr>
              <w:color w:val="auto"/>
            </w:rPr>
          </w:pPr>
          <w:r>
            <w:rPr>
              <w:color w:val="auto"/>
            </w:rPr>
            <w:fldChar w:fldCharType="begin"/>
          </w:r>
          <w:r>
            <w:rPr>
              <w:color w:val="auto"/>
            </w:rPr>
            <w:instrText xml:space="preserve"> HYPERLINK \l _Toc633784288 </w:instrText>
          </w:r>
          <w:r>
            <w:rPr>
              <w:color w:val="auto"/>
            </w:rPr>
            <w:fldChar w:fldCharType="separate"/>
          </w:r>
          <w:r>
            <w:rPr>
              <w:rFonts w:hint="eastAsia" w:ascii="宋体" w:hAnsi="Times New Roman" w:eastAsia="宋体" w:cs="Times New Roman"/>
              <w:color w:val="auto"/>
              <w:lang w:val="en-US" w:eastAsia="zh-CN" w:bidi="ar-SA"/>
            </w:rPr>
            <w:t>B.4  采收</w:t>
          </w:r>
          <w:r>
            <w:rPr>
              <w:rFonts w:hint="eastAsia" w:ascii="宋体" w:eastAsia="宋体" w:cs="Times New Roman"/>
              <w:color w:val="auto"/>
              <w:lang w:val="en-US" w:eastAsia="zh-CN" w:bidi="ar-SA"/>
            </w:rPr>
            <w:t>与采购管理</w:t>
          </w:r>
          <w:r>
            <w:rPr>
              <w:color w:val="auto"/>
            </w:rPr>
            <w:tab/>
          </w:r>
          <w:r>
            <w:rPr>
              <w:color w:val="auto"/>
            </w:rPr>
            <w:fldChar w:fldCharType="begin"/>
          </w:r>
          <w:r>
            <w:rPr>
              <w:color w:val="auto"/>
            </w:rPr>
            <w:instrText xml:space="preserve"> PAGEREF _Toc633784288 \h </w:instrText>
          </w:r>
          <w:r>
            <w:rPr>
              <w:color w:val="auto"/>
            </w:rPr>
            <w:fldChar w:fldCharType="separate"/>
          </w:r>
          <w:r>
            <w:rPr>
              <w:color w:val="auto"/>
            </w:rPr>
            <w:t>15</w:t>
          </w:r>
          <w:r>
            <w:rPr>
              <w:color w:val="auto"/>
            </w:rPr>
            <w:fldChar w:fldCharType="end"/>
          </w:r>
          <w:r>
            <w:rPr>
              <w:color w:val="auto"/>
            </w:rPr>
            <w:fldChar w:fldCharType="end"/>
          </w:r>
        </w:p>
        <w:p w14:paraId="7757E6B2">
          <w:pPr>
            <w:pStyle w:val="8"/>
            <w:tabs>
              <w:tab w:val="right" w:leader="dot" w:pos="8300"/>
            </w:tabs>
            <w:rPr>
              <w:color w:val="auto"/>
            </w:rPr>
          </w:pPr>
          <w:r>
            <w:rPr>
              <w:color w:val="auto"/>
            </w:rPr>
            <w:fldChar w:fldCharType="begin"/>
          </w:r>
          <w:r>
            <w:rPr>
              <w:color w:val="auto"/>
            </w:rPr>
            <w:instrText xml:space="preserve"> HYPERLINK \l _Toc280658904 </w:instrText>
          </w:r>
          <w:r>
            <w:rPr>
              <w:color w:val="auto"/>
            </w:rPr>
            <w:fldChar w:fldCharType="separate"/>
          </w:r>
          <w:r>
            <w:rPr>
              <w:rFonts w:hint="eastAsia" w:ascii="宋体" w:hAnsi="Times New Roman" w:eastAsia="宋体" w:cs="Times New Roman"/>
              <w:color w:val="auto"/>
              <w:lang w:val="en-US" w:eastAsia="zh-CN" w:bidi="ar-SA"/>
            </w:rPr>
            <w:t>B.4.1  采后处理</w:t>
          </w:r>
          <w:r>
            <w:rPr>
              <w:color w:val="auto"/>
            </w:rPr>
            <w:tab/>
          </w:r>
          <w:r>
            <w:rPr>
              <w:color w:val="auto"/>
            </w:rPr>
            <w:fldChar w:fldCharType="begin"/>
          </w:r>
          <w:r>
            <w:rPr>
              <w:color w:val="auto"/>
            </w:rPr>
            <w:instrText xml:space="preserve"> PAGEREF _Toc280658904 \h </w:instrText>
          </w:r>
          <w:r>
            <w:rPr>
              <w:color w:val="auto"/>
            </w:rPr>
            <w:fldChar w:fldCharType="separate"/>
          </w:r>
          <w:r>
            <w:rPr>
              <w:color w:val="auto"/>
            </w:rPr>
            <w:t>17</w:t>
          </w:r>
          <w:r>
            <w:rPr>
              <w:color w:val="auto"/>
            </w:rPr>
            <w:fldChar w:fldCharType="end"/>
          </w:r>
          <w:r>
            <w:rPr>
              <w:color w:val="auto"/>
            </w:rPr>
            <w:fldChar w:fldCharType="end"/>
          </w:r>
        </w:p>
        <w:p w14:paraId="624A0E4D">
          <w:pPr>
            <w:pStyle w:val="8"/>
            <w:tabs>
              <w:tab w:val="right" w:leader="dot" w:pos="8300"/>
            </w:tabs>
            <w:rPr>
              <w:color w:val="auto"/>
            </w:rPr>
          </w:pPr>
          <w:r>
            <w:rPr>
              <w:color w:val="auto"/>
            </w:rPr>
            <w:fldChar w:fldCharType="begin"/>
          </w:r>
          <w:r>
            <w:rPr>
              <w:color w:val="auto"/>
            </w:rPr>
            <w:instrText xml:space="preserve"> HYPERLINK \l _Toc677539162 </w:instrText>
          </w:r>
          <w:r>
            <w:rPr>
              <w:color w:val="auto"/>
            </w:rPr>
            <w:fldChar w:fldCharType="separate"/>
          </w:r>
          <w:r>
            <w:rPr>
              <w:rFonts w:hint="eastAsia" w:ascii="宋体" w:hAnsi="Times New Roman" w:eastAsia="宋体" w:cs="Times New Roman"/>
              <w:color w:val="auto"/>
              <w:lang w:val="en-US" w:eastAsia="zh-CN" w:bidi="ar-SA"/>
            </w:rPr>
            <w:t>B.4.2  质量控制</w:t>
          </w:r>
          <w:r>
            <w:rPr>
              <w:color w:val="auto"/>
            </w:rPr>
            <w:tab/>
          </w:r>
          <w:r>
            <w:rPr>
              <w:color w:val="auto"/>
            </w:rPr>
            <w:fldChar w:fldCharType="begin"/>
          </w:r>
          <w:r>
            <w:rPr>
              <w:color w:val="auto"/>
            </w:rPr>
            <w:instrText xml:space="preserve"> PAGEREF _Toc677539162 \h </w:instrText>
          </w:r>
          <w:r>
            <w:rPr>
              <w:color w:val="auto"/>
            </w:rPr>
            <w:fldChar w:fldCharType="separate"/>
          </w:r>
          <w:r>
            <w:rPr>
              <w:color w:val="auto"/>
            </w:rPr>
            <w:t>17</w:t>
          </w:r>
          <w:r>
            <w:rPr>
              <w:color w:val="auto"/>
            </w:rPr>
            <w:fldChar w:fldCharType="end"/>
          </w:r>
          <w:r>
            <w:rPr>
              <w:color w:val="auto"/>
            </w:rPr>
            <w:fldChar w:fldCharType="end"/>
          </w:r>
        </w:p>
        <w:p w14:paraId="40C2DE59">
          <w:pPr>
            <w:pStyle w:val="7"/>
            <w:tabs>
              <w:tab w:val="right" w:leader="dot" w:pos="8300"/>
            </w:tabs>
            <w:rPr>
              <w:color w:val="auto"/>
            </w:rPr>
          </w:pPr>
          <w:r>
            <w:rPr>
              <w:color w:val="auto"/>
            </w:rPr>
            <w:fldChar w:fldCharType="begin"/>
          </w:r>
          <w:r>
            <w:rPr>
              <w:color w:val="auto"/>
            </w:rPr>
            <w:instrText xml:space="preserve"> HYPERLINK \l _Toc525543863 </w:instrText>
          </w:r>
          <w:r>
            <w:rPr>
              <w:color w:val="auto"/>
            </w:rPr>
            <w:fldChar w:fldCharType="separate"/>
          </w:r>
          <w:r>
            <w:rPr>
              <w:rFonts w:hint="eastAsia" w:ascii="宋体" w:hAnsi="Times New Roman" w:eastAsia="宋体" w:cs="Times New Roman"/>
              <w:color w:val="auto"/>
              <w:lang w:val="en-US" w:eastAsia="zh-CN" w:bidi="ar-SA"/>
            </w:rPr>
            <w:t>B.5  包装</w:t>
          </w:r>
          <w:r>
            <w:rPr>
              <w:rFonts w:hint="eastAsia" w:ascii="宋体" w:eastAsia="宋体" w:cs="Times New Roman"/>
              <w:color w:val="auto"/>
              <w:lang w:val="en-US" w:eastAsia="zh-CN" w:bidi="ar-SA"/>
            </w:rPr>
            <w:t>、</w:t>
          </w:r>
          <w:r>
            <w:rPr>
              <w:rFonts w:hint="eastAsia" w:ascii="宋体" w:hAnsi="Times New Roman" w:eastAsia="宋体" w:cs="Times New Roman"/>
              <w:color w:val="auto"/>
              <w:lang w:val="en-US" w:eastAsia="zh-CN" w:bidi="ar-SA"/>
            </w:rPr>
            <w:t>标识</w:t>
          </w:r>
          <w:r>
            <w:rPr>
              <w:rFonts w:hint="eastAsia" w:ascii="宋体" w:eastAsia="宋体" w:cs="Times New Roman"/>
              <w:color w:val="auto"/>
              <w:lang w:val="en-US" w:eastAsia="zh-CN" w:bidi="ar-SA"/>
            </w:rPr>
            <w:t>与仓储</w:t>
          </w:r>
          <w:r>
            <w:rPr>
              <w:color w:val="auto"/>
            </w:rPr>
            <w:tab/>
          </w:r>
          <w:r>
            <w:rPr>
              <w:color w:val="auto"/>
            </w:rPr>
            <w:fldChar w:fldCharType="begin"/>
          </w:r>
          <w:r>
            <w:rPr>
              <w:color w:val="auto"/>
            </w:rPr>
            <w:instrText xml:space="preserve"> PAGEREF _Toc525543863 \h </w:instrText>
          </w:r>
          <w:r>
            <w:rPr>
              <w:color w:val="auto"/>
            </w:rPr>
            <w:fldChar w:fldCharType="separate"/>
          </w:r>
          <w:r>
            <w:rPr>
              <w:color w:val="auto"/>
            </w:rPr>
            <w:t>17</w:t>
          </w:r>
          <w:r>
            <w:rPr>
              <w:color w:val="auto"/>
            </w:rPr>
            <w:fldChar w:fldCharType="end"/>
          </w:r>
          <w:r>
            <w:rPr>
              <w:color w:val="auto"/>
            </w:rPr>
            <w:fldChar w:fldCharType="end"/>
          </w:r>
        </w:p>
        <w:p w14:paraId="6E5EA26E">
          <w:pPr>
            <w:pStyle w:val="7"/>
            <w:tabs>
              <w:tab w:val="right" w:leader="dot" w:pos="8300"/>
            </w:tabs>
            <w:rPr>
              <w:color w:val="auto"/>
            </w:rPr>
          </w:pPr>
          <w:r>
            <w:rPr>
              <w:color w:val="auto"/>
            </w:rPr>
            <w:fldChar w:fldCharType="begin"/>
          </w:r>
          <w:r>
            <w:rPr>
              <w:color w:val="auto"/>
            </w:rPr>
            <w:instrText xml:space="preserve"> HYPERLINK \l _Toc1328587908 </w:instrText>
          </w:r>
          <w:r>
            <w:rPr>
              <w:color w:val="auto"/>
            </w:rPr>
            <w:fldChar w:fldCharType="separate"/>
          </w:r>
          <w:r>
            <w:rPr>
              <w:rFonts w:hint="eastAsia" w:ascii="宋体" w:hAnsi="Times New Roman" w:eastAsia="宋体" w:cs="Times New Roman"/>
              <w:color w:val="auto"/>
              <w:lang w:val="en-US" w:eastAsia="zh-CN" w:bidi="ar-SA"/>
            </w:rPr>
            <w:t>B.6  物流及运输</w:t>
          </w:r>
          <w:r>
            <w:rPr>
              <w:color w:val="auto"/>
            </w:rPr>
            <w:tab/>
          </w:r>
          <w:r>
            <w:rPr>
              <w:color w:val="auto"/>
            </w:rPr>
            <w:fldChar w:fldCharType="begin"/>
          </w:r>
          <w:r>
            <w:rPr>
              <w:color w:val="auto"/>
            </w:rPr>
            <w:instrText xml:space="preserve"> PAGEREF _Toc1328587908 \h </w:instrText>
          </w:r>
          <w:r>
            <w:rPr>
              <w:color w:val="auto"/>
            </w:rPr>
            <w:fldChar w:fldCharType="separate"/>
          </w:r>
          <w:r>
            <w:rPr>
              <w:color w:val="auto"/>
            </w:rPr>
            <w:t>17</w:t>
          </w:r>
          <w:r>
            <w:rPr>
              <w:color w:val="auto"/>
            </w:rPr>
            <w:fldChar w:fldCharType="end"/>
          </w:r>
          <w:r>
            <w:rPr>
              <w:color w:val="auto"/>
            </w:rPr>
            <w:fldChar w:fldCharType="end"/>
          </w:r>
        </w:p>
        <w:p w14:paraId="533D56AA">
          <w:pPr>
            <w:pStyle w:val="7"/>
            <w:tabs>
              <w:tab w:val="right" w:leader="dot" w:pos="8300"/>
            </w:tabs>
            <w:rPr>
              <w:color w:val="auto"/>
            </w:rPr>
          </w:pPr>
          <w:r>
            <w:rPr>
              <w:color w:val="auto"/>
            </w:rPr>
            <w:fldChar w:fldCharType="begin"/>
          </w:r>
          <w:r>
            <w:rPr>
              <w:color w:val="auto"/>
            </w:rPr>
            <w:instrText xml:space="preserve"> HYPERLINK \l _Toc2121671196 </w:instrText>
          </w:r>
          <w:r>
            <w:rPr>
              <w:color w:val="auto"/>
            </w:rPr>
            <w:fldChar w:fldCharType="separate"/>
          </w:r>
          <w:r>
            <w:rPr>
              <w:rFonts w:hint="eastAsia" w:ascii="宋体" w:hAnsi="Times New Roman" w:eastAsia="宋体" w:cs="Times New Roman"/>
              <w:color w:val="auto"/>
              <w:lang w:val="en-US" w:eastAsia="zh-CN" w:bidi="ar-SA"/>
            </w:rPr>
            <w:t>B.7  销售</w:t>
          </w:r>
          <w:r>
            <w:rPr>
              <w:rFonts w:hint="eastAsia" w:ascii="宋体" w:eastAsia="宋体" w:cs="Times New Roman"/>
              <w:color w:val="auto"/>
              <w:lang w:val="en-US" w:eastAsia="zh-CN" w:bidi="ar-SA"/>
            </w:rPr>
            <w:t>管理</w:t>
          </w:r>
          <w:r>
            <w:rPr>
              <w:color w:val="auto"/>
            </w:rPr>
            <w:tab/>
          </w:r>
          <w:r>
            <w:rPr>
              <w:color w:val="auto"/>
            </w:rPr>
            <w:fldChar w:fldCharType="begin"/>
          </w:r>
          <w:r>
            <w:rPr>
              <w:color w:val="auto"/>
            </w:rPr>
            <w:instrText xml:space="preserve"> PAGEREF _Toc2121671196 \h </w:instrText>
          </w:r>
          <w:r>
            <w:rPr>
              <w:color w:val="auto"/>
            </w:rPr>
            <w:fldChar w:fldCharType="separate"/>
          </w:r>
          <w:r>
            <w:rPr>
              <w:color w:val="auto"/>
            </w:rPr>
            <w:t>19</w:t>
          </w:r>
          <w:r>
            <w:rPr>
              <w:color w:val="auto"/>
            </w:rPr>
            <w:fldChar w:fldCharType="end"/>
          </w:r>
          <w:r>
            <w:rPr>
              <w:color w:val="auto"/>
            </w:rPr>
            <w:fldChar w:fldCharType="end"/>
          </w:r>
        </w:p>
        <w:p w14:paraId="01C2444D">
          <w:pPr>
            <w:pStyle w:val="7"/>
            <w:tabs>
              <w:tab w:val="right" w:leader="dot" w:pos="8300"/>
            </w:tabs>
            <w:rPr>
              <w:color w:val="auto"/>
            </w:rPr>
          </w:pPr>
          <w:r>
            <w:rPr>
              <w:color w:val="auto"/>
            </w:rPr>
            <w:fldChar w:fldCharType="begin"/>
          </w:r>
          <w:r>
            <w:rPr>
              <w:color w:val="auto"/>
            </w:rPr>
            <w:instrText xml:space="preserve"> HYPERLINK \l _Toc1258052234 </w:instrText>
          </w:r>
          <w:r>
            <w:rPr>
              <w:color w:val="auto"/>
            </w:rPr>
            <w:fldChar w:fldCharType="separate"/>
          </w:r>
          <w:r>
            <w:rPr>
              <w:rFonts w:hint="eastAsia" w:ascii="宋体" w:hAnsi="Times New Roman" w:eastAsia="宋体" w:cs="Times New Roman"/>
              <w:color w:val="auto"/>
              <w:lang w:val="en-US" w:eastAsia="zh-CN" w:bidi="ar-SA"/>
            </w:rPr>
            <w:t>B.8  其他</w:t>
          </w:r>
          <w:r>
            <w:rPr>
              <w:rFonts w:hint="eastAsia" w:ascii="宋体" w:eastAsia="宋体" w:cs="Times New Roman"/>
              <w:color w:val="auto"/>
              <w:lang w:val="en-US" w:eastAsia="zh-CN" w:bidi="ar-SA"/>
            </w:rPr>
            <w:t>要求</w:t>
          </w:r>
          <w:r>
            <w:rPr>
              <w:color w:val="auto"/>
            </w:rPr>
            <w:tab/>
          </w:r>
          <w:r>
            <w:rPr>
              <w:color w:val="auto"/>
            </w:rPr>
            <w:fldChar w:fldCharType="begin"/>
          </w:r>
          <w:r>
            <w:rPr>
              <w:color w:val="auto"/>
            </w:rPr>
            <w:instrText xml:space="preserve"> PAGEREF _Toc1258052234 \h </w:instrText>
          </w:r>
          <w:r>
            <w:rPr>
              <w:color w:val="auto"/>
            </w:rPr>
            <w:fldChar w:fldCharType="separate"/>
          </w:r>
          <w:r>
            <w:rPr>
              <w:color w:val="auto"/>
            </w:rPr>
            <w:t>19</w:t>
          </w:r>
          <w:r>
            <w:rPr>
              <w:color w:val="auto"/>
            </w:rPr>
            <w:fldChar w:fldCharType="end"/>
          </w:r>
          <w:r>
            <w:rPr>
              <w:color w:val="auto"/>
            </w:rPr>
            <w:fldChar w:fldCharType="end"/>
          </w:r>
        </w:p>
        <w:p w14:paraId="60D6C085">
          <w:pPr>
            <w:pStyle w:val="8"/>
            <w:tabs>
              <w:tab w:val="right" w:leader="dot" w:pos="8300"/>
            </w:tabs>
            <w:rPr>
              <w:color w:val="auto"/>
            </w:rPr>
          </w:pPr>
          <w:r>
            <w:rPr>
              <w:color w:val="auto"/>
            </w:rPr>
            <w:fldChar w:fldCharType="begin"/>
          </w:r>
          <w:r>
            <w:rPr>
              <w:color w:val="auto"/>
            </w:rPr>
            <w:instrText xml:space="preserve"> HYPERLINK \l _Toc1803515286 </w:instrText>
          </w:r>
          <w:r>
            <w:rPr>
              <w:color w:val="auto"/>
            </w:rPr>
            <w:fldChar w:fldCharType="separate"/>
          </w:r>
          <w:r>
            <w:rPr>
              <w:rFonts w:hint="eastAsia" w:ascii="宋体" w:hAnsi="Times New Roman" w:eastAsia="宋体" w:cs="Times New Roman"/>
              <w:color w:val="auto"/>
              <w:lang w:val="en-US" w:eastAsia="zh-CN" w:bidi="ar-SA"/>
            </w:rPr>
            <w:t>B.8.1  风险评估</w:t>
          </w:r>
          <w:r>
            <w:rPr>
              <w:color w:val="auto"/>
            </w:rPr>
            <w:tab/>
          </w:r>
          <w:r>
            <w:rPr>
              <w:color w:val="auto"/>
            </w:rPr>
            <w:fldChar w:fldCharType="begin"/>
          </w:r>
          <w:r>
            <w:rPr>
              <w:color w:val="auto"/>
            </w:rPr>
            <w:instrText xml:space="preserve"> PAGEREF _Toc1803515286 \h </w:instrText>
          </w:r>
          <w:r>
            <w:rPr>
              <w:color w:val="auto"/>
            </w:rPr>
            <w:fldChar w:fldCharType="separate"/>
          </w:r>
          <w:r>
            <w:rPr>
              <w:color w:val="auto"/>
            </w:rPr>
            <w:t>19</w:t>
          </w:r>
          <w:r>
            <w:rPr>
              <w:color w:val="auto"/>
            </w:rPr>
            <w:fldChar w:fldCharType="end"/>
          </w:r>
          <w:r>
            <w:rPr>
              <w:color w:val="auto"/>
            </w:rPr>
            <w:fldChar w:fldCharType="end"/>
          </w:r>
        </w:p>
        <w:p w14:paraId="13C22485">
          <w:pPr>
            <w:pStyle w:val="8"/>
            <w:tabs>
              <w:tab w:val="right" w:leader="dot" w:pos="8300"/>
            </w:tabs>
            <w:rPr>
              <w:color w:val="auto"/>
            </w:rPr>
          </w:pPr>
          <w:r>
            <w:rPr>
              <w:color w:val="auto"/>
            </w:rPr>
            <w:fldChar w:fldCharType="begin"/>
          </w:r>
          <w:r>
            <w:rPr>
              <w:color w:val="auto"/>
            </w:rPr>
            <w:instrText xml:space="preserve"> HYPERLINK \l _Toc967431542 </w:instrText>
          </w:r>
          <w:r>
            <w:rPr>
              <w:color w:val="auto"/>
            </w:rPr>
            <w:fldChar w:fldCharType="separate"/>
          </w:r>
          <w:r>
            <w:rPr>
              <w:rFonts w:hint="eastAsia" w:ascii="宋体" w:hAnsi="Times New Roman" w:eastAsia="宋体" w:cs="Times New Roman"/>
              <w:color w:val="auto"/>
              <w:lang w:val="en-US" w:eastAsia="zh-CN" w:bidi="ar-SA"/>
            </w:rPr>
            <w:t>B.8.2  员工培训</w:t>
          </w:r>
          <w:r>
            <w:rPr>
              <w:color w:val="auto"/>
            </w:rPr>
            <w:tab/>
          </w:r>
          <w:r>
            <w:rPr>
              <w:color w:val="auto"/>
            </w:rPr>
            <w:fldChar w:fldCharType="begin"/>
          </w:r>
          <w:r>
            <w:rPr>
              <w:color w:val="auto"/>
            </w:rPr>
            <w:instrText xml:space="preserve"> PAGEREF _Toc967431542 \h </w:instrText>
          </w:r>
          <w:r>
            <w:rPr>
              <w:color w:val="auto"/>
            </w:rPr>
            <w:fldChar w:fldCharType="separate"/>
          </w:r>
          <w:r>
            <w:rPr>
              <w:color w:val="auto"/>
            </w:rPr>
            <w:t>19</w:t>
          </w:r>
          <w:r>
            <w:rPr>
              <w:color w:val="auto"/>
            </w:rPr>
            <w:fldChar w:fldCharType="end"/>
          </w:r>
          <w:r>
            <w:rPr>
              <w:color w:val="auto"/>
            </w:rPr>
            <w:fldChar w:fldCharType="end"/>
          </w:r>
        </w:p>
        <w:p w14:paraId="5CE58B9D">
          <w:pPr>
            <w:pStyle w:val="8"/>
            <w:tabs>
              <w:tab w:val="right" w:leader="dot" w:pos="8300"/>
            </w:tabs>
            <w:rPr>
              <w:color w:val="auto"/>
            </w:rPr>
          </w:pPr>
          <w:r>
            <w:rPr>
              <w:color w:val="auto"/>
            </w:rPr>
            <w:fldChar w:fldCharType="begin"/>
          </w:r>
          <w:r>
            <w:rPr>
              <w:color w:val="auto"/>
            </w:rPr>
            <w:instrText xml:space="preserve"> HYPERLINK \l _Toc1949085827 </w:instrText>
          </w:r>
          <w:r>
            <w:rPr>
              <w:color w:val="auto"/>
            </w:rPr>
            <w:fldChar w:fldCharType="separate"/>
          </w:r>
          <w:r>
            <w:rPr>
              <w:rFonts w:hint="eastAsia" w:ascii="宋体" w:hAnsi="Times New Roman" w:eastAsia="宋体" w:cs="Times New Roman"/>
              <w:color w:val="auto"/>
              <w:lang w:val="en-US" w:eastAsia="zh-CN" w:bidi="ar-SA"/>
            </w:rPr>
            <w:t>B.8.3  个人卫生</w:t>
          </w:r>
          <w:r>
            <w:rPr>
              <w:color w:val="auto"/>
            </w:rPr>
            <w:tab/>
          </w:r>
          <w:r>
            <w:rPr>
              <w:color w:val="auto"/>
            </w:rPr>
            <w:fldChar w:fldCharType="begin"/>
          </w:r>
          <w:r>
            <w:rPr>
              <w:color w:val="auto"/>
            </w:rPr>
            <w:instrText xml:space="preserve"> PAGEREF _Toc1949085827 \h </w:instrText>
          </w:r>
          <w:r>
            <w:rPr>
              <w:color w:val="auto"/>
            </w:rPr>
            <w:fldChar w:fldCharType="separate"/>
          </w:r>
          <w:r>
            <w:rPr>
              <w:color w:val="auto"/>
            </w:rPr>
            <w:t>19</w:t>
          </w:r>
          <w:r>
            <w:rPr>
              <w:color w:val="auto"/>
            </w:rPr>
            <w:fldChar w:fldCharType="end"/>
          </w:r>
          <w:r>
            <w:rPr>
              <w:color w:val="auto"/>
            </w:rPr>
            <w:fldChar w:fldCharType="end"/>
          </w:r>
        </w:p>
        <w:p w14:paraId="1D2024E9">
          <w:pPr>
            <w:pStyle w:val="8"/>
            <w:tabs>
              <w:tab w:val="right" w:leader="dot" w:pos="8300"/>
            </w:tabs>
            <w:rPr>
              <w:color w:val="auto"/>
            </w:rPr>
          </w:pPr>
          <w:r>
            <w:rPr>
              <w:color w:val="auto"/>
            </w:rPr>
            <w:fldChar w:fldCharType="begin"/>
          </w:r>
          <w:r>
            <w:rPr>
              <w:color w:val="auto"/>
            </w:rPr>
            <w:instrText xml:space="preserve"> HYPERLINK \l _Toc1406337492 </w:instrText>
          </w:r>
          <w:r>
            <w:rPr>
              <w:color w:val="auto"/>
            </w:rPr>
            <w:fldChar w:fldCharType="separate"/>
          </w:r>
          <w:r>
            <w:rPr>
              <w:rFonts w:hint="eastAsia" w:ascii="宋体" w:hAnsi="Times New Roman" w:eastAsia="宋体" w:cs="Times New Roman"/>
              <w:color w:val="auto"/>
              <w:lang w:val="en-US" w:eastAsia="zh-CN" w:bidi="ar-SA"/>
            </w:rPr>
            <w:t>B.8.4  卫生设施</w:t>
          </w:r>
          <w:r>
            <w:rPr>
              <w:color w:val="auto"/>
            </w:rPr>
            <w:tab/>
          </w:r>
          <w:r>
            <w:rPr>
              <w:color w:val="auto"/>
            </w:rPr>
            <w:fldChar w:fldCharType="begin"/>
          </w:r>
          <w:r>
            <w:rPr>
              <w:color w:val="auto"/>
            </w:rPr>
            <w:instrText xml:space="preserve"> PAGEREF _Toc1406337492 \h </w:instrText>
          </w:r>
          <w:r>
            <w:rPr>
              <w:color w:val="auto"/>
            </w:rPr>
            <w:fldChar w:fldCharType="separate"/>
          </w:r>
          <w:r>
            <w:rPr>
              <w:color w:val="auto"/>
            </w:rPr>
            <w:t>20</w:t>
          </w:r>
          <w:r>
            <w:rPr>
              <w:color w:val="auto"/>
            </w:rPr>
            <w:fldChar w:fldCharType="end"/>
          </w:r>
          <w:r>
            <w:rPr>
              <w:color w:val="auto"/>
            </w:rPr>
            <w:fldChar w:fldCharType="end"/>
          </w:r>
        </w:p>
        <w:p w14:paraId="515E0F8D">
          <w:pPr>
            <w:pStyle w:val="8"/>
            <w:tabs>
              <w:tab w:val="right" w:leader="dot" w:pos="8300"/>
            </w:tabs>
            <w:rPr>
              <w:color w:val="auto"/>
            </w:rPr>
          </w:pPr>
          <w:r>
            <w:rPr>
              <w:color w:val="auto"/>
            </w:rPr>
            <w:fldChar w:fldCharType="begin"/>
          </w:r>
          <w:r>
            <w:rPr>
              <w:color w:val="auto"/>
            </w:rPr>
            <w:instrText xml:space="preserve"> HYPERLINK \l _Toc818961928 </w:instrText>
          </w:r>
          <w:r>
            <w:rPr>
              <w:color w:val="auto"/>
            </w:rPr>
            <w:fldChar w:fldCharType="separate"/>
          </w:r>
          <w:r>
            <w:rPr>
              <w:rFonts w:hint="eastAsia" w:ascii="宋体" w:hAnsi="Times New Roman" w:eastAsia="宋体" w:cs="Times New Roman"/>
              <w:color w:val="auto"/>
              <w:lang w:val="en-US" w:eastAsia="zh-CN" w:bidi="ar-SA"/>
            </w:rPr>
            <w:t>B.8.5  危险和急救</w:t>
          </w:r>
          <w:r>
            <w:rPr>
              <w:color w:val="auto"/>
            </w:rPr>
            <w:tab/>
          </w:r>
          <w:r>
            <w:rPr>
              <w:color w:val="auto"/>
            </w:rPr>
            <w:fldChar w:fldCharType="begin"/>
          </w:r>
          <w:r>
            <w:rPr>
              <w:color w:val="auto"/>
            </w:rPr>
            <w:instrText xml:space="preserve"> PAGEREF _Toc818961928 \h </w:instrText>
          </w:r>
          <w:r>
            <w:rPr>
              <w:color w:val="auto"/>
            </w:rPr>
            <w:fldChar w:fldCharType="separate"/>
          </w:r>
          <w:r>
            <w:rPr>
              <w:color w:val="auto"/>
            </w:rPr>
            <w:t>20</w:t>
          </w:r>
          <w:r>
            <w:rPr>
              <w:color w:val="auto"/>
            </w:rPr>
            <w:fldChar w:fldCharType="end"/>
          </w:r>
          <w:r>
            <w:rPr>
              <w:color w:val="auto"/>
            </w:rPr>
            <w:fldChar w:fldCharType="end"/>
          </w:r>
        </w:p>
        <w:p w14:paraId="0FB7E0A2">
          <w:pPr>
            <w:pStyle w:val="8"/>
            <w:tabs>
              <w:tab w:val="right" w:leader="dot" w:pos="8300"/>
            </w:tabs>
            <w:rPr>
              <w:color w:val="auto"/>
            </w:rPr>
          </w:pPr>
          <w:r>
            <w:rPr>
              <w:color w:val="auto"/>
            </w:rPr>
            <w:fldChar w:fldCharType="begin"/>
          </w:r>
          <w:r>
            <w:rPr>
              <w:color w:val="auto"/>
            </w:rPr>
            <w:instrText xml:space="preserve"> HYPERLINK \l _Toc763011192 </w:instrText>
          </w:r>
          <w:r>
            <w:rPr>
              <w:color w:val="auto"/>
            </w:rPr>
            <w:fldChar w:fldCharType="separate"/>
          </w:r>
          <w:r>
            <w:rPr>
              <w:rFonts w:hint="eastAsia" w:ascii="宋体" w:hAnsi="Times New Roman" w:eastAsia="宋体" w:cs="Times New Roman"/>
              <w:color w:val="auto"/>
              <w:lang w:val="en-US" w:eastAsia="zh-CN" w:bidi="ar-SA"/>
            </w:rPr>
            <w:t>B.8.6  废物和污染物</w:t>
          </w:r>
          <w:r>
            <w:rPr>
              <w:color w:val="auto"/>
            </w:rPr>
            <w:tab/>
          </w:r>
          <w:r>
            <w:rPr>
              <w:color w:val="auto"/>
            </w:rPr>
            <w:fldChar w:fldCharType="begin"/>
          </w:r>
          <w:r>
            <w:rPr>
              <w:color w:val="auto"/>
            </w:rPr>
            <w:instrText xml:space="preserve"> PAGEREF _Toc763011192 \h </w:instrText>
          </w:r>
          <w:r>
            <w:rPr>
              <w:color w:val="auto"/>
            </w:rPr>
            <w:fldChar w:fldCharType="separate"/>
          </w:r>
          <w:r>
            <w:rPr>
              <w:color w:val="auto"/>
            </w:rPr>
            <w:t>20</w:t>
          </w:r>
          <w:r>
            <w:rPr>
              <w:color w:val="auto"/>
            </w:rPr>
            <w:fldChar w:fldCharType="end"/>
          </w:r>
          <w:r>
            <w:rPr>
              <w:color w:val="auto"/>
            </w:rPr>
            <w:fldChar w:fldCharType="end"/>
          </w:r>
        </w:p>
        <w:p w14:paraId="211FAD24">
          <w:pPr>
            <w:pStyle w:val="8"/>
            <w:tabs>
              <w:tab w:val="right" w:leader="dot" w:pos="8300"/>
            </w:tabs>
            <w:rPr>
              <w:color w:val="auto"/>
            </w:rPr>
          </w:pPr>
          <w:r>
            <w:rPr>
              <w:color w:val="auto"/>
            </w:rPr>
            <w:fldChar w:fldCharType="begin"/>
          </w:r>
          <w:r>
            <w:rPr>
              <w:color w:val="auto"/>
            </w:rPr>
            <w:instrText xml:space="preserve"> HYPERLINK \l _Toc1095404228 </w:instrText>
          </w:r>
          <w:r>
            <w:rPr>
              <w:color w:val="auto"/>
            </w:rPr>
            <w:fldChar w:fldCharType="separate"/>
          </w:r>
          <w:r>
            <w:rPr>
              <w:rFonts w:hint="eastAsia" w:ascii="宋体" w:hAnsi="Times New Roman" w:eastAsia="宋体" w:cs="Times New Roman"/>
              <w:color w:val="auto"/>
              <w:lang w:val="en-US" w:eastAsia="zh-CN" w:bidi="ar-SA"/>
            </w:rPr>
            <w:t>B.8.7  环境保护</w:t>
          </w:r>
          <w:r>
            <w:rPr>
              <w:color w:val="auto"/>
            </w:rPr>
            <w:tab/>
          </w:r>
          <w:r>
            <w:rPr>
              <w:color w:val="auto"/>
            </w:rPr>
            <w:fldChar w:fldCharType="begin"/>
          </w:r>
          <w:r>
            <w:rPr>
              <w:color w:val="auto"/>
            </w:rPr>
            <w:instrText xml:space="preserve"> PAGEREF _Toc1095404228 \h </w:instrText>
          </w:r>
          <w:r>
            <w:rPr>
              <w:color w:val="auto"/>
            </w:rPr>
            <w:fldChar w:fldCharType="separate"/>
          </w:r>
          <w:r>
            <w:rPr>
              <w:color w:val="auto"/>
            </w:rPr>
            <w:t>20</w:t>
          </w:r>
          <w:r>
            <w:rPr>
              <w:color w:val="auto"/>
            </w:rPr>
            <w:fldChar w:fldCharType="end"/>
          </w:r>
          <w:r>
            <w:rPr>
              <w:color w:val="auto"/>
            </w:rPr>
            <w:fldChar w:fldCharType="end"/>
          </w:r>
        </w:p>
        <w:p w14:paraId="4A4BB181">
          <w:pPr>
            <w:spacing w:line="240" w:lineRule="auto"/>
            <w:outlineLvl w:val="9"/>
            <w:rPr>
              <w:color w:val="auto"/>
            </w:rPr>
          </w:pPr>
          <w:r>
            <w:rPr>
              <w:color w:val="auto"/>
            </w:rPr>
            <w:fldChar w:fldCharType="end"/>
          </w:r>
        </w:p>
      </w:sdtContent>
    </w:sdt>
    <w:p w14:paraId="67F5C85D">
      <w:pPr>
        <w:pStyle w:val="15"/>
        <w:spacing w:before="2" w:beforeLines="1" w:after="528" w:afterLines="220"/>
        <w:rPr>
          <w:rFonts w:hint="eastAsia"/>
          <w:color w:val="auto"/>
        </w:rPr>
        <w:sectPr>
          <w:headerReference r:id="rId6" w:type="default"/>
          <w:footerReference r:id="rId7" w:type="default"/>
          <w:pgSz w:w="11906" w:h="16838"/>
          <w:pgMar w:top="1440" w:right="1803" w:bottom="1440" w:left="1803" w:header="850" w:footer="992" w:gutter="0"/>
          <w:pgBorders>
            <w:top w:val="none" w:sz="0" w:space="0"/>
            <w:left w:val="none" w:sz="0" w:space="0"/>
            <w:bottom w:val="none" w:sz="0" w:space="0"/>
            <w:right w:val="none" w:sz="0" w:space="0"/>
          </w:pgBorders>
          <w:pgNumType w:fmt="upperRoman"/>
          <w:cols w:space="0" w:num="1"/>
          <w:rtlGutter w:val="0"/>
          <w:docGrid w:linePitch="0" w:charSpace="0"/>
        </w:sectPr>
      </w:pPr>
    </w:p>
    <w:p w14:paraId="2E7D6C6B">
      <w:pPr>
        <w:pStyle w:val="15"/>
        <w:spacing w:before="2" w:beforeLines="1" w:after="528" w:afterLines="220"/>
        <w:rPr>
          <w:rFonts w:hint="eastAsia"/>
          <w:color w:val="auto"/>
        </w:rPr>
      </w:pPr>
      <w:r>
        <w:rPr>
          <w:rFonts w:hint="eastAsia"/>
          <w:color w:val="auto"/>
        </w:rPr>
        <w:t>大宁宁粹苹果品牌准入标准</w:t>
      </w:r>
    </w:p>
    <w:p w14:paraId="16BE99E4">
      <w:pPr>
        <w:pStyle w:val="16"/>
        <w:spacing w:before="240" w:after="240"/>
        <w:rPr>
          <w:rFonts w:hint="eastAsia"/>
          <w:color w:val="auto"/>
        </w:rPr>
      </w:pPr>
      <w:bookmarkStart w:id="3" w:name="_Toc368397136"/>
      <w:r>
        <w:rPr>
          <w:rFonts w:hint="eastAsia"/>
          <w:color w:val="auto"/>
        </w:rPr>
        <w:t>范围</w:t>
      </w:r>
      <w:bookmarkEnd w:id="3"/>
    </w:p>
    <w:p w14:paraId="1FC77373">
      <w:pPr>
        <w:pStyle w:val="14"/>
        <w:ind w:firstLine="420"/>
        <w:rPr>
          <w:rFonts w:hint="eastAsia"/>
          <w:color w:val="auto"/>
        </w:rPr>
      </w:pPr>
      <w:r>
        <w:rPr>
          <w:rFonts w:hint="eastAsia"/>
          <w:color w:val="auto"/>
        </w:rPr>
        <w:t>本文件规定了大宁宁粹苹果区域公用品牌的准入条件（产地、品种、生产管理、品质、加工流通、品牌授权）、认证管理流程及退出机制。</w:t>
      </w:r>
    </w:p>
    <w:p w14:paraId="093AB1F4">
      <w:pPr>
        <w:pStyle w:val="14"/>
        <w:ind w:firstLine="420"/>
        <w:rPr>
          <w:rFonts w:hint="eastAsia"/>
          <w:color w:val="auto"/>
        </w:rPr>
      </w:pPr>
      <w:r>
        <w:rPr>
          <w:rFonts w:hint="eastAsia"/>
          <w:color w:val="auto"/>
        </w:rPr>
        <w:t>本文件适用于大宁宁粹苹果品牌授权的市场经营主体（企业、合作社、家庭农场等）及相关产品的准入管理，是规范品牌使用、保障产品品质、提升市场竞争力的核心依据。</w:t>
      </w:r>
    </w:p>
    <w:p w14:paraId="40D8E2AA">
      <w:pPr>
        <w:pStyle w:val="16"/>
        <w:spacing w:before="240" w:after="240"/>
        <w:rPr>
          <w:rFonts w:hint="eastAsia"/>
          <w:color w:val="auto"/>
        </w:rPr>
      </w:pPr>
      <w:bookmarkStart w:id="4" w:name="_Toc1830392757"/>
      <w:r>
        <w:rPr>
          <w:rFonts w:hint="eastAsia"/>
          <w:color w:val="auto"/>
        </w:rPr>
        <w:t>规范性引用文件</w:t>
      </w:r>
      <w:bookmarkEnd w:id="4"/>
    </w:p>
    <w:p w14:paraId="32A6514E">
      <w:pPr>
        <w:pStyle w:val="14"/>
        <w:ind w:firstLine="420"/>
        <w:rPr>
          <w:rFonts w:hint="eastAsia"/>
          <w:color w:val="auto"/>
        </w:rPr>
      </w:pPr>
      <w:r>
        <w:rPr>
          <w:rFonts w:hint="eastAsia"/>
          <w:color w:val="auto"/>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7322EC9F">
      <w:pPr>
        <w:pStyle w:val="14"/>
        <w:ind w:firstLine="420"/>
        <w:rPr>
          <w:rFonts w:hint="eastAsia"/>
          <w:color w:val="auto"/>
        </w:rPr>
      </w:pPr>
      <w:r>
        <w:rPr>
          <w:rFonts w:hint="eastAsia"/>
          <w:color w:val="auto"/>
        </w:rPr>
        <w:t>GB 2762 食品安全国家标准食品中污染物限量</w:t>
      </w:r>
    </w:p>
    <w:p w14:paraId="5713BCBE">
      <w:pPr>
        <w:pStyle w:val="14"/>
        <w:ind w:firstLine="420"/>
        <w:rPr>
          <w:rFonts w:hint="eastAsia"/>
          <w:color w:val="auto"/>
        </w:rPr>
      </w:pPr>
      <w:r>
        <w:rPr>
          <w:rFonts w:hint="eastAsia"/>
          <w:color w:val="auto"/>
        </w:rPr>
        <w:t>GB 2763 食品安全国家标准食品中农药最大残留限量T/DNNC 001—2025 大宁宁粹苹果商品分等分级标准</w:t>
      </w:r>
    </w:p>
    <w:p w14:paraId="7610AF22">
      <w:pPr>
        <w:pStyle w:val="14"/>
        <w:ind w:firstLine="420"/>
        <w:rPr>
          <w:rFonts w:hint="eastAsia"/>
          <w:color w:val="auto"/>
          <w:highlight w:val="none"/>
        </w:rPr>
      </w:pPr>
      <w:r>
        <w:rPr>
          <w:rFonts w:hint="eastAsia"/>
          <w:color w:val="auto"/>
          <w:highlight w:val="none"/>
        </w:rPr>
        <w:t>宁粹苹果标准化生产技术规程</w:t>
      </w:r>
    </w:p>
    <w:p w14:paraId="020E33D1">
      <w:pPr>
        <w:pStyle w:val="16"/>
        <w:spacing w:before="240" w:after="240"/>
        <w:rPr>
          <w:rFonts w:hint="eastAsia"/>
          <w:color w:val="auto"/>
        </w:rPr>
      </w:pPr>
      <w:bookmarkStart w:id="5" w:name="_Toc1660043046"/>
      <w:r>
        <w:rPr>
          <w:rFonts w:hint="eastAsia"/>
          <w:color w:val="auto"/>
        </w:rPr>
        <w:t>术语和定义</w:t>
      </w:r>
      <w:bookmarkEnd w:id="5"/>
    </w:p>
    <w:p w14:paraId="4CD4840B">
      <w:pPr>
        <w:pStyle w:val="14"/>
        <w:ind w:firstLine="420"/>
        <w:rPr>
          <w:rFonts w:hint="eastAsia"/>
          <w:color w:val="auto"/>
        </w:rPr>
      </w:pPr>
      <w:r>
        <w:rPr>
          <w:rFonts w:hint="eastAsia"/>
          <w:color w:val="auto"/>
        </w:rPr>
        <w:t>下列术语和定义适用于本文件。</w:t>
      </w:r>
    </w:p>
    <w:p w14:paraId="43FD7B7F">
      <w:pPr>
        <w:pStyle w:val="17"/>
        <w:spacing w:before="120" w:after="120"/>
        <w:rPr>
          <w:rFonts w:hint="eastAsia"/>
          <w:color w:val="auto"/>
        </w:rPr>
      </w:pPr>
      <w:bookmarkStart w:id="6" w:name="_Toc507487008"/>
      <w:r>
        <w:rPr>
          <w:rFonts w:hint="eastAsia"/>
          <w:color w:val="auto"/>
          <w:lang w:val="en-US" w:eastAsia="zh-CN"/>
        </w:rPr>
        <w:t>大宁宁粹苹果品牌准入</w:t>
      </w:r>
      <w:bookmarkEnd w:id="6"/>
    </w:p>
    <w:p w14:paraId="1E316B22">
      <w:pPr>
        <w:pStyle w:val="14"/>
        <w:ind w:firstLine="420"/>
        <w:rPr>
          <w:rFonts w:hint="eastAsia"/>
          <w:color w:val="auto"/>
        </w:rPr>
      </w:pPr>
      <w:r>
        <w:rPr>
          <w:rFonts w:hint="eastAsia"/>
          <w:color w:val="auto"/>
        </w:rPr>
        <w:t>市场经营主体及其产品符合本标准要求，经审核获得“大宁宁粹苹果”区域公用品牌授权的过程。</w:t>
      </w:r>
    </w:p>
    <w:p w14:paraId="1212631A">
      <w:pPr>
        <w:pStyle w:val="17"/>
        <w:spacing w:before="120" w:after="120"/>
        <w:rPr>
          <w:rFonts w:hint="eastAsia"/>
          <w:color w:val="auto"/>
          <w:lang w:val="en-US" w:eastAsia="zh-CN"/>
        </w:rPr>
      </w:pPr>
      <w:bookmarkStart w:id="7" w:name="_Toc190312528"/>
      <w:r>
        <w:rPr>
          <w:rFonts w:hint="eastAsia"/>
          <w:color w:val="auto"/>
          <w:lang w:val="en-US" w:eastAsia="zh-CN"/>
        </w:rPr>
        <w:t>品牌授权主体</w:t>
      </w:r>
      <w:bookmarkEnd w:id="7"/>
    </w:p>
    <w:p w14:paraId="3666B791">
      <w:pPr>
        <w:pStyle w:val="14"/>
        <w:ind w:firstLine="420"/>
        <w:rPr>
          <w:rFonts w:hint="eastAsia"/>
          <w:color w:val="auto"/>
        </w:rPr>
      </w:pPr>
      <w:r>
        <w:rPr>
          <w:rFonts w:hint="eastAsia"/>
          <w:color w:val="auto"/>
        </w:rPr>
        <w:t>大宁县苹果产业协会（以下简称“协会”），负责品牌准入审核、授权及监督管理。</w:t>
      </w:r>
    </w:p>
    <w:p w14:paraId="09109EC1">
      <w:pPr>
        <w:pStyle w:val="17"/>
        <w:spacing w:before="120" w:after="120"/>
        <w:rPr>
          <w:rFonts w:hint="eastAsia"/>
          <w:color w:val="auto"/>
          <w:lang w:val="en-US" w:eastAsia="zh-CN"/>
        </w:rPr>
      </w:pPr>
      <w:bookmarkStart w:id="8" w:name="_Toc50614683"/>
      <w:r>
        <w:rPr>
          <w:rFonts w:hint="eastAsia"/>
          <w:color w:val="auto"/>
          <w:lang w:val="en-US" w:eastAsia="zh-CN"/>
        </w:rPr>
        <w:t>市场经营主体</w:t>
      </w:r>
      <w:bookmarkEnd w:id="8"/>
    </w:p>
    <w:p w14:paraId="71F6D114">
      <w:pPr>
        <w:pStyle w:val="14"/>
        <w:ind w:firstLine="420"/>
        <w:rPr>
          <w:rFonts w:hint="eastAsia"/>
          <w:color w:val="auto"/>
        </w:rPr>
      </w:pPr>
      <w:r>
        <w:rPr>
          <w:rFonts w:hint="eastAsia"/>
          <w:color w:val="auto"/>
        </w:rPr>
        <w:t>从事宁粹苹果种植、加工、销售的企业、合作社、家庭农场等市场经营主体。</w:t>
      </w:r>
    </w:p>
    <w:p w14:paraId="2A5542AE">
      <w:pPr>
        <w:pStyle w:val="16"/>
        <w:spacing w:before="240" w:after="240"/>
        <w:rPr>
          <w:rFonts w:hint="eastAsia"/>
          <w:color w:val="auto"/>
        </w:rPr>
      </w:pPr>
      <w:bookmarkStart w:id="9" w:name="_Toc2001028848"/>
      <w:r>
        <w:rPr>
          <w:rFonts w:hint="eastAsia"/>
          <w:color w:val="auto"/>
        </w:rPr>
        <w:t>准入条件</w:t>
      </w:r>
      <w:bookmarkEnd w:id="9"/>
    </w:p>
    <w:p w14:paraId="6B18EB20">
      <w:pPr>
        <w:pStyle w:val="17"/>
        <w:spacing w:before="120" w:after="120"/>
        <w:rPr>
          <w:rFonts w:hint="eastAsia"/>
          <w:color w:val="auto"/>
          <w:lang w:val="en-US" w:eastAsia="zh-CN"/>
        </w:rPr>
      </w:pPr>
      <w:bookmarkStart w:id="10" w:name="_Toc640722003"/>
      <w:r>
        <w:rPr>
          <w:rFonts w:hint="eastAsia"/>
          <w:color w:val="auto"/>
          <w:lang w:val="en-US" w:eastAsia="zh-CN"/>
        </w:rPr>
        <w:t>产地环境</w:t>
      </w:r>
      <w:bookmarkEnd w:id="10"/>
    </w:p>
    <w:p w14:paraId="1D3E9A7E">
      <w:pPr>
        <w:pStyle w:val="18"/>
        <w:spacing w:before="120" w:after="120"/>
        <w:rPr>
          <w:rFonts w:hint="eastAsia"/>
          <w:color w:val="auto"/>
        </w:rPr>
      </w:pPr>
      <w:r>
        <w:rPr>
          <w:rFonts w:hint="eastAsia"/>
          <w:color w:val="auto"/>
        </w:rPr>
        <w:t>地理范围</w:t>
      </w:r>
    </w:p>
    <w:p w14:paraId="3D888892">
      <w:pPr>
        <w:pStyle w:val="14"/>
        <w:ind w:firstLine="420"/>
        <w:rPr>
          <w:rFonts w:hint="eastAsia"/>
          <w:color w:val="auto"/>
          <w:lang w:eastAsia="zh-CN"/>
        </w:rPr>
      </w:pPr>
      <w:r>
        <w:rPr>
          <w:rFonts w:hint="eastAsia"/>
          <w:color w:val="auto"/>
          <w:lang w:eastAsia="zh-CN"/>
        </w:rPr>
        <w:t>大宁县行政区域内，限定昕水镇、曲峨镇、太古镇、太德乡、三多乡 5 个乡镇 60 个行政村。地理坐标为东经 110° 27′ 55″ — 111° 0′ 40″，北纬 36° 16′ 40″ — 36° 36′ 25″。</w:t>
      </w:r>
    </w:p>
    <w:p w14:paraId="59DDB2BE">
      <w:pPr>
        <w:pStyle w:val="18"/>
        <w:spacing w:before="120" w:after="120"/>
        <w:rPr>
          <w:rFonts w:hint="eastAsia" w:hAnsi="Times New Roman" w:cs="Times New Roman"/>
          <w:color w:val="auto"/>
          <w:lang w:eastAsia="zh-CN"/>
        </w:rPr>
      </w:pPr>
      <w:r>
        <w:rPr>
          <w:rFonts w:hint="eastAsia" w:hAnsi="Times New Roman" w:cs="Times New Roman"/>
          <w:color w:val="auto"/>
          <w:lang w:eastAsia="zh-CN"/>
        </w:rPr>
        <w:t>生态条件</w:t>
      </w:r>
    </w:p>
    <w:p w14:paraId="4DDCD183">
      <w:pPr>
        <w:pStyle w:val="19"/>
        <w:rPr>
          <w:rFonts w:hint="eastAsia" w:ascii="宋体" w:hAnsi="Times New Roman" w:eastAsia="宋体" w:cs="Times New Roman"/>
          <w:color w:val="auto"/>
          <w:lang w:eastAsia="zh-CN"/>
        </w:rPr>
      </w:pPr>
      <w:r>
        <w:rPr>
          <w:rFonts w:hint="eastAsia" w:ascii="宋体" w:hAnsi="Times New Roman" w:eastAsia="宋体" w:cs="Times New Roman"/>
          <w:color w:val="auto"/>
          <w:lang w:eastAsia="zh-CN"/>
        </w:rPr>
        <w:t>土壤：pH 6.5 ～ 8.5，有机质含量 ≥ 1.0 %，土层深厚（≥ 80 cm）；</w:t>
      </w:r>
    </w:p>
    <w:p w14:paraId="6DF2C63F">
      <w:pPr>
        <w:pStyle w:val="19"/>
        <w:rPr>
          <w:rFonts w:hint="eastAsia" w:ascii="宋体" w:hAnsi="Times New Roman" w:eastAsia="宋体" w:cs="Times New Roman"/>
          <w:color w:val="auto"/>
          <w:lang w:eastAsia="zh-CN"/>
        </w:rPr>
      </w:pPr>
      <w:r>
        <w:rPr>
          <w:rFonts w:hint="eastAsia" w:ascii="宋体" w:hAnsi="Times New Roman" w:eastAsia="宋体" w:cs="Times New Roman"/>
          <w:color w:val="auto"/>
          <w:lang w:eastAsia="zh-CN"/>
        </w:rPr>
        <w:t>气候：年日照时数 ≥ 2300 小时，昼夜温差 ≥ 10 ℃，无霜期 ≥ 180 天，年均降水量 450 ～ 550 mm。</w:t>
      </w:r>
    </w:p>
    <w:p w14:paraId="7E49DC4F">
      <w:pPr>
        <w:pStyle w:val="17"/>
        <w:spacing w:before="120" w:after="120"/>
        <w:rPr>
          <w:rFonts w:hint="eastAsia"/>
          <w:color w:val="auto"/>
          <w:lang w:val="en-US" w:eastAsia="zh-CN"/>
        </w:rPr>
      </w:pPr>
      <w:bookmarkStart w:id="11" w:name="_Toc201404250"/>
      <w:r>
        <w:rPr>
          <w:rFonts w:hint="eastAsia"/>
          <w:color w:val="auto"/>
          <w:lang w:val="en-US" w:eastAsia="zh-CN"/>
        </w:rPr>
        <w:t>品种要求</w:t>
      </w:r>
      <w:bookmarkEnd w:id="11"/>
    </w:p>
    <w:p w14:paraId="507D3B5E">
      <w:pPr>
        <w:pStyle w:val="18"/>
        <w:spacing w:before="120" w:after="120"/>
        <w:rPr>
          <w:rFonts w:hint="eastAsia"/>
          <w:color w:val="auto"/>
        </w:rPr>
      </w:pPr>
      <w:r>
        <w:rPr>
          <w:rFonts w:hint="eastAsia"/>
          <w:color w:val="auto"/>
        </w:rPr>
        <w:t>品种限定</w:t>
      </w:r>
    </w:p>
    <w:p w14:paraId="293BF42C">
      <w:pPr>
        <w:pStyle w:val="14"/>
        <w:ind w:firstLine="420"/>
        <w:rPr>
          <w:rFonts w:hint="eastAsia" w:hAnsi="Times New Roman" w:cs="Times New Roman"/>
          <w:color w:val="auto"/>
        </w:rPr>
      </w:pPr>
      <w:r>
        <w:rPr>
          <w:rFonts w:hint="eastAsia"/>
          <w:color w:val="auto"/>
        </w:rPr>
        <w:t>仅限“宁粹”苹果（由西北农林科技大学“秦脆”品种嫁接山西农业大学矮化“SXND</w:t>
      </w:r>
      <w:r>
        <w:rPr>
          <w:rFonts w:hint="eastAsia"/>
          <w:color w:val="auto"/>
          <w:lang w:val="en-US" w:eastAsia="zh-CN"/>
        </w:rPr>
        <w:t xml:space="preserve"> </w:t>
      </w:r>
      <w:r>
        <w:rPr>
          <w:rFonts w:hint="eastAsia"/>
          <w:color w:val="auto"/>
        </w:rPr>
        <w:t>-</w:t>
      </w:r>
      <w:r>
        <w:rPr>
          <w:rFonts w:hint="eastAsia"/>
          <w:color w:val="auto"/>
          <w:lang w:val="en-US" w:eastAsia="zh-CN"/>
        </w:rPr>
        <w:t xml:space="preserve"> </w:t>
      </w:r>
      <w:r>
        <w:rPr>
          <w:rFonts w:hint="eastAsia"/>
          <w:color w:val="auto"/>
        </w:rPr>
        <w:t>1”</w:t>
      </w:r>
      <w:r>
        <w:rPr>
          <w:rFonts w:hint="eastAsia" w:hAnsi="Times New Roman" w:cs="Times New Roman"/>
          <w:color w:val="auto"/>
        </w:rPr>
        <w:t>砧穗培育的本土化优良品种）。</w:t>
      </w:r>
    </w:p>
    <w:p w14:paraId="51421C16">
      <w:pPr>
        <w:pStyle w:val="18"/>
        <w:spacing w:before="120" w:after="120"/>
        <w:rPr>
          <w:rFonts w:hint="eastAsia"/>
          <w:color w:val="auto"/>
        </w:rPr>
      </w:pPr>
      <w:r>
        <w:rPr>
          <w:rFonts w:hint="eastAsia"/>
          <w:color w:val="auto"/>
        </w:rPr>
        <w:t>苗木来源</w:t>
      </w:r>
    </w:p>
    <w:p w14:paraId="5D412F83">
      <w:pPr>
        <w:pStyle w:val="14"/>
        <w:ind w:firstLine="420"/>
        <w:rPr>
          <w:rFonts w:hint="eastAsia"/>
          <w:color w:val="auto"/>
        </w:rPr>
      </w:pPr>
      <w:r>
        <w:rPr>
          <w:rFonts w:hint="eastAsia"/>
          <w:color w:val="auto"/>
        </w:rPr>
        <w:t>苗木必须选自大宁县苹果产业协会指定繁育基地，且具备《植物检疫证书》《苗木质量检验报告》。</w:t>
      </w:r>
    </w:p>
    <w:p w14:paraId="0CD4498A">
      <w:pPr>
        <w:pStyle w:val="17"/>
        <w:spacing w:before="120" w:after="120"/>
        <w:rPr>
          <w:rFonts w:hint="eastAsia"/>
          <w:color w:val="auto"/>
          <w:lang w:val="en-US" w:eastAsia="zh-CN"/>
        </w:rPr>
      </w:pPr>
      <w:bookmarkStart w:id="12" w:name="_Toc646677461"/>
      <w:r>
        <w:rPr>
          <w:rFonts w:hint="eastAsia"/>
          <w:color w:val="auto"/>
          <w:lang w:val="en-US" w:eastAsia="zh-CN"/>
        </w:rPr>
        <w:t>生产管理</w:t>
      </w:r>
      <w:bookmarkEnd w:id="12"/>
    </w:p>
    <w:p w14:paraId="7DE4D580">
      <w:pPr>
        <w:pStyle w:val="18"/>
        <w:spacing w:before="120" w:after="120"/>
        <w:rPr>
          <w:rFonts w:hint="eastAsia"/>
          <w:color w:val="auto"/>
          <w:highlight w:val="none"/>
        </w:rPr>
      </w:pPr>
      <w:r>
        <w:rPr>
          <w:rFonts w:hint="eastAsia"/>
          <w:color w:val="auto"/>
          <w:highlight w:val="none"/>
        </w:rPr>
        <w:t>“八统一”原则</w:t>
      </w:r>
    </w:p>
    <w:p w14:paraId="79CCA13D">
      <w:pPr>
        <w:pStyle w:val="14"/>
        <w:ind w:firstLine="420"/>
        <w:rPr>
          <w:rFonts w:hint="eastAsia"/>
          <w:color w:val="auto"/>
        </w:rPr>
      </w:pPr>
      <w:r>
        <w:rPr>
          <w:rFonts w:hint="eastAsia"/>
          <w:color w:val="auto"/>
        </w:rPr>
        <w:t>——统一规划：种植区域、品种布局由协会统筹，符合县域产业规划；</w:t>
      </w:r>
    </w:p>
    <w:p w14:paraId="6891779C">
      <w:pPr>
        <w:pStyle w:val="14"/>
        <w:ind w:firstLine="420"/>
        <w:rPr>
          <w:rFonts w:hint="eastAsia"/>
          <w:color w:val="auto"/>
        </w:rPr>
      </w:pPr>
      <w:r>
        <w:rPr>
          <w:rFonts w:hint="eastAsia"/>
          <w:color w:val="auto"/>
        </w:rPr>
        <w:t>——统一调苗：苗木由指定基地供应，确保品种纯正；</w:t>
      </w:r>
    </w:p>
    <w:p w14:paraId="7ABB6D00">
      <w:pPr>
        <w:pStyle w:val="14"/>
        <w:ind w:firstLine="420"/>
        <w:rPr>
          <w:rFonts w:hint="eastAsia"/>
          <w:color w:val="auto"/>
        </w:rPr>
      </w:pPr>
      <w:r>
        <w:rPr>
          <w:rFonts w:hint="eastAsia"/>
          <w:color w:val="auto"/>
        </w:rPr>
        <w:t>——统一栽植：执行标准化栽植密度（矮化密植园株行距 ≤ 2 m × 4 m）、定植技术；</w:t>
      </w:r>
    </w:p>
    <w:p w14:paraId="1AF0F805">
      <w:pPr>
        <w:pStyle w:val="14"/>
        <w:ind w:firstLine="420"/>
        <w:rPr>
          <w:rFonts w:hint="eastAsia"/>
          <w:color w:val="auto"/>
        </w:rPr>
      </w:pPr>
      <w:r>
        <w:rPr>
          <w:rFonts w:hint="eastAsia"/>
          <w:color w:val="auto"/>
        </w:rPr>
        <w:t>——统一管理：施肥、植保、修剪等农事操作遵循《宁粹苹果标准化生产技术规程》；</w:t>
      </w:r>
    </w:p>
    <w:p w14:paraId="38C819BB">
      <w:pPr>
        <w:pStyle w:val="14"/>
        <w:ind w:firstLine="420"/>
        <w:rPr>
          <w:rFonts w:hint="eastAsia"/>
          <w:color w:val="auto"/>
        </w:rPr>
      </w:pPr>
      <w:r>
        <w:rPr>
          <w:rFonts w:hint="eastAsia"/>
          <w:color w:val="auto"/>
        </w:rPr>
        <w:t>——统一配套：水利、防灾（防雹网、滴灌）等设施统一规划建设；</w:t>
      </w:r>
    </w:p>
    <w:p w14:paraId="206CF681">
      <w:pPr>
        <w:pStyle w:val="14"/>
        <w:ind w:firstLine="420"/>
        <w:rPr>
          <w:rFonts w:hint="eastAsia"/>
          <w:color w:val="auto"/>
        </w:rPr>
      </w:pPr>
      <w:r>
        <w:rPr>
          <w:rFonts w:hint="eastAsia"/>
          <w:color w:val="auto"/>
        </w:rPr>
        <w:t>——统一采购：化肥、农药、有机肥等投入品由协会或联合社统一采购，确保质量；</w:t>
      </w:r>
    </w:p>
    <w:p w14:paraId="7C1C17ED">
      <w:pPr>
        <w:pStyle w:val="14"/>
        <w:ind w:firstLine="420"/>
        <w:rPr>
          <w:rFonts w:hint="eastAsia"/>
          <w:color w:val="auto"/>
        </w:rPr>
      </w:pPr>
      <w:r>
        <w:rPr>
          <w:rFonts w:hint="eastAsia"/>
          <w:color w:val="auto"/>
        </w:rPr>
        <w:t>——统一培训：果农每年接受 ≥ 2 次专业培训（栽培、病虫害防治等）；</w:t>
      </w:r>
    </w:p>
    <w:p w14:paraId="145B2473">
      <w:pPr>
        <w:pStyle w:val="14"/>
        <w:ind w:firstLine="420"/>
        <w:rPr>
          <w:rFonts w:hint="eastAsia"/>
          <w:color w:val="auto"/>
        </w:rPr>
      </w:pPr>
      <w:r>
        <w:rPr>
          <w:rFonts w:hint="eastAsia"/>
          <w:color w:val="auto"/>
        </w:rPr>
        <w:t>——统一作业：机械化作业率 ≥ 80 %（修剪、施肥、采收等环节）。</w:t>
      </w:r>
    </w:p>
    <w:p w14:paraId="159AB4A5">
      <w:pPr>
        <w:pStyle w:val="18"/>
        <w:spacing w:before="120" w:after="120"/>
        <w:rPr>
          <w:rFonts w:hint="eastAsia"/>
          <w:color w:val="auto"/>
        </w:rPr>
      </w:pPr>
      <w:r>
        <w:rPr>
          <w:rFonts w:hint="eastAsia"/>
          <w:color w:val="auto"/>
        </w:rPr>
        <w:t>全程记录</w:t>
      </w:r>
    </w:p>
    <w:p w14:paraId="692661B7">
      <w:pPr>
        <w:pStyle w:val="14"/>
        <w:ind w:firstLine="420"/>
        <w:rPr>
          <w:rFonts w:hint="eastAsia"/>
          <w:color w:val="auto"/>
        </w:rPr>
      </w:pPr>
      <w:r>
        <w:rPr>
          <w:rFonts w:hint="eastAsia"/>
          <w:color w:val="auto"/>
        </w:rPr>
        <w:t>建立农事档案（施肥、打药、修剪时间及用量）、投入品档案（采购凭证、检测报告）、采收档案（日期、批次、质检员），记录保存期≥</w:t>
      </w:r>
      <w:r>
        <w:rPr>
          <w:rFonts w:hint="eastAsia"/>
          <w:color w:val="auto"/>
          <w:lang w:val="en-US" w:eastAsia="zh-CN"/>
        </w:rPr>
        <w:t>3</w:t>
      </w:r>
      <w:r>
        <w:rPr>
          <w:rFonts w:hint="eastAsia"/>
          <w:color w:val="auto"/>
        </w:rPr>
        <w:t>年。</w:t>
      </w:r>
    </w:p>
    <w:p w14:paraId="1639302E">
      <w:pPr>
        <w:pStyle w:val="17"/>
        <w:spacing w:before="120" w:after="120"/>
        <w:rPr>
          <w:rFonts w:hint="eastAsia"/>
          <w:color w:val="auto"/>
          <w:lang w:val="en-US" w:eastAsia="zh-CN"/>
        </w:rPr>
      </w:pPr>
      <w:bookmarkStart w:id="13" w:name="_Toc1695343198"/>
      <w:r>
        <w:rPr>
          <w:rFonts w:hint="eastAsia"/>
          <w:color w:val="auto"/>
          <w:lang w:val="en-US" w:eastAsia="zh-CN"/>
        </w:rPr>
        <w:t>品质指标</w:t>
      </w:r>
      <w:bookmarkEnd w:id="13"/>
    </w:p>
    <w:p w14:paraId="1F45D432">
      <w:pPr>
        <w:pStyle w:val="18"/>
        <w:spacing w:before="120" w:after="120"/>
        <w:rPr>
          <w:rFonts w:hint="eastAsia"/>
          <w:color w:val="auto"/>
        </w:rPr>
      </w:pPr>
      <w:r>
        <w:rPr>
          <w:rFonts w:hint="eastAsia"/>
          <w:color w:val="auto"/>
        </w:rPr>
        <w:t>感官及分级要求</w:t>
      </w:r>
    </w:p>
    <w:p w14:paraId="56ACBB9A">
      <w:pPr>
        <w:pStyle w:val="14"/>
        <w:ind w:firstLine="420"/>
        <w:rPr>
          <w:rFonts w:hint="eastAsia"/>
          <w:color w:val="auto"/>
        </w:rPr>
      </w:pPr>
      <w:r>
        <w:rPr>
          <w:rFonts w:hint="eastAsia"/>
          <w:color w:val="auto"/>
        </w:rPr>
        <w:t>应符合T/DNNG 001-202</w:t>
      </w:r>
      <w:r>
        <w:rPr>
          <w:rFonts w:hint="eastAsia"/>
          <w:color w:val="auto"/>
          <w:lang w:val="en-US" w:eastAsia="zh-CN"/>
        </w:rPr>
        <w:t xml:space="preserve">6 </w:t>
      </w:r>
      <w:r>
        <w:rPr>
          <w:rFonts w:hint="eastAsia"/>
          <w:color w:val="auto"/>
        </w:rPr>
        <w:t>标准的规定</w:t>
      </w:r>
    </w:p>
    <w:p w14:paraId="4F6683C8">
      <w:pPr>
        <w:pStyle w:val="18"/>
        <w:spacing w:before="120" w:after="120"/>
        <w:rPr>
          <w:rFonts w:hint="eastAsia"/>
          <w:color w:val="auto"/>
        </w:rPr>
      </w:pPr>
      <w:r>
        <w:rPr>
          <w:rFonts w:hint="eastAsia"/>
          <w:color w:val="auto"/>
        </w:rPr>
        <w:t>理化要求</w:t>
      </w:r>
    </w:p>
    <w:p w14:paraId="36C8181F">
      <w:pPr>
        <w:pStyle w:val="14"/>
        <w:ind w:firstLine="420"/>
        <w:rPr>
          <w:rFonts w:hint="eastAsia"/>
          <w:color w:val="auto"/>
        </w:rPr>
      </w:pPr>
      <w:r>
        <w:rPr>
          <w:rFonts w:hint="eastAsia"/>
          <w:color w:val="auto"/>
        </w:rPr>
        <w:t>应符合T/DNNG 001-202</w:t>
      </w:r>
      <w:r>
        <w:rPr>
          <w:rFonts w:hint="eastAsia"/>
          <w:color w:val="auto"/>
          <w:lang w:val="en-US" w:eastAsia="zh-CN"/>
        </w:rPr>
        <w:t xml:space="preserve">6 </w:t>
      </w:r>
      <w:r>
        <w:rPr>
          <w:rFonts w:hint="eastAsia"/>
          <w:color w:val="auto"/>
        </w:rPr>
        <w:t>标准的规定</w:t>
      </w:r>
    </w:p>
    <w:p w14:paraId="33C1A727">
      <w:pPr>
        <w:pStyle w:val="18"/>
        <w:spacing w:before="120" w:after="120"/>
        <w:rPr>
          <w:rFonts w:hint="eastAsia"/>
          <w:color w:val="auto"/>
        </w:rPr>
      </w:pPr>
      <w:r>
        <w:rPr>
          <w:rFonts w:hint="eastAsia"/>
          <w:color w:val="auto"/>
        </w:rPr>
        <w:t>安全要求</w:t>
      </w:r>
    </w:p>
    <w:p w14:paraId="1B9877F2">
      <w:pPr>
        <w:pStyle w:val="19"/>
        <w:rPr>
          <w:rFonts w:hint="eastAsia"/>
          <w:color w:val="auto"/>
        </w:rPr>
      </w:pPr>
      <w:r>
        <w:rPr>
          <w:rFonts w:hint="eastAsia"/>
          <w:color w:val="auto"/>
        </w:rPr>
        <w:t>符合GB 2762、GB 2763</w:t>
      </w:r>
      <w:r>
        <w:rPr>
          <w:rFonts w:hint="eastAsia"/>
          <w:color w:val="auto"/>
          <w:lang w:val="en-US" w:eastAsia="zh-CN"/>
        </w:rPr>
        <w:t xml:space="preserve"> </w:t>
      </w:r>
      <w:r>
        <w:rPr>
          <w:rFonts w:hint="eastAsia"/>
          <w:color w:val="auto"/>
        </w:rPr>
        <w:t>的规定；</w:t>
      </w:r>
    </w:p>
    <w:p w14:paraId="195825A7">
      <w:pPr>
        <w:pStyle w:val="19"/>
        <w:rPr>
          <w:rFonts w:hint="eastAsia"/>
          <w:color w:val="auto"/>
        </w:rPr>
      </w:pPr>
      <w:r>
        <w:rPr>
          <w:rFonts w:hint="eastAsia"/>
          <w:color w:val="auto"/>
        </w:rPr>
        <w:t>针对出口导向产品同时满足欧盟农药残留标准。</w:t>
      </w:r>
    </w:p>
    <w:p w14:paraId="505D0F69">
      <w:pPr>
        <w:pStyle w:val="17"/>
        <w:spacing w:before="120" w:after="120"/>
        <w:rPr>
          <w:rFonts w:hint="eastAsia"/>
          <w:color w:val="auto"/>
          <w:lang w:val="en-US" w:eastAsia="zh-CN"/>
        </w:rPr>
      </w:pPr>
      <w:bookmarkStart w:id="14" w:name="_Toc1158826169"/>
      <w:r>
        <w:rPr>
          <w:rFonts w:hint="eastAsia"/>
          <w:color w:val="auto"/>
          <w:lang w:val="en-US" w:eastAsia="zh-CN"/>
        </w:rPr>
        <w:t>加工流通</w:t>
      </w:r>
      <w:bookmarkEnd w:id="14"/>
    </w:p>
    <w:p w14:paraId="0690E38E">
      <w:pPr>
        <w:pStyle w:val="18"/>
        <w:spacing w:before="120" w:after="120"/>
        <w:ind w:left="0" w:leftChars="0" w:firstLine="0" w:firstLineChars="0"/>
        <w:outlineLvl w:val="9"/>
        <w:rPr>
          <w:rFonts w:hint="eastAsia"/>
          <w:color w:val="auto"/>
        </w:rPr>
      </w:pPr>
      <w:r>
        <w:rPr>
          <w:rFonts w:hint="eastAsia" w:ascii="宋体" w:hAnsi="Times New Roman" w:eastAsia="宋体" w:cs="Times New Roman"/>
          <w:color w:val="auto"/>
          <w:sz w:val="21"/>
          <w:lang w:val="en-US" w:eastAsia="zh-CN" w:bidi="ar-SA"/>
        </w:rPr>
        <w:t>分拣分级：采用智能化分拣设备（大宁县水果供应链基地配套设施），按T/DNNG 001标准分级，缺陷果率</w:t>
      </w:r>
      <w:r>
        <w:rPr>
          <w:rFonts w:hint="eastAsia" w:ascii="宋体" w:eastAsia="宋体" w:cs="Times New Roman"/>
          <w:color w:val="auto"/>
          <w:sz w:val="21"/>
          <w:lang w:val="en-US" w:eastAsia="zh-CN" w:bidi="ar-SA"/>
        </w:rPr>
        <w:t xml:space="preserve"> </w:t>
      </w:r>
      <w:r>
        <w:rPr>
          <w:rFonts w:hint="eastAsia" w:ascii="宋体" w:hAnsi="Times New Roman" w:eastAsia="宋体" w:cs="Times New Roman"/>
          <w:color w:val="auto"/>
          <w:sz w:val="21"/>
          <w:lang w:val="en-US" w:eastAsia="zh-CN" w:bidi="ar-SA"/>
        </w:rPr>
        <w:t>≤</w:t>
      </w:r>
      <w:r>
        <w:rPr>
          <w:rFonts w:hint="eastAsia" w:ascii="宋体" w:eastAsia="宋体" w:cs="Times New Roman"/>
          <w:color w:val="auto"/>
          <w:sz w:val="21"/>
          <w:lang w:val="en-US" w:eastAsia="zh-CN" w:bidi="ar-SA"/>
        </w:rPr>
        <w:t xml:space="preserve"> </w:t>
      </w:r>
      <w:r>
        <w:rPr>
          <w:rFonts w:hint="eastAsia" w:ascii="宋体" w:hAnsi="Times New Roman" w:eastAsia="宋体" w:cs="Times New Roman"/>
          <w:color w:val="auto"/>
          <w:sz w:val="21"/>
          <w:lang w:val="en-US" w:eastAsia="zh-CN" w:bidi="ar-SA"/>
        </w:rPr>
        <w:t>5</w:t>
      </w:r>
      <w:r>
        <w:rPr>
          <w:rFonts w:hint="eastAsia" w:ascii="宋体" w:eastAsia="宋体" w:cs="Times New Roman"/>
          <w:color w:val="auto"/>
          <w:sz w:val="21"/>
          <w:lang w:val="en-US" w:eastAsia="zh-CN" w:bidi="ar-SA"/>
        </w:rPr>
        <w:t xml:space="preserve"> </w:t>
      </w:r>
      <w:r>
        <w:rPr>
          <w:rFonts w:hint="eastAsia" w:ascii="宋体" w:hAnsi="Times New Roman" w:eastAsia="宋体" w:cs="Times New Roman"/>
          <w:color w:val="auto"/>
          <w:sz w:val="21"/>
          <w:lang w:val="en-US" w:eastAsia="zh-CN" w:bidi="ar-SA"/>
        </w:rPr>
        <w:t>%；</w:t>
      </w:r>
    </w:p>
    <w:p w14:paraId="4EFE035B">
      <w:pPr>
        <w:pStyle w:val="18"/>
        <w:spacing w:before="120" w:after="120"/>
        <w:ind w:left="0" w:leftChars="0" w:firstLine="0" w:firstLineChars="0"/>
        <w:outlineLvl w:val="9"/>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包装标识：符合《大宁宁粹苹果品牌包装标准》，使用统一区域品牌标识及溯源二维码。</w:t>
      </w:r>
    </w:p>
    <w:p w14:paraId="6C63EFAC">
      <w:pPr>
        <w:pStyle w:val="17"/>
        <w:spacing w:before="120" w:after="120"/>
        <w:rPr>
          <w:rFonts w:hint="eastAsia"/>
          <w:color w:val="auto"/>
          <w:highlight w:val="none"/>
          <w:lang w:val="en-US" w:eastAsia="zh-CN"/>
        </w:rPr>
      </w:pPr>
      <w:bookmarkStart w:id="15" w:name="_Toc1032842545"/>
      <w:r>
        <w:rPr>
          <w:rFonts w:hint="eastAsia"/>
          <w:color w:val="auto"/>
          <w:highlight w:val="none"/>
          <w:lang w:val="en-US" w:eastAsia="zh-CN"/>
        </w:rPr>
        <w:t>运输贮存</w:t>
      </w:r>
      <w:bookmarkEnd w:id="15"/>
    </w:p>
    <w:p w14:paraId="6E071C2D">
      <w:pPr>
        <w:pStyle w:val="18"/>
        <w:spacing w:before="120" w:after="120"/>
        <w:ind w:left="0" w:leftChars="0" w:firstLine="0" w:firstLineChars="0"/>
        <w:outlineLvl w:val="9"/>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 xml:space="preserve">运输：全程冷链，温度 </w:t>
      </w:r>
      <w:r>
        <w:rPr>
          <w:rFonts w:hint="eastAsia" w:ascii="宋体" w:eastAsia="宋体" w:cs="Times New Roman"/>
          <w:color w:val="auto"/>
          <w:sz w:val="21"/>
          <w:lang w:val="en-US" w:eastAsia="zh-CN" w:bidi="ar-SA"/>
        </w:rPr>
        <w:t>-1</w:t>
      </w:r>
      <w:r>
        <w:rPr>
          <w:rFonts w:hint="eastAsia" w:ascii="宋体" w:hAnsi="Times New Roman" w:eastAsia="宋体" w:cs="Times New Roman"/>
          <w:color w:val="auto"/>
          <w:sz w:val="21"/>
          <w:lang w:val="en-US" w:eastAsia="zh-CN" w:bidi="ar-SA"/>
        </w:rPr>
        <w:t xml:space="preserve"> ℃ ～ </w:t>
      </w:r>
      <w:r>
        <w:rPr>
          <w:rFonts w:hint="eastAsia" w:ascii="宋体" w:eastAsia="宋体" w:cs="Times New Roman"/>
          <w:color w:val="auto"/>
          <w:sz w:val="21"/>
          <w:lang w:val="en-US" w:eastAsia="zh-CN" w:bidi="ar-SA"/>
        </w:rPr>
        <w:t>-2</w:t>
      </w:r>
      <w:r>
        <w:rPr>
          <w:rFonts w:hint="eastAsia" w:ascii="宋体" w:hAnsi="Times New Roman" w:eastAsia="宋体" w:cs="Times New Roman"/>
          <w:color w:val="auto"/>
          <w:sz w:val="21"/>
          <w:lang w:val="en-US" w:eastAsia="zh-CN" w:bidi="ar-SA"/>
        </w:rPr>
        <w:t>℃，相对湿度 90 % ～ 95 %，避免挤压、暴晒。</w:t>
      </w:r>
    </w:p>
    <w:p w14:paraId="4A7A0FDF">
      <w:pPr>
        <w:pStyle w:val="18"/>
        <w:spacing w:before="120" w:after="120"/>
        <w:ind w:left="0" w:leftChars="0" w:firstLine="0" w:firstLineChars="0"/>
        <w:outlineLvl w:val="9"/>
        <w:rPr>
          <w:rFonts w:hint="eastAsia"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贮存：冷库温度</w:t>
      </w:r>
      <w:r>
        <w:rPr>
          <w:rFonts w:hint="eastAsia" w:ascii="宋体" w:eastAsia="宋体" w:cs="Times New Roman"/>
          <w:sz w:val="21"/>
          <w:lang w:val="en-US" w:eastAsia="zh-CN" w:bidi="ar-SA"/>
        </w:rPr>
        <w:t xml:space="preserve">-1 </w:t>
      </w:r>
      <w:r>
        <w:rPr>
          <w:rFonts w:hint="eastAsia" w:ascii="宋体" w:hAnsi="Times New Roman" w:eastAsia="宋体" w:cs="Times New Roman"/>
          <w:sz w:val="21"/>
          <w:lang w:val="en-US" w:eastAsia="zh-CN" w:bidi="ar-SA"/>
        </w:rPr>
        <w:t>℃</w:t>
      </w:r>
      <w:r>
        <w:rPr>
          <w:rFonts w:hint="eastAsia"/>
        </w:rPr>
        <w:t>～</w:t>
      </w:r>
      <w:r>
        <w:rPr>
          <w:rFonts w:hint="eastAsia"/>
          <w:lang w:val="en-US" w:eastAsia="zh-CN"/>
        </w:rPr>
        <w:t xml:space="preserve"> </w:t>
      </w:r>
      <w:r>
        <w:rPr>
          <w:rFonts w:hint="eastAsia" w:ascii="宋体" w:eastAsia="宋体" w:cs="Times New Roman"/>
          <w:sz w:val="21"/>
          <w:lang w:val="en-US" w:eastAsia="zh-CN" w:bidi="ar-SA"/>
        </w:rPr>
        <w:t xml:space="preserve">-2.5 </w:t>
      </w:r>
      <w:r>
        <w:rPr>
          <w:rFonts w:hint="eastAsia" w:ascii="宋体" w:hAnsi="Times New Roman" w:eastAsia="宋体" w:cs="Times New Roman"/>
          <w:sz w:val="21"/>
          <w:lang w:val="en-US" w:eastAsia="zh-CN" w:bidi="ar-SA"/>
        </w:rPr>
        <w:t>℃</w:t>
      </w:r>
      <w:r>
        <w:rPr>
          <w:rFonts w:hint="eastAsia" w:ascii="宋体" w:hAnsi="Times New Roman" w:eastAsia="宋体" w:cs="Times New Roman"/>
          <w:color w:val="auto"/>
          <w:sz w:val="21"/>
          <w:highlight w:val="none"/>
          <w:lang w:val="en-US" w:eastAsia="zh-CN" w:bidi="ar-SA"/>
        </w:rPr>
        <w:t>，温度波动 ≤ ± 0.5 ℃，相对湿度 90 % ～ 95 %；贮存期：≤ 120 天；定期检查并剔除变质果实。</w:t>
      </w:r>
    </w:p>
    <w:p w14:paraId="5DB658B7">
      <w:pPr>
        <w:pStyle w:val="17"/>
        <w:spacing w:before="120" w:after="120"/>
        <w:rPr>
          <w:rFonts w:hint="eastAsia"/>
          <w:color w:val="auto"/>
          <w:lang w:val="en-US" w:eastAsia="zh-CN"/>
        </w:rPr>
      </w:pPr>
      <w:bookmarkStart w:id="16" w:name="_Toc1244281881"/>
      <w:r>
        <w:rPr>
          <w:rFonts w:hint="eastAsia"/>
          <w:color w:val="auto"/>
          <w:lang w:val="en-US" w:eastAsia="zh-CN"/>
        </w:rPr>
        <w:t>品牌授权主体资格</w:t>
      </w:r>
      <w:bookmarkEnd w:id="16"/>
    </w:p>
    <w:p w14:paraId="6D354BD7">
      <w:pPr>
        <w:pStyle w:val="18"/>
        <w:spacing w:before="120" w:after="120"/>
        <w:ind w:left="0" w:leftChars="0" w:firstLine="0" w:firstLineChars="0"/>
        <w:outlineLvl w:val="9"/>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主体资质：注册的合法市场主体（营业执照、食品经营许可等齐全）；</w:t>
      </w:r>
    </w:p>
    <w:p w14:paraId="2CA04DA7">
      <w:pPr>
        <w:pStyle w:val="18"/>
        <w:spacing w:before="120" w:after="120"/>
        <w:ind w:left="0" w:leftChars="0" w:firstLine="0" w:firstLineChars="0"/>
        <w:outlineLvl w:val="9"/>
        <w:rPr>
          <w:rFonts w:hint="eastAsia" w:ascii="宋体" w:hAnsi="Times New Roman" w:eastAsia="宋体" w:cs="Times New Roman"/>
          <w:color w:val="auto"/>
          <w:sz w:val="21"/>
          <w:lang w:val="en-US" w:eastAsia="zh-CN" w:bidi="ar-SA"/>
        </w:rPr>
      </w:pPr>
      <w:r>
        <w:rPr>
          <w:rFonts w:hint="eastAsia" w:ascii="宋体" w:eastAsia="宋体" w:cs="Times New Roman"/>
          <w:color w:val="auto"/>
          <w:sz w:val="21"/>
          <w:lang w:val="en-US" w:eastAsia="zh-CN" w:bidi="ar-SA"/>
        </w:rPr>
        <w:t>准入资格</w:t>
      </w:r>
      <w:r>
        <w:rPr>
          <w:rFonts w:hint="eastAsia" w:ascii="宋体" w:hAnsi="Times New Roman" w:eastAsia="宋体" w:cs="Times New Roman"/>
          <w:color w:val="auto"/>
          <w:sz w:val="21"/>
          <w:lang w:val="en-US" w:eastAsia="zh-CN" w:bidi="ar-SA"/>
        </w:rPr>
        <w:t>：连续</w:t>
      </w:r>
      <w:r>
        <w:rPr>
          <w:rFonts w:hint="eastAsia" w:ascii="宋体" w:eastAsia="宋体" w:cs="Times New Roman"/>
          <w:color w:val="auto"/>
          <w:sz w:val="21"/>
          <w:lang w:val="en-US" w:eastAsia="zh-CN" w:bidi="ar-SA"/>
        </w:rPr>
        <w:t xml:space="preserve"> 3 </w:t>
      </w:r>
      <w:r>
        <w:rPr>
          <w:rFonts w:hint="eastAsia" w:ascii="宋体" w:hAnsi="Times New Roman" w:eastAsia="宋体" w:cs="Times New Roman"/>
          <w:color w:val="auto"/>
          <w:sz w:val="21"/>
          <w:lang w:val="en-US" w:eastAsia="zh-CN" w:bidi="ar-SA"/>
        </w:rPr>
        <w:t>年以上规范生产，种植规模</w:t>
      </w:r>
      <w:r>
        <w:rPr>
          <w:rFonts w:hint="eastAsia" w:ascii="宋体" w:eastAsia="宋体" w:cs="Times New Roman"/>
          <w:color w:val="auto"/>
          <w:sz w:val="21"/>
          <w:lang w:val="en-US" w:eastAsia="zh-CN" w:bidi="ar-SA"/>
        </w:rPr>
        <w:t xml:space="preserve"> </w:t>
      </w:r>
      <w:r>
        <w:rPr>
          <w:rFonts w:hint="eastAsia" w:ascii="宋体" w:hAnsi="Times New Roman" w:eastAsia="宋体" w:cs="Times New Roman"/>
          <w:color w:val="auto"/>
          <w:sz w:val="21"/>
          <w:lang w:val="en-US" w:eastAsia="zh-CN" w:bidi="ar-SA"/>
        </w:rPr>
        <w:t>≥</w:t>
      </w:r>
      <w:r>
        <w:rPr>
          <w:rFonts w:hint="eastAsia" w:ascii="宋体" w:eastAsia="宋体" w:cs="Times New Roman"/>
          <w:color w:val="auto"/>
          <w:sz w:val="21"/>
          <w:lang w:val="en-US" w:eastAsia="zh-CN" w:bidi="ar-SA"/>
        </w:rPr>
        <w:t xml:space="preserve"> </w:t>
      </w:r>
      <w:r>
        <w:rPr>
          <w:rFonts w:hint="eastAsia" w:ascii="宋体" w:hAnsi="Times New Roman" w:eastAsia="宋体" w:cs="Times New Roman"/>
          <w:color w:val="auto"/>
          <w:sz w:val="21"/>
          <w:lang w:val="en-US" w:eastAsia="zh-CN" w:bidi="ar-SA"/>
        </w:rPr>
        <w:t>50</w:t>
      </w:r>
      <w:r>
        <w:rPr>
          <w:rFonts w:hint="eastAsia" w:ascii="宋体" w:eastAsia="宋体" w:cs="Times New Roman"/>
          <w:color w:val="auto"/>
          <w:sz w:val="21"/>
          <w:lang w:val="en-US" w:eastAsia="zh-CN" w:bidi="ar-SA"/>
        </w:rPr>
        <w:t xml:space="preserve"> </w:t>
      </w:r>
      <w:r>
        <w:rPr>
          <w:rFonts w:hint="eastAsia" w:ascii="宋体" w:hAnsi="Times New Roman" w:eastAsia="宋体" w:cs="Times New Roman"/>
          <w:color w:val="auto"/>
          <w:sz w:val="21"/>
          <w:lang w:val="en-US" w:eastAsia="zh-CN" w:bidi="ar-SA"/>
        </w:rPr>
        <w:t>亩（企业/合作社）或</w:t>
      </w:r>
      <w:r>
        <w:rPr>
          <w:rFonts w:hint="eastAsia" w:ascii="宋体" w:eastAsia="宋体" w:cs="Times New Roman"/>
          <w:color w:val="auto"/>
          <w:sz w:val="21"/>
          <w:lang w:val="en-US" w:eastAsia="zh-CN" w:bidi="ar-SA"/>
        </w:rPr>
        <w:t xml:space="preserve"> </w:t>
      </w:r>
      <w:r>
        <w:rPr>
          <w:rFonts w:hint="eastAsia" w:ascii="宋体" w:hAnsi="Times New Roman" w:eastAsia="宋体" w:cs="Times New Roman"/>
          <w:color w:val="auto"/>
          <w:sz w:val="21"/>
          <w:lang w:val="en-US" w:eastAsia="zh-CN" w:bidi="ar-SA"/>
        </w:rPr>
        <w:t>≥</w:t>
      </w:r>
      <w:r>
        <w:rPr>
          <w:rFonts w:hint="eastAsia" w:ascii="宋体" w:eastAsia="宋体" w:cs="Times New Roman"/>
          <w:color w:val="auto"/>
          <w:sz w:val="21"/>
          <w:lang w:val="en-US" w:eastAsia="zh-CN" w:bidi="ar-SA"/>
        </w:rPr>
        <w:t xml:space="preserve"> </w:t>
      </w:r>
      <w:r>
        <w:rPr>
          <w:rFonts w:hint="eastAsia" w:ascii="宋体" w:hAnsi="Times New Roman" w:eastAsia="宋体" w:cs="Times New Roman"/>
          <w:color w:val="auto"/>
          <w:sz w:val="21"/>
          <w:lang w:val="en-US" w:eastAsia="zh-CN" w:bidi="ar-SA"/>
        </w:rPr>
        <w:t>10</w:t>
      </w:r>
      <w:r>
        <w:rPr>
          <w:rFonts w:hint="eastAsia" w:ascii="宋体" w:eastAsia="宋体" w:cs="Times New Roman"/>
          <w:color w:val="auto"/>
          <w:sz w:val="21"/>
          <w:lang w:val="en-US" w:eastAsia="zh-CN" w:bidi="ar-SA"/>
        </w:rPr>
        <w:t xml:space="preserve"> </w:t>
      </w:r>
      <w:r>
        <w:rPr>
          <w:rFonts w:hint="eastAsia" w:ascii="宋体" w:hAnsi="Times New Roman" w:eastAsia="宋体" w:cs="Times New Roman"/>
          <w:color w:val="auto"/>
          <w:sz w:val="21"/>
          <w:lang w:val="en-US" w:eastAsia="zh-CN" w:bidi="ar-SA"/>
        </w:rPr>
        <w:t>亩（家庭农场），无重大质量安全事故；</w:t>
      </w:r>
      <w:r>
        <w:rPr>
          <w:rFonts w:hint="eastAsia" w:ascii="宋体" w:eastAsia="宋体" w:cs="Times New Roman"/>
          <w:color w:val="auto"/>
          <w:sz w:val="21"/>
          <w:lang w:val="en-US" w:eastAsia="zh-CN" w:bidi="ar-SA"/>
        </w:rPr>
        <w:t>有稳定的线上线下销售渠道，有固定的营业场所；</w:t>
      </w:r>
    </w:p>
    <w:p w14:paraId="06885E3E">
      <w:pPr>
        <w:pStyle w:val="18"/>
        <w:spacing w:before="120" w:after="120"/>
        <w:ind w:left="0" w:leftChars="0" w:firstLine="0" w:firstLineChars="0"/>
        <w:outlineLvl w:val="9"/>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承诺义务：签署《品牌使用承诺书》，接受协会监督，承诺遵守本标准及品牌管理规则。</w:t>
      </w:r>
    </w:p>
    <w:p w14:paraId="15F5D682">
      <w:pPr>
        <w:pStyle w:val="16"/>
        <w:spacing w:before="240" w:after="240"/>
        <w:rPr>
          <w:rFonts w:hint="eastAsia"/>
          <w:color w:val="auto"/>
        </w:rPr>
      </w:pPr>
      <w:bookmarkStart w:id="17" w:name="_Toc450233676"/>
      <w:r>
        <w:rPr>
          <w:rFonts w:hint="eastAsia"/>
          <w:color w:val="auto"/>
        </w:rPr>
        <w:t>认证管理</w:t>
      </w:r>
      <w:bookmarkEnd w:id="17"/>
    </w:p>
    <w:p w14:paraId="498CBD7E">
      <w:pPr>
        <w:pStyle w:val="17"/>
        <w:spacing w:before="120" w:after="120"/>
        <w:rPr>
          <w:rFonts w:hint="eastAsia"/>
          <w:color w:val="auto"/>
          <w:highlight w:val="none"/>
          <w:lang w:val="en-US" w:eastAsia="zh-CN"/>
        </w:rPr>
      </w:pPr>
      <w:bookmarkStart w:id="18" w:name="_Toc1599218892"/>
      <w:r>
        <w:rPr>
          <w:rFonts w:hint="eastAsia"/>
          <w:color w:val="auto"/>
          <w:highlight w:val="none"/>
          <w:lang w:val="en-US" w:eastAsia="zh-CN"/>
        </w:rPr>
        <w:t>准入流程</w:t>
      </w:r>
      <w:bookmarkEnd w:id="18"/>
    </w:p>
    <w:p w14:paraId="05F1268F">
      <w:pPr>
        <w:pStyle w:val="18"/>
        <w:spacing w:before="120" w:after="120"/>
        <w:ind w:left="0" w:leftChars="0" w:firstLine="0" w:firstLineChars="0"/>
        <w:outlineLvl w:val="9"/>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申请；</w:t>
      </w:r>
    </w:p>
    <w:p w14:paraId="2F06F5A1">
      <w:pPr>
        <w:pStyle w:val="18"/>
        <w:spacing w:before="120" w:after="120"/>
        <w:ind w:left="0" w:leftChars="0" w:firstLine="0" w:firstLineChars="0"/>
        <w:outlineLvl w:val="9"/>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主体提交《品牌准入申请表》，附生产记录、农产品质量/农残检测报告（由有资质的第三方机构出具，近6个月内）、资质证明、企业信用报告；</w:t>
      </w:r>
    </w:p>
    <w:p w14:paraId="6C21BD88">
      <w:pPr>
        <w:pStyle w:val="18"/>
        <w:spacing w:before="120" w:after="120"/>
        <w:ind w:left="0" w:leftChars="0" w:firstLine="0" w:firstLineChars="0"/>
        <w:outlineLvl w:val="9"/>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审核；</w:t>
      </w:r>
    </w:p>
    <w:p w14:paraId="61CAC4BD">
      <w:pPr>
        <w:pStyle w:val="18"/>
        <w:spacing w:before="120" w:after="120"/>
        <w:ind w:left="0" w:leftChars="0" w:firstLine="0" w:firstLineChars="0"/>
        <w:outlineLvl w:val="9"/>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材料审核：协会核查申请材料的完整性、合规性；</w:t>
      </w:r>
    </w:p>
    <w:p w14:paraId="6B40DD77">
      <w:pPr>
        <w:pStyle w:val="18"/>
        <w:spacing w:before="120" w:after="120"/>
        <w:ind w:left="0" w:leftChars="0" w:firstLine="0" w:firstLineChars="0"/>
        <w:outlineLvl w:val="9"/>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现场核查：实地检查产地环境、生产管理</w:t>
      </w:r>
      <w:r>
        <w:rPr>
          <w:rFonts w:hint="eastAsia" w:ascii="宋体" w:hAnsi="Times New Roman" w:eastAsia="宋体" w:cs="Times New Roman"/>
          <w:color w:val="auto"/>
          <w:sz w:val="21"/>
          <w:highlight w:val="none"/>
          <w:lang w:val="en-US" w:eastAsia="zh-CN" w:bidi="ar-SA"/>
        </w:rPr>
        <w:t>（八统一落实情况）</w:t>
      </w:r>
      <w:r>
        <w:rPr>
          <w:rFonts w:hint="eastAsia" w:ascii="宋体" w:hAnsi="Times New Roman" w:eastAsia="宋体" w:cs="Times New Roman"/>
          <w:color w:val="auto"/>
          <w:sz w:val="21"/>
          <w:lang w:val="en-US" w:eastAsia="zh-CN" w:bidi="ar-SA"/>
        </w:rPr>
        <w:t>、加工流通设施、溯源系统接入情况；</w:t>
      </w:r>
    </w:p>
    <w:p w14:paraId="00ECD003">
      <w:pPr>
        <w:pStyle w:val="18"/>
        <w:spacing w:before="120" w:after="120"/>
        <w:ind w:left="0" w:leftChars="0" w:firstLine="0" w:firstLineChars="0"/>
        <w:outlineLvl w:val="9"/>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评定：组建专家评审组开展综合评分，综合评分</w:t>
      </w:r>
      <w:r>
        <w:rPr>
          <w:rFonts w:hint="eastAsia" w:ascii="宋体" w:eastAsia="宋体" w:cs="Times New Roman"/>
          <w:color w:val="auto"/>
          <w:sz w:val="21"/>
          <w:lang w:val="en-US" w:eastAsia="zh-CN" w:bidi="ar-SA"/>
        </w:rPr>
        <w:t xml:space="preserve"> </w:t>
      </w:r>
      <w:r>
        <w:rPr>
          <w:rFonts w:hint="eastAsia" w:ascii="宋体" w:hAnsi="Times New Roman" w:eastAsia="宋体" w:cs="Times New Roman"/>
          <w:color w:val="auto"/>
          <w:sz w:val="21"/>
          <w:lang w:val="en-US" w:eastAsia="zh-CN" w:bidi="ar-SA"/>
        </w:rPr>
        <w:t>≥</w:t>
      </w:r>
      <w:r>
        <w:rPr>
          <w:rFonts w:hint="eastAsia" w:ascii="宋体" w:eastAsia="宋体" w:cs="Times New Roman"/>
          <w:color w:val="auto"/>
          <w:sz w:val="21"/>
          <w:lang w:val="en-US" w:eastAsia="zh-CN" w:bidi="ar-SA"/>
        </w:rPr>
        <w:t xml:space="preserve"> </w:t>
      </w:r>
      <w:r>
        <w:rPr>
          <w:rFonts w:hint="eastAsia" w:ascii="宋体" w:hAnsi="Times New Roman" w:eastAsia="宋体" w:cs="Times New Roman"/>
          <w:color w:val="auto"/>
          <w:sz w:val="21"/>
          <w:lang w:val="en-US" w:eastAsia="zh-CN" w:bidi="ar-SA"/>
        </w:rPr>
        <w:t>80 分（满分100分）的予以通过；</w:t>
      </w:r>
    </w:p>
    <w:p w14:paraId="656AA63B">
      <w:pPr>
        <w:pStyle w:val="18"/>
        <w:spacing w:before="120" w:after="120"/>
        <w:ind w:left="0" w:leftChars="0" w:firstLine="0" w:firstLineChars="0"/>
        <w:outlineLvl w:val="9"/>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授权：通过评定的主体公示</w:t>
      </w:r>
      <w:r>
        <w:rPr>
          <w:rFonts w:hint="eastAsia" w:ascii="宋体" w:eastAsia="宋体" w:cs="Times New Roman"/>
          <w:color w:val="auto"/>
          <w:sz w:val="21"/>
          <w:lang w:val="en-US" w:eastAsia="zh-CN" w:bidi="ar-SA"/>
        </w:rPr>
        <w:t xml:space="preserve"> </w:t>
      </w:r>
      <w:r>
        <w:rPr>
          <w:rFonts w:hint="eastAsia" w:ascii="宋体" w:hAnsi="Times New Roman" w:eastAsia="宋体" w:cs="Times New Roman"/>
          <w:color w:val="auto"/>
          <w:sz w:val="21"/>
          <w:lang w:val="en-US" w:eastAsia="zh-CN" w:bidi="ar-SA"/>
        </w:rPr>
        <w:t>7</w:t>
      </w:r>
      <w:r>
        <w:rPr>
          <w:rFonts w:hint="eastAsia" w:ascii="宋体" w:eastAsia="宋体" w:cs="Times New Roman"/>
          <w:color w:val="auto"/>
          <w:sz w:val="21"/>
          <w:lang w:val="en-US" w:eastAsia="zh-CN" w:bidi="ar-SA"/>
        </w:rPr>
        <w:t xml:space="preserve"> </w:t>
      </w:r>
      <w:r>
        <w:rPr>
          <w:rFonts w:hint="eastAsia" w:ascii="宋体" w:hAnsi="Times New Roman" w:eastAsia="宋体" w:cs="Times New Roman"/>
          <w:color w:val="auto"/>
          <w:sz w:val="21"/>
          <w:lang w:val="en-US" w:eastAsia="zh-CN" w:bidi="ar-SA"/>
        </w:rPr>
        <w:t>天（无异议后）与协会签订《品牌授权协议》，授予区域品牌标识使用权，纳入智慧溯源系统管理。</w:t>
      </w:r>
    </w:p>
    <w:p w14:paraId="62349F2B">
      <w:pPr>
        <w:pStyle w:val="17"/>
        <w:spacing w:before="120" w:after="120"/>
        <w:rPr>
          <w:rFonts w:hint="eastAsia"/>
          <w:color w:val="auto"/>
          <w:lang w:val="en-US" w:eastAsia="zh-CN"/>
        </w:rPr>
      </w:pPr>
      <w:bookmarkStart w:id="19" w:name="_Toc964126503"/>
      <w:r>
        <w:rPr>
          <w:rFonts w:hint="eastAsia"/>
          <w:color w:val="auto"/>
          <w:lang w:val="en-US" w:eastAsia="zh-CN"/>
        </w:rPr>
        <w:t>监督管理</w:t>
      </w:r>
      <w:bookmarkEnd w:id="19"/>
    </w:p>
    <w:p w14:paraId="202528B2">
      <w:pPr>
        <w:pStyle w:val="18"/>
        <w:spacing w:before="120" w:after="120"/>
        <w:ind w:left="0" w:leftChars="0" w:firstLine="0" w:firstLineChars="0"/>
        <w:outlineLvl w:val="9"/>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定期抽检：协会每年组织不少于 1 次抽检，覆盖生产（投入品）、加工（分拣分级）、流通（包装标识）全环节，抽检结果公示。</w:t>
      </w:r>
    </w:p>
    <w:p w14:paraId="6D7F021A">
      <w:pPr>
        <w:pStyle w:val="18"/>
        <w:spacing w:before="120" w:after="120"/>
        <w:ind w:left="0" w:leftChars="0" w:firstLine="0" w:firstLineChars="0"/>
        <w:outlineLvl w:val="9"/>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溯源管理：要求主体实时上传生产、加工数据至智慧平台，确保“一品一码”可追溯（消费者扫码查询种植、检测、物流信息）；</w:t>
      </w:r>
    </w:p>
    <w:p w14:paraId="44783BCC">
      <w:pPr>
        <w:pStyle w:val="18"/>
        <w:spacing w:before="120" w:after="120"/>
        <w:ind w:left="0" w:leftChars="0" w:firstLine="0" w:firstLineChars="0"/>
        <w:outlineLvl w:val="9"/>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信息公示：在大宁县政府官网、协会公众号公示准入名单、抽检结果、违规处理等信息，接受社会监督。</w:t>
      </w:r>
    </w:p>
    <w:p w14:paraId="374104FE">
      <w:pPr>
        <w:pStyle w:val="16"/>
        <w:spacing w:before="240" w:after="240"/>
        <w:rPr>
          <w:rFonts w:hint="eastAsia"/>
          <w:color w:val="auto"/>
        </w:rPr>
      </w:pPr>
      <w:bookmarkStart w:id="20" w:name="_Toc2039243223"/>
      <w:r>
        <w:rPr>
          <w:rFonts w:hint="eastAsia"/>
          <w:color w:val="auto"/>
        </w:rPr>
        <w:t>退出机制</w:t>
      </w:r>
      <w:bookmarkEnd w:id="20"/>
    </w:p>
    <w:p w14:paraId="3907835D">
      <w:pPr>
        <w:pStyle w:val="17"/>
        <w:spacing w:before="120" w:after="120"/>
        <w:rPr>
          <w:rFonts w:hint="eastAsia"/>
          <w:color w:val="auto"/>
          <w:highlight w:val="none"/>
          <w:lang w:val="en-US" w:eastAsia="zh-CN"/>
        </w:rPr>
      </w:pPr>
      <w:bookmarkStart w:id="21" w:name="_Toc1047929004"/>
      <w:r>
        <w:rPr>
          <w:rFonts w:hint="eastAsia"/>
          <w:color w:val="auto"/>
          <w:highlight w:val="none"/>
          <w:lang w:val="en-US" w:eastAsia="zh-CN"/>
        </w:rPr>
        <w:t>退出情形</w:t>
      </w:r>
      <w:bookmarkEnd w:id="21"/>
    </w:p>
    <w:p w14:paraId="0F64B26E">
      <w:pPr>
        <w:pStyle w:val="18"/>
        <w:spacing w:before="120" w:after="120"/>
        <w:ind w:left="0" w:leftChars="0" w:firstLine="0" w:firstLineChars="0"/>
        <w:outlineLvl w:val="9"/>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品质不达标：抽检中安全指标或理化、感官指标连续2次不合格，或整改后仍不达标；</w:t>
      </w:r>
    </w:p>
    <w:p w14:paraId="5711A588">
      <w:pPr>
        <w:pStyle w:val="18"/>
        <w:spacing w:before="120" w:after="120"/>
        <w:ind w:left="0" w:leftChars="0" w:firstLine="0" w:firstLineChars="0"/>
        <w:outlineLvl w:val="9"/>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品牌违规：篡改/伪造品牌标识、超范围使用、恶意抢注商标等；</w:t>
      </w:r>
    </w:p>
    <w:p w14:paraId="3C6F1470">
      <w:pPr>
        <w:pStyle w:val="18"/>
        <w:spacing w:before="120" w:after="120"/>
        <w:ind w:left="0" w:leftChars="0" w:firstLine="0" w:firstLineChars="0"/>
        <w:outlineLvl w:val="9"/>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违约失信：拒绝监督检查、不履行协议义务（如拒不上传溯源数据）；</w:t>
      </w:r>
    </w:p>
    <w:p w14:paraId="3F20B99D">
      <w:pPr>
        <w:pStyle w:val="18"/>
        <w:spacing w:before="120" w:after="120"/>
        <w:ind w:left="0" w:leftChars="0" w:firstLine="0" w:firstLineChars="0"/>
        <w:outlineLvl w:val="9"/>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违法违规：发生重大质量安全事故、违反农业投入品管理法规等。</w:t>
      </w:r>
    </w:p>
    <w:p w14:paraId="517E12DA">
      <w:pPr>
        <w:pStyle w:val="17"/>
        <w:spacing w:before="120" w:after="120"/>
        <w:rPr>
          <w:rFonts w:hint="eastAsia"/>
          <w:color w:val="auto"/>
          <w:lang w:val="en-US" w:eastAsia="zh-CN"/>
        </w:rPr>
      </w:pPr>
      <w:bookmarkStart w:id="22" w:name="_Toc1444132034"/>
      <w:r>
        <w:rPr>
          <w:rFonts w:hint="eastAsia"/>
          <w:color w:val="auto"/>
          <w:lang w:val="en-US" w:eastAsia="zh-CN"/>
        </w:rPr>
        <w:t>退出流程</w:t>
      </w:r>
      <w:bookmarkEnd w:id="22"/>
    </w:p>
    <w:p w14:paraId="5E3A5FAB">
      <w:pPr>
        <w:pStyle w:val="18"/>
        <w:spacing w:before="120" w:after="120"/>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整改通知：发现违规后，协会向主体发出《整改通知书》，明确整改期限（15～30天）；</w:t>
      </w:r>
    </w:p>
    <w:p w14:paraId="21FC222C">
      <w:pPr>
        <w:pStyle w:val="18"/>
        <w:spacing w:before="120" w:after="120"/>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撤销授权；</w:t>
      </w:r>
    </w:p>
    <w:p w14:paraId="0B0C9223">
      <w:pPr>
        <w:pStyle w:val="19"/>
        <w:rPr>
          <w:rFonts w:hint="eastAsia"/>
          <w:color w:val="auto"/>
        </w:rPr>
      </w:pPr>
      <w:r>
        <w:rPr>
          <w:rFonts w:hint="eastAsia"/>
          <w:color w:val="auto"/>
        </w:rPr>
        <w:t>整改无效或严重违规（如6.1.2、6.1.4），立即撤销品牌授权，收回标识使用权；</w:t>
      </w:r>
    </w:p>
    <w:p w14:paraId="6968695B">
      <w:pPr>
        <w:pStyle w:val="19"/>
        <w:rPr>
          <w:rFonts w:hint="eastAsia"/>
          <w:color w:val="auto"/>
        </w:rPr>
      </w:pPr>
      <w:r>
        <w:rPr>
          <w:rFonts w:hint="eastAsia"/>
          <w:color w:val="auto"/>
        </w:rPr>
        <w:t>通过媒体、官网公示退出名单，同步终止溯源系统数据维护；</w:t>
      </w:r>
    </w:p>
    <w:p w14:paraId="75880BBE">
      <w:pPr>
        <w:pStyle w:val="19"/>
        <w:rPr>
          <w:rFonts w:hint="eastAsia"/>
          <w:color w:val="auto"/>
        </w:rPr>
      </w:pPr>
      <w:r>
        <w:rPr>
          <w:rFonts w:hint="eastAsia"/>
          <w:color w:val="auto"/>
        </w:rPr>
        <w:t>再申请限制：被撤销授权的主体，3年内不得申请品牌准入。</w:t>
      </w:r>
    </w:p>
    <w:p w14:paraId="6622B2F8">
      <w:pPr>
        <w:pStyle w:val="14"/>
        <w:ind w:firstLine="0" w:firstLineChars="0"/>
        <w:jc w:val="center"/>
        <w:rPr>
          <w:rFonts w:hint="eastAsia"/>
          <w:color w:val="auto"/>
          <w:lang w:val="en-US" w:eastAsia="zh-CN"/>
        </w:rPr>
        <w:sectPr>
          <w:footerReference r:id="rId8" w:type="default"/>
          <w:pgSz w:w="11906" w:h="16839"/>
          <w:pgMar w:top="1440" w:right="1803" w:bottom="1440" w:left="1803" w:header="850" w:footer="992" w:gutter="0"/>
          <w:pgNumType w:fmt="decimal" w:start="1"/>
          <w:cols w:space="0" w:num="1"/>
          <w:rtlGutter w:val="0"/>
          <w:docGrid w:linePitch="0" w:charSpace="0"/>
        </w:sectPr>
      </w:pPr>
      <w:r>
        <w:rPr>
          <w:rFonts w:hint="eastAsia"/>
          <w:color w:val="auto"/>
        </w:rPr>
        <w:drawing>
          <wp:inline distT="0" distB="0" distL="0" distR="0">
            <wp:extent cx="1485900" cy="317500"/>
            <wp:effectExtent l="0" t="0" r="0" b="6350"/>
            <wp:docPr id="16" name="图片 2"/>
            <wp:cNvGraphicFramePr/>
            <a:graphic xmlns:a="http://schemas.openxmlformats.org/drawingml/2006/main">
              <a:graphicData uri="http://schemas.openxmlformats.org/drawingml/2006/picture">
                <pic:pic xmlns:pic="http://schemas.openxmlformats.org/drawingml/2006/picture">
                  <pic:nvPicPr>
                    <pic:cNvPr id="16" name="图片 2"/>
                    <pic:cNvPicPr/>
                  </pic:nvPicPr>
                  <pic:blipFill>
                    <a:blip r:embed="rId24">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p>
    <w:p w14:paraId="4E3CB05B">
      <w:pPr>
        <w:pStyle w:val="3"/>
        <w:spacing w:line="262" w:lineRule="auto"/>
        <w:rPr>
          <w:color w:val="auto"/>
        </w:rPr>
      </w:pPr>
    </w:p>
    <w:p w14:paraId="4EE95285">
      <w:pPr>
        <w:pStyle w:val="3"/>
        <w:keepNext w:val="0"/>
        <w:keepLines/>
        <w:pageBreakBefore w:val="0"/>
        <w:widowControl w:val="0"/>
        <w:kinsoku w:val="0"/>
        <w:wordWrap/>
        <w:overflowPunct/>
        <w:topLinePunct w:val="0"/>
        <w:autoSpaceDE w:val="0"/>
        <w:autoSpaceDN w:val="0"/>
        <w:bidi w:val="0"/>
        <w:adjustRightInd w:val="0"/>
        <w:snapToGrid w:val="0"/>
        <w:spacing w:before="65" w:line="230" w:lineRule="auto"/>
        <w:jc w:val="center"/>
        <w:textAlignment w:val="baseline"/>
        <w:outlineLvl w:val="0"/>
        <w:rPr>
          <w:rFonts w:hint="eastAsia" w:ascii="黑体" w:hAnsi="Times New Roman" w:eastAsia="黑体" w:cs="Times New Roman"/>
          <w:snapToGrid w:val="0"/>
          <w:color w:val="auto"/>
          <w:kern w:val="0"/>
          <w:sz w:val="21"/>
          <w:szCs w:val="20"/>
          <w:lang w:val="en-US" w:eastAsia="zh-CN" w:bidi="ar-SA"/>
        </w:rPr>
      </w:pPr>
      <w:bookmarkStart w:id="23" w:name="_Toc732508370"/>
      <w:r>
        <w:rPr>
          <w:rFonts w:hint="eastAsia" w:ascii="黑体" w:hAnsi="Times New Roman" w:eastAsia="黑体" w:cs="Times New Roman"/>
          <w:snapToGrid w:val="0"/>
          <w:color w:val="auto"/>
          <w:kern w:val="0"/>
          <w:sz w:val="21"/>
          <w:szCs w:val="20"/>
          <w:lang w:val="en-US" w:eastAsia="zh-CN" w:bidi="ar-SA"/>
        </w:rPr>
        <w:t>附 录  A</w:t>
      </w:r>
      <w:bookmarkEnd w:id="23"/>
    </w:p>
    <w:p w14:paraId="6904E39D">
      <w:pPr>
        <w:pStyle w:val="3"/>
        <w:keepNext w:val="0"/>
        <w:keepLines/>
        <w:pageBreakBefore w:val="0"/>
        <w:widowControl w:val="0"/>
        <w:kinsoku w:val="0"/>
        <w:wordWrap/>
        <w:overflowPunct/>
        <w:topLinePunct w:val="0"/>
        <w:autoSpaceDE w:val="0"/>
        <w:autoSpaceDN w:val="0"/>
        <w:bidi w:val="0"/>
        <w:adjustRightInd w:val="0"/>
        <w:snapToGrid w:val="0"/>
        <w:spacing w:before="65" w:line="230" w:lineRule="auto"/>
        <w:jc w:val="center"/>
        <w:textAlignment w:val="baseline"/>
        <w:rPr>
          <w:rFonts w:hint="eastAsia" w:ascii="黑体" w:hAnsi="Times New Roman" w:eastAsia="黑体" w:cs="Times New Roman"/>
          <w:snapToGrid w:val="0"/>
          <w:color w:val="auto"/>
          <w:kern w:val="0"/>
          <w:sz w:val="21"/>
          <w:szCs w:val="20"/>
          <w:lang w:val="en-US" w:eastAsia="zh-CN" w:bidi="ar-SA"/>
        </w:rPr>
      </w:pPr>
      <w:r>
        <w:rPr>
          <w:rFonts w:hint="eastAsia" w:ascii="黑体" w:hAnsi="Times New Roman" w:eastAsia="黑体" w:cs="Times New Roman"/>
          <w:snapToGrid w:val="0"/>
          <w:color w:val="auto"/>
          <w:kern w:val="0"/>
          <w:sz w:val="21"/>
          <w:szCs w:val="20"/>
          <w:lang w:val="en-US" w:eastAsia="zh-CN" w:bidi="ar-SA"/>
        </w:rPr>
        <w:t>（</w:t>
      </w:r>
      <w:r>
        <w:rPr>
          <w:rFonts w:hint="eastAsia" w:hAnsi="Times New Roman" w:cs="Times New Roman"/>
          <w:snapToGrid w:val="0"/>
          <w:color w:val="auto"/>
          <w:kern w:val="0"/>
          <w:sz w:val="21"/>
          <w:szCs w:val="20"/>
          <w:lang w:val="en-US" w:eastAsia="zh-CN" w:bidi="ar-SA"/>
        </w:rPr>
        <w:t>规范性</w:t>
      </w:r>
      <w:r>
        <w:rPr>
          <w:rFonts w:hint="eastAsia" w:ascii="黑体" w:hAnsi="Times New Roman" w:eastAsia="黑体" w:cs="Times New Roman"/>
          <w:snapToGrid w:val="0"/>
          <w:color w:val="auto"/>
          <w:kern w:val="0"/>
          <w:sz w:val="21"/>
          <w:szCs w:val="20"/>
          <w:lang w:val="en-US" w:eastAsia="zh-CN" w:bidi="ar-SA"/>
        </w:rPr>
        <w:t>）</w:t>
      </w:r>
    </w:p>
    <w:p w14:paraId="5BBA8173">
      <w:pPr>
        <w:pStyle w:val="3"/>
        <w:keepNext w:val="0"/>
        <w:keepLines/>
        <w:pageBreakBefore w:val="0"/>
        <w:widowControl w:val="0"/>
        <w:kinsoku w:val="0"/>
        <w:wordWrap/>
        <w:overflowPunct/>
        <w:topLinePunct w:val="0"/>
        <w:autoSpaceDE w:val="0"/>
        <w:autoSpaceDN w:val="0"/>
        <w:bidi w:val="0"/>
        <w:adjustRightInd w:val="0"/>
        <w:snapToGrid w:val="0"/>
        <w:spacing w:before="65" w:line="230" w:lineRule="auto"/>
        <w:jc w:val="center"/>
        <w:textAlignment w:val="baseline"/>
        <w:rPr>
          <w:rFonts w:hint="eastAsia" w:ascii="黑体" w:hAnsi="Times New Roman" w:eastAsia="黑体" w:cs="Times New Roman"/>
          <w:snapToGrid w:val="0"/>
          <w:color w:val="auto"/>
          <w:kern w:val="0"/>
          <w:sz w:val="21"/>
          <w:szCs w:val="20"/>
          <w:lang w:val="en-US" w:eastAsia="zh-CN" w:bidi="ar-SA"/>
        </w:rPr>
      </w:pPr>
      <w:r>
        <w:rPr>
          <w:rFonts w:hint="eastAsia" w:ascii="黑体" w:hAnsi="Times New Roman" w:eastAsia="黑体" w:cs="Times New Roman"/>
          <w:snapToGrid w:val="0"/>
          <w:color w:val="auto"/>
          <w:kern w:val="0"/>
          <w:sz w:val="21"/>
          <w:szCs w:val="20"/>
          <w:lang w:val="en-US" w:eastAsia="zh-CN" w:bidi="ar-SA"/>
        </w:rPr>
        <w:t>苹果产业链质量安全核心管控点及风险控制</w:t>
      </w:r>
    </w:p>
    <w:p w14:paraId="4BBF3932">
      <w:pPr>
        <w:pStyle w:val="3"/>
        <w:keepNext w:val="0"/>
        <w:keepLines/>
        <w:pageBreakBefore w:val="0"/>
        <w:widowControl w:val="0"/>
        <w:kinsoku w:val="0"/>
        <w:wordWrap/>
        <w:overflowPunct/>
        <w:topLinePunct w:val="0"/>
        <w:autoSpaceDE w:val="0"/>
        <w:autoSpaceDN w:val="0"/>
        <w:bidi w:val="0"/>
        <w:adjustRightInd w:val="0"/>
        <w:snapToGrid w:val="0"/>
        <w:spacing w:before="65" w:line="230" w:lineRule="auto"/>
        <w:jc w:val="center"/>
        <w:textAlignment w:val="baseline"/>
        <w:rPr>
          <w:rFonts w:hint="eastAsia" w:ascii="黑体" w:hAnsi="Times New Roman" w:eastAsia="黑体" w:cs="Times New Roman"/>
          <w:snapToGrid w:val="0"/>
          <w:color w:val="auto"/>
          <w:kern w:val="0"/>
          <w:sz w:val="21"/>
          <w:szCs w:val="20"/>
          <w:lang w:val="en-US" w:eastAsia="zh-CN" w:bidi="ar-SA"/>
        </w:rPr>
      </w:pPr>
    </w:p>
    <w:p w14:paraId="2A7B7AB5">
      <w:pPr>
        <w:pStyle w:val="3"/>
        <w:keepNext w:val="0"/>
        <w:keepLines/>
        <w:pageBreakBefore w:val="0"/>
        <w:widowControl w:val="0"/>
        <w:kinsoku w:val="0"/>
        <w:wordWrap/>
        <w:overflowPunct/>
        <w:topLinePunct w:val="0"/>
        <w:autoSpaceDE w:val="0"/>
        <w:autoSpaceDN w:val="0"/>
        <w:bidi w:val="0"/>
        <w:adjustRightInd w:val="0"/>
        <w:snapToGrid w:val="0"/>
        <w:spacing w:before="65" w:line="230" w:lineRule="auto"/>
        <w:jc w:val="both"/>
        <w:textAlignment w:val="baseline"/>
        <w:rPr>
          <w:rFonts w:hint="eastAsia" w:hAnsi="Times New Roman" w:cs="Times New Roman"/>
          <w:color w:val="auto"/>
          <w:sz w:val="21"/>
          <w:szCs w:val="20"/>
          <w:lang w:val="en-US" w:eastAsia="zh-CN" w:bidi="ar-SA"/>
        </w:rPr>
      </w:pPr>
      <w:r>
        <w:rPr>
          <w:rFonts w:hint="eastAsia" w:ascii="黑体" w:hAnsi="Times New Roman" w:eastAsia="黑体" w:cs="Times New Roman"/>
          <w:color w:val="auto"/>
          <w:sz w:val="21"/>
          <w:szCs w:val="20"/>
          <w:lang w:val="en-US" w:eastAsia="zh-CN" w:bidi="ar-SA"/>
        </w:rPr>
        <w:t>风险等级解释</w:t>
      </w:r>
      <w:r>
        <w:rPr>
          <w:rFonts w:hint="eastAsia" w:hAnsi="Times New Roman" w:cs="Times New Roman"/>
          <w:color w:val="auto"/>
          <w:sz w:val="21"/>
          <w:szCs w:val="20"/>
          <w:lang w:val="en-US" w:eastAsia="zh-CN" w:bidi="ar-SA"/>
        </w:rPr>
        <w:t>：</w:t>
      </w:r>
    </w:p>
    <w:p w14:paraId="4CD1D037">
      <w:pPr>
        <w:pStyle w:val="3"/>
        <w:keepNext w:val="0"/>
        <w:keepLines/>
        <w:pageBreakBefore w:val="0"/>
        <w:widowControl w:val="0"/>
        <w:kinsoku w:val="0"/>
        <w:wordWrap/>
        <w:overflowPunct/>
        <w:topLinePunct w:val="0"/>
        <w:autoSpaceDE w:val="0"/>
        <w:autoSpaceDN w:val="0"/>
        <w:bidi w:val="0"/>
        <w:adjustRightInd w:val="0"/>
        <w:snapToGrid w:val="0"/>
        <w:spacing w:before="65" w:line="230" w:lineRule="auto"/>
        <w:jc w:val="both"/>
        <w:textAlignment w:val="baseline"/>
        <w:rPr>
          <w:rFonts w:hint="eastAsia" w:hAnsi="Times New Roman" w:cs="Times New Roman"/>
          <w:color w:val="auto"/>
          <w:sz w:val="21"/>
          <w:szCs w:val="20"/>
          <w:lang w:val="en-US" w:eastAsia="zh-CN" w:bidi="ar-SA"/>
        </w:rPr>
      </w:pPr>
    </w:p>
    <w:p w14:paraId="7BE27531">
      <w:pPr>
        <w:pStyle w:val="14"/>
        <w:spacing w:line="360" w:lineRule="auto"/>
        <w:ind w:firstLine="420"/>
        <w:rPr>
          <w:rFonts w:hint="eastAsia"/>
          <w:color w:val="auto"/>
          <w:lang w:val="en-US" w:eastAsia="zh-CN"/>
        </w:rPr>
      </w:pPr>
      <w:r>
        <w:rPr>
          <w:rFonts w:hint="eastAsia"/>
          <w:color w:val="auto"/>
          <w:lang w:val="en-US" w:eastAsia="zh-CN"/>
        </w:rPr>
        <w:t>在苹果产业链的质量安全管控中，风险等级的划分对于制定有效的风险控制措施至关重要。根据风险的严重程度和可能造成的后果，我们将风险划分为三个等级：Ⅰ 级风险（极高风险）、Ⅱ 级风险（较高风险）和 Ⅲ 级风险（一般风险）。</w:t>
      </w:r>
    </w:p>
    <w:p w14:paraId="2A6D7F2D">
      <w:pPr>
        <w:pStyle w:val="14"/>
        <w:spacing w:line="360" w:lineRule="auto"/>
        <w:ind w:firstLine="420"/>
        <w:rPr>
          <w:rFonts w:hint="eastAsia"/>
          <w:color w:val="auto"/>
          <w:lang w:val="en-US" w:eastAsia="zh-CN"/>
        </w:rPr>
      </w:pPr>
      <w:r>
        <w:rPr>
          <w:rFonts w:hint="eastAsia"/>
          <w:color w:val="auto"/>
          <w:lang w:val="en-US" w:eastAsia="zh-CN"/>
        </w:rPr>
        <w:t>Ⅰ 级风险（极高风险）：该类风险一旦发生，将直接造成产品质量安全严重不达标，引发食品安全事故、重大质量问题，对消费者健康产生实质性危害，同时会对 “大宁宁粹苹果” 区域公用品牌声誉造成不可逆的严重损害，且此类风险发生后无有效补救措施，或补救成本极高。判定特征包括违反国家食品安全法规/强制性标准、直接导致农残/重金属/有毒有害物质超标、引发人身健康损害等。管控原则为执行“严防死守、零容忍”管控，需建立全流程强制性监控措施，设置关键控制点专人负责，实施高频次抽检/巡检，一旦发现风险立即采取拒收、拒种、停产等纠偏措施。</w:t>
      </w:r>
    </w:p>
    <w:p w14:paraId="4F9AC3FD">
      <w:pPr>
        <w:pStyle w:val="14"/>
        <w:spacing w:line="360" w:lineRule="auto"/>
        <w:ind w:firstLine="420"/>
        <w:rPr>
          <w:rFonts w:hint="eastAsia"/>
          <w:color w:val="auto"/>
          <w:lang w:val="en-US" w:eastAsia="zh-CN"/>
        </w:rPr>
      </w:pPr>
      <w:r>
        <w:rPr>
          <w:rFonts w:hint="eastAsia"/>
          <w:color w:val="auto"/>
          <w:lang w:val="en-US" w:eastAsia="zh-CN"/>
        </w:rPr>
        <w:t>Ⅱ 级（较高风险）：该类风险发生后，会造成产品品质下降、质量指标不符合品牌准入标准，可能导致产品批次不合格、返工整改，若未及时管控可能进一步升级为 Ⅰ 级风险；对品牌声誉存在潜在负面影响，但其危害后果可通过规范整改、流程优化进行有效控制，补救措施具有可操作性。判定特征包括操作不规范、管理流程存在漏洞、技术执行不到位等导致的质量安全隐患，未直接违反强制性标准，但不符合品牌标准化管控要求，且存在风险升级可能性。管控原则为执行“规范管控、定期排查”要求，需制定标准化操作流程，明确管控责任，实施定期检查与不定期抽查，发现风险后限期 15-30 天完成整改，并验证整改效果。</w:t>
      </w:r>
    </w:p>
    <w:p w14:paraId="0DA02B0C">
      <w:pPr>
        <w:pStyle w:val="14"/>
        <w:spacing w:line="360" w:lineRule="auto"/>
        <w:ind w:firstLine="420"/>
        <w:rPr>
          <w:rFonts w:hint="default" w:ascii="黑体" w:hAnsi="Times New Roman" w:eastAsia="黑体" w:cs="Times New Roman"/>
          <w:color w:val="auto"/>
          <w:sz w:val="21"/>
          <w:szCs w:val="20"/>
          <w:lang w:val="en-US" w:eastAsia="zh-CN" w:bidi="ar-SA"/>
        </w:rPr>
      </w:pPr>
      <w:r>
        <w:rPr>
          <w:rFonts w:hint="eastAsia"/>
          <w:color w:val="auto"/>
          <w:lang w:val="en-US" w:eastAsia="zh-CN"/>
        </w:rPr>
        <w:t>Ⅲ 级（一般风险）：该类风险发生后，仅对产品局部品质、流通效率造成轻微影响，不会直接导致产品质量安全不达标，也不会对消费者健康产生危害；对品牌声誉无实质性负面影响，可通过简单的现场整改、流程调整快速解决，整改成本低、见效快。判定特征包括操作细节不规范、储存/运输环节的轻微瑕疵、服务流程不到位等仅造成产品小范围降级、损耗或客户体验不佳的类型。管控原则为执行“现场整改、持续优化”要求，需建立日常巡检机制，发现风险后立即现场整改，同时梳理问题根源，优化操作流程以降低风险发生概率。</w:t>
      </w:r>
    </w:p>
    <w:p w14:paraId="2AF19F02">
      <w:pPr>
        <w:spacing w:line="360" w:lineRule="auto"/>
        <w:rPr>
          <w:rFonts w:hint="eastAsia"/>
          <w:color w:val="auto"/>
          <w:lang w:val="en-US" w:eastAsia="zh-CN"/>
        </w:rPr>
      </w:pPr>
      <w:r>
        <w:rPr>
          <w:rFonts w:hint="eastAsia"/>
          <w:color w:val="auto"/>
          <w:lang w:val="en-US" w:eastAsia="zh-CN"/>
        </w:rPr>
        <w:br w:type="page"/>
      </w:r>
    </w:p>
    <w:p w14:paraId="27F1859C">
      <w:pPr>
        <w:pStyle w:val="17"/>
        <w:numPr>
          <w:ilvl w:val="2"/>
          <w:numId w:val="0"/>
        </w:numPr>
        <w:spacing w:before="120" w:after="120"/>
        <w:ind w:left="0" w:leftChars="0" w:firstLine="0" w:firstLineChars="0"/>
        <w:outlineLvl w:val="0"/>
        <w:rPr>
          <w:rFonts w:hint="eastAsia"/>
          <w:color w:val="auto"/>
          <w:lang w:val="en-US" w:eastAsia="zh-CN"/>
        </w:rPr>
      </w:pPr>
      <w:bookmarkStart w:id="24" w:name="_Toc474927378"/>
      <w:r>
        <w:rPr>
          <w:rFonts w:hint="eastAsia"/>
          <w:color w:val="auto"/>
          <w:lang w:val="en-US" w:eastAsia="zh-CN"/>
        </w:rPr>
        <w:t>A.1  各环节风险分析</w:t>
      </w:r>
      <w:bookmarkEnd w:id="24"/>
    </w:p>
    <w:p w14:paraId="73CEFDD9">
      <w:pPr>
        <w:pStyle w:val="18"/>
        <w:numPr>
          <w:ilvl w:val="3"/>
          <w:numId w:val="0"/>
        </w:numPr>
        <w:spacing w:before="120" w:after="120"/>
        <w:ind w:left="0" w:leftChars="0" w:firstLine="0" w:firstLineChars="0"/>
        <w:outlineLvl w:val="1"/>
        <w:rPr>
          <w:rFonts w:hint="eastAsia" w:ascii="宋体" w:hAnsi="Times New Roman" w:eastAsia="宋体" w:cs="Times New Roman"/>
          <w:color w:val="auto"/>
          <w:sz w:val="21"/>
          <w:lang w:val="en-US" w:eastAsia="zh-CN" w:bidi="ar-SA"/>
        </w:rPr>
      </w:pPr>
      <w:bookmarkStart w:id="25" w:name="_Toc993243993"/>
      <w:r>
        <w:rPr>
          <w:rFonts w:hint="eastAsia" w:ascii="宋体" w:hAnsi="Times New Roman" w:eastAsia="宋体" w:cs="Times New Roman"/>
          <w:color w:val="auto"/>
          <w:sz w:val="21"/>
          <w:lang w:val="en-US" w:eastAsia="zh-CN" w:bidi="ar-SA"/>
        </w:rPr>
        <w:t>A.1.1  苹果种植及采摘</w:t>
      </w:r>
      <w:bookmarkEnd w:id="25"/>
    </w:p>
    <w:p w14:paraId="30A1D932">
      <w:pPr>
        <w:pStyle w:val="14"/>
        <w:ind w:left="0" w:leftChars="0" w:firstLine="0" w:firstLineChars="0"/>
        <w:rPr>
          <w:color w:val="auto"/>
        </w:rPr>
      </w:pPr>
    </w:p>
    <w:tbl>
      <w:tblPr>
        <w:tblStyle w:val="21"/>
        <w:tblW w:w="829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45"/>
        <w:gridCol w:w="1273"/>
        <w:gridCol w:w="790"/>
        <w:gridCol w:w="2397"/>
        <w:gridCol w:w="930"/>
        <w:gridCol w:w="963"/>
        <w:gridCol w:w="1400"/>
      </w:tblGrid>
      <w:tr w14:paraId="24C001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1" w:hRule="atLeast"/>
        </w:trPr>
        <w:tc>
          <w:tcPr>
            <w:tcW w:w="545" w:type="dxa"/>
            <w:shd w:val="clear" w:color="auto" w:fill="auto"/>
            <w:vAlign w:val="center"/>
          </w:tcPr>
          <w:p w14:paraId="2DE9EDDD">
            <w:pPr>
              <w:pStyle w:val="23"/>
              <w:ind w:firstLine="0" w:firstLineChars="0"/>
              <w:jc w:val="center"/>
              <w:rPr>
                <w:rFonts w:hint="eastAsia" w:ascii="宋体" w:hAnsi="Times New Roman" w:eastAsia="宋体" w:cs="Times New Roman"/>
                <w:color w:val="auto"/>
                <w:sz w:val="18"/>
                <w:lang w:val="en-US" w:eastAsia="zh-CN" w:bidi="ar-SA"/>
              </w:rPr>
            </w:pPr>
            <w:r>
              <w:rPr>
                <w:rFonts w:hint="eastAsia"/>
                <w:color w:val="auto"/>
              </w:rPr>
              <w:t>序号</w:t>
            </w:r>
          </w:p>
        </w:tc>
        <w:tc>
          <w:tcPr>
            <w:tcW w:w="1273" w:type="dxa"/>
            <w:shd w:val="clear" w:color="auto" w:fill="auto"/>
            <w:vAlign w:val="center"/>
          </w:tcPr>
          <w:p w14:paraId="3E0C0178">
            <w:pPr>
              <w:pStyle w:val="23"/>
              <w:ind w:firstLine="0" w:firstLineChars="0"/>
              <w:jc w:val="center"/>
              <w:rPr>
                <w:rFonts w:hint="eastAsia" w:ascii="宋体" w:hAnsi="Times New Roman" w:eastAsia="宋体" w:cs="Times New Roman"/>
                <w:color w:val="auto"/>
                <w:sz w:val="18"/>
                <w:lang w:val="en-US" w:eastAsia="zh-CN" w:bidi="ar-SA"/>
              </w:rPr>
            </w:pPr>
            <w:r>
              <w:rPr>
                <w:rFonts w:hint="eastAsia"/>
                <w:color w:val="auto"/>
              </w:rPr>
              <w:t>环节</w:t>
            </w:r>
          </w:p>
        </w:tc>
        <w:tc>
          <w:tcPr>
            <w:tcW w:w="790" w:type="dxa"/>
            <w:shd w:val="clear" w:color="auto" w:fill="auto"/>
            <w:vAlign w:val="center"/>
          </w:tcPr>
          <w:p w14:paraId="3F20A589">
            <w:pPr>
              <w:pStyle w:val="23"/>
              <w:ind w:firstLine="0" w:firstLineChars="0"/>
              <w:jc w:val="center"/>
              <w:rPr>
                <w:rFonts w:hint="eastAsia" w:ascii="宋体" w:hAnsi="Times New Roman" w:eastAsia="宋体" w:cs="Times New Roman"/>
                <w:color w:val="auto"/>
                <w:sz w:val="18"/>
                <w:lang w:val="en-US" w:eastAsia="zh-CN" w:bidi="ar-SA"/>
              </w:rPr>
            </w:pPr>
            <w:r>
              <w:rPr>
                <w:rFonts w:hint="eastAsia"/>
                <w:color w:val="auto"/>
                <w:lang w:val="en-US" w:eastAsia="zh-CN"/>
              </w:rPr>
              <w:t>风险</w:t>
            </w:r>
            <w:r>
              <w:rPr>
                <w:rFonts w:hint="eastAsia" w:ascii="宋体" w:eastAsia="宋体"/>
                <w:color w:val="auto"/>
                <w:lang w:val="en-US" w:eastAsia="zh-CN"/>
              </w:rPr>
              <w:t>编号</w:t>
            </w:r>
          </w:p>
        </w:tc>
        <w:tc>
          <w:tcPr>
            <w:tcW w:w="2397" w:type="dxa"/>
            <w:shd w:val="clear" w:color="auto" w:fill="auto"/>
            <w:vAlign w:val="center"/>
          </w:tcPr>
          <w:p w14:paraId="7E36FA67">
            <w:pPr>
              <w:pStyle w:val="23"/>
              <w:ind w:firstLine="0" w:firstLineChars="0"/>
              <w:jc w:val="center"/>
              <w:rPr>
                <w:rFonts w:hint="eastAsia" w:ascii="宋体" w:hAnsi="Times New Roman" w:eastAsia="宋体" w:cs="Times New Roman"/>
                <w:color w:val="auto"/>
                <w:sz w:val="18"/>
                <w:lang w:val="en-US" w:eastAsia="zh-CN" w:bidi="ar-SA"/>
              </w:rPr>
            </w:pPr>
            <w:r>
              <w:rPr>
                <w:rFonts w:hint="eastAsia" w:ascii="宋体" w:eastAsia="宋体"/>
                <w:color w:val="auto"/>
                <w:lang w:val="en-US" w:eastAsia="zh-CN"/>
              </w:rPr>
              <w:t>风险描述</w:t>
            </w:r>
          </w:p>
        </w:tc>
        <w:tc>
          <w:tcPr>
            <w:tcW w:w="930" w:type="dxa"/>
            <w:shd w:val="clear" w:color="auto" w:fill="auto"/>
            <w:vAlign w:val="center"/>
          </w:tcPr>
          <w:p w14:paraId="35DA5F48">
            <w:pPr>
              <w:pStyle w:val="23"/>
              <w:ind w:firstLine="0" w:firstLineChars="0"/>
              <w:jc w:val="center"/>
              <w:rPr>
                <w:rFonts w:hint="eastAsia" w:ascii="宋体" w:hAnsi="Times New Roman" w:eastAsia="宋体" w:cs="Times New Roman"/>
                <w:color w:val="auto"/>
                <w:sz w:val="18"/>
                <w:lang w:val="en-US" w:eastAsia="zh-CN" w:bidi="ar-SA"/>
              </w:rPr>
            </w:pPr>
            <w:r>
              <w:rPr>
                <w:rFonts w:hint="eastAsia" w:ascii="宋体" w:eastAsia="宋体"/>
                <w:color w:val="auto"/>
                <w:lang w:val="en-US" w:eastAsia="zh-CN"/>
              </w:rPr>
              <w:t>风险类型</w:t>
            </w:r>
          </w:p>
        </w:tc>
        <w:tc>
          <w:tcPr>
            <w:tcW w:w="963" w:type="dxa"/>
            <w:shd w:val="clear" w:color="auto" w:fill="auto"/>
            <w:vAlign w:val="center"/>
          </w:tcPr>
          <w:p w14:paraId="0BB11EF2">
            <w:pPr>
              <w:pStyle w:val="23"/>
              <w:ind w:firstLine="0" w:firstLineChars="0"/>
              <w:jc w:val="center"/>
              <w:rPr>
                <w:rFonts w:hint="eastAsia" w:ascii="宋体" w:hAnsi="Times New Roman" w:eastAsia="宋体" w:cs="Times New Roman"/>
                <w:color w:val="auto"/>
                <w:sz w:val="18"/>
                <w:lang w:val="en-US" w:eastAsia="zh-CN" w:bidi="ar-SA"/>
              </w:rPr>
            </w:pPr>
            <w:r>
              <w:rPr>
                <w:rFonts w:hint="eastAsia" w:ascii="宋体" w:eastAsia="宋体"/>
                <w:color w:val="auto"/>
                <w:lang w:val="en-US" w:eastAsia="zh-CN"/>
              </w:rPr>
              <w:t>风险等级</w:t>
            </w:r>
          </w:p>
        </w:tc>
        <w:tc>
          <w:tcPr>
            <w:tcW w:w="1400" w:type="dxa"/>
            <w:shd w:val="clear" w:color="auto" w:fill="auto"/>
            <w:vAlign w:val="center"/>
          </w:tcPr>
          <w:p w14:paraId="1D97AFF6">
            <w:pPr>
              <w:pStyle w:val="23"/>
              <w:ind w:firstLine="0" w:firstLineChars="0"/>
              <w:jc w:val="center"/>
              <w:rPr>
                <w:rFonts w:hint="eastAsia" w:ascii="宋体" w:hAnsi="Times New Roman" w:eastAsia="宋体" w:cs="Times New Roman"/>
                <w:color w:val="auto"/>
                <w:sz w:val="18"/>
                <w:lang w:val="en-US" w:eastAsia="zh-CN" w:bidi="ar-SA"/>
              </w:rPr>
            </w:pPr>
            <w:r>
              <w:rPr>
                <w:rFonts w:hint="eastAsia" w:ascii="宋体" w:eastAsia="宋体"/>
                <w:color w:val="auto"/>
                <w:lang w:val="en-US" w:eastAsia="zh-CN"/>
              </w:rPr>
              <w:t>主要控制措施</w:t>
            </w:r>
          </w:p>
        </w:tc>
      </w:tr>
      <w:tr w14:paraId="259FDD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545" w:type="dxa"/>
            <w:vAlign w:val="center"/>
          </w:tcPr>
          <w:p w14:paraId="1C39278C">
            <w:pPr>
              <w:pStyle w:val="23"/>
              <w:jc w:val="center"/>
              <w:rPr>
                <w:rFonts w:hint="eastAsia" w:ascii="宋体" w:eastAsia="宋体"/>
                <w:color w:val="auto"/>
                <w:lang w:val="en-US" w:eastAsia="zh-CN"/>
              </w:rPr>
            </w:pPr>
            <w:r>
              <w:rPr>
                <w:rFonts w:hint="eastAsia" w:ascii="宋体" w:eastAsia="宋体"/>
                <w:color w:val="auto"/>
                <w:lang w:val="en-US" w:eastAsia="zh-CN"/>
              </w:rPr>
              <w:t>1</w:t>
            </w:r>
          </w:p>
        </w:tc>
        <w:tc>
          <w:tcPr>
            <w:tcW w:w="1273" w:type="dxa"/>
            <w:vAlign w:val="center"/>
          </w:tcPr>
          <w:p w14:paraId="16FB8682">
            <w:pPr>
              <w:pStyle w:val="23"/>
              <w:jc w:val="center"/>
              <w:rPr>
                <w:rFonts w:hint="eastAsia" w:ascii="宋体" w:eastAsia="宋体"/>
                <w:color w:val="auto"/>
                <w:lang w:val="en-US" w:eastAsia="zh-CN"/>
              </w:rPr>
            </w:pPr>
            <w:r>
              <w:rPr>
                <w:rFonts w:hint="eastAsia" w:ascii="宋体" w:eastAsia="宋体"/>
                <w:color w:val="auto"/>
                <w:lang w:val="en-US" w:eastAsia="zh-CN"/>
              </w:rPr>
              <w:t>品种选择</w:t>
            </w:r>
          </w:p>
        </w:tc>
        <w:tc>
          <w:tcPr>
            <w:tcW w:w="790" w:type="dxa"/>
            <w:vAlign w:val="center"/>
          </w:tcPr>
          <w:p w14:paraId="30BABE70">
            <w:pPr>
              <w:pStyle w:val="23"/>
              <w:jc w:val="center"/>
              <w:rPr>
                <w:rFonts w:hint="eastAsia" w:ascii="宋体" w:eastAsia="宋体"/>
                <w:color w:val="auto"/>
                <w:lang w:val="en-US" w:eastAsia="zh-CN"/>
              </w:rPr>
            </w:pPr>
            <w:r>
              <w:rPr>
                <w:rFonts w:hint="eastAsia" w:ascii="宋体" w:eastAsia="宋体"/>
                <w:color w:val="auto"/>
                <w:lang w:val="en-US" w:eastAsia="zh-CN"/>
              </w:rPr>
              <w:t>1.1</w:t>
            </w:r>
          </w:p>
        </w:tc>
        <w:tc>
          <w:tcPr>
            <w:tcW w:w="2397" w:type="dxa"/>
            <w:vAlign w:val="center"/>
          </w:tcPr>
          <w:p w14:paraId="74EBD277">
            <w:pPr>
              <w:pStyle w:val="23"/>
              <w:jc w:val="center"/>
              <w:rPr>
                <w:rFonts w:hint="eastAsia" w:ascii="宋体" w:eastAsia="宋体"/>
                <w:color w:val="auto"/>
                <w:lang w:val="en-US" w:eastAsia="zh-CN"/>
              </w:rPr>
            </w:pPr>
            <w:r>
              <w:rPr>
                <w:rFonts w:hint="eastAsia" w:ascii="宋体" w:eastAsia="宋体"/>
                <w:color w:val="auto"/>
                <w:lang w:val="en-US" w:eastAsia="zh-CN"/>
              </w:rPr>
              <w:t>种苗可能带有病虫害，影响产品品质</w:t>
            </w:r>
          </w:p>
        </w:tc>
        <w:tc>
          <w:tcPr>
            <w:tcW w:w="930" w:type="dxa"/>
            <w:vAlign w:val="center"/>
          </w:tcPr>
          <w:p w14:paraId="7D08E5CC">
            <w:pPr>
              <w:pStyle w:val="23"/>
              <w:jc w:val="center"/>
              <w:rPr>
                <w:rFonts w:hint="eastAsia" w:ascii="宋体" w:eastAsia="宋体"/>
                <w:color w:val="auto"/>
                <w:lang w:val="en-US" w:eastAsia="zh-CN"/>
              </w:rPr>
            </w:pPr>
            <w:r>
              <w:rPr>
                <w:rFonts w:hint="eastAsia" w:ascii="宋体" w:eastAsia="宋体"/>
                <w:color w:val="auto"/>
                <w:lang w:val="en-US" w:eastAsia="zh-CN"/>
              </w:rPr>
              <w:t>操作风险</w:t>
            </w:r>
          </w:p>
        </w:tc>
        <w:tc>
          <w:tcPr>
            <w:tcW w:w="963" w:type="dxa"/>
            <w:vAlign w:val="center"/>
          </w:tcPr>
          <w:p w14:paraId="79A8B631">
            <w:pPr>
              <w:pStyle w:val="23"/>
              <w:jc w:val="center"/>
              <w:rPr>
                <w:rFonts w:hint="eastAsia" w:ascii="宋体" w:eastAsia="宋体"/>
                <w:color w:val="auto"/>
                <w:lang w:val="en-US" w:eastAsia="zh-CN"/>
              </w:rPr>
            </w:pPr>
            <w:r>
              <w:rPr>
                <w:rFonts w:hint="eastAsia" w:ascii="宋体" w:eastAsia="宋体"/>
                <w:color w:val="auto"/>
                <w:lang w:val="en-US" w:eastAsia="zh-CN"/>
              </w:rPr>
              <w:t>Ⅱ级</w:t>
            </w:r>
          </w:p>
        </w:tc>
        <w:tc>
          <w:tcPr>
            <w:tcW w:w="1400" w:type="dxa"/>
            <w:vAlign w:val="center"/>
          </w:tcPr>
          <w:p w14:paraId="799908D7">
            <w:pPr>
              <w:pStyle w:val="23"/>
              <w:jc w:val="center"/>
              <w:rPr>
                <w:rFonts w:hint="eastAsia" w:ascii="宋体" w:eastAsia="宋体"/>
                <w:color w:val="auto"/>
                <w:lang w:val="en-US" w:eastAsia="zh-CN"/>
              </w:rPr>
            </w:pPr>
            <w:r>
              <w:rPr>
                <w:rFonts w:hint="eastAsia" w:ascii="宋体" w:eastAsia="宋体"/>
                <w:color w:val="auto"/>
                <w:lang w:val="en-US" w:eastAsia="zh-CN"/>
              </w:rPr>
              <w:t>及时取得育苗监控记录</w:t>
            </w:r>
          </w:p>
        </w:tc>
      </w:tr>
      <w:tr w14:paraId="3616BE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545" w:type="dxa"/>
            <w:vAlign w:val="center"/>
          </w:tcPr>
          <w:p w14:paraId="5A53933E">
            <w:pPr>
              <w:pStyle w:val="23"/>
              <w:jc w:val="center"/>
              <w:rPr>
                <w:rFonts w:hint="eastAsia" w:ascii="宋体" w:eastAsia="宋体"/>
                <w:color w:val="auto"/>
                <w:lang w:val="en-US" w:eastAsia="zh-CN"/>
              </w:rPr>
            </w:pPr>
            <w:r>
              <w:rPr>
                <w:rFonts w:hint="eastAsia" w:ascii="宋体" w:eastAsia="宋体"/>
                <w:color w:val="auto"/>
                <w:lang w:val="en-US" w:eastAsia="zh-CN"/>
              </w:rPr>
              <w:t>2</w:t>
            </w:r>
          </w:p>
        </w:tc>
        <w:tc>
          <w:tcPr>
            <w:tcW w:w="1273" w:type="dxa"/>
            <w:vAlign w:val="center"/>
          </w:tcPr>
          <w:p w14:paraId="1C3F4286">
            <w:pPr>
              <w:pStyle w:val="23"/>
              <w:jc w:val="center"/>
              <w:rPr>
                <w:rFonts w:hint="eastAsia" w:ascii="宋体" w:eastAsia="宋体"/>
                <w:color w:val="auto"/>
                <w:lang w:val="en-US" w:eastAsia="zh-CN"/>
              </w:rPr>
            </w:pPr>
            <w:r>
              <w:rPr>
                <w:rFonts w:hint="eastAsia" w:ascii="宋体" w:eastAsia="宋体"/>
                <w:color w:val="auto"/>
                <w:lang w:val="en-US" w:eastAsia="zh-CN"/>
              </w:rPr>
              <w:t>苹果种植环境</w:t>
            </w:r>
          </w:p>
        </w:tc>
        <w:tc>
          <w:tcPr>
            <w:tcW w:w="790" w:type="dxa"/>
            <w:vAlign w:val="center"/>
          </w:tcPr>
          <w:p w14:paraId="112F1720">
            <w:pPr>
              <w:pStyle w:val="23"/>
              <w:jc w:val="center"/>
              <w:rPr>
                <w:rFonts w:hint="eastAsia" w:ascii="宋体" w:eastAsia="宋体"/>
                <w:color w:val="auto"/>
                <w:lang w:val="en-US" w:eastAsia="zh-CN"/>
              </w:rPr>
            </w:pPr>
            <w:r>
              <w:rPr>
                <w:rFonts w:hint="eastAsia" w:ascii="宋体" w:eastAsia="宋体"/>
                <w:color w:val="auto"/>
                <w:lang w:val="en-US" w:eastAsia="zh-CN"/>
              </w:rPr>
              <w:t>2.1</w:t>
            </w:r>
          </w:p>
        </w:tc>
        <w:tc>
          <w:tcPr>
            <w:tcW w:w="2397" w:type="dxa"/>
            <w:vAlign w:val="center"/>
          </w:tcPr>
          <w:p w14:paraId="1893EB9A">
            <w:pPr>
              <w:pStyle w:val="23"/>
              <w:jc w:val="center"/>
              <w:rPr>
                <w:rFonts w:hint="eastAsia" w:ascii="宋体" w:eastAsia="宋体"/>
                <w:color w:val="auto"/>
                <w:lang w:val="en-US" w:eastAsia="zh-CN"/>
              </w:rPr>
            </w:pPr>
            <w:r>
              <w:rPr>
                <w:rFonts w:hint="eastAsia" w:ascii="宋体" w:eastAsia="宋体"/>
                <w:color w:val="auto"/>
                <w:lang w:val="en-US" w:eastAsia="zh-CN"/>
              </w:rPr>
              <w:t>土壤质量不达标可能导致产品农残、重金属等超标</w:t>
            </w:r>
          </w:p>
        </w:tc>
        <w:tc>
          <w:tcPr>
            <w:tcW w:w="930" w:type="dxa"/>
            <w:vAlign w:val="center"/>
          </w:tcPr>
          <w:p w14:paraId="29AED8A8">
            <w:pPr>
              <w:pStyle w:val="23"/>
              <w:jc w:val="center"/>
              <w:rPr>
                <w:rFonts w:hint="eastAsia" w:ascii="宋体" w:eastAsia="宋体"/>
                <w:color w:val="auto"/>
                <w:lang w:val="en-US" w:eastAsia="zh-CN"/>
              </w:rPr>
            </w:pPr>
            <w:r>
              <w:rPr>
                <w:rFonts w:hint="eastAsia" w:ascii="宋体" w:eastAsia="宋体"/>
                <w:color w:val="auto"/>
                <w:lang w:val="en-US" w:eastAsia="zh-CN"/>
              </w:rPr>
              <w:t>操作风险</w:t>
            </w:r>
          </w:p>
        </w:tc>
        <w:tc>
          <w:tcPr>
            <w:tcW w:w="963" w:type="dxa"/>
            <w:vAlign w:val="center"/>
          </w:tcPr>
          <w:p w14:paraId="25C7DDEC">
            <w:pPr>
              <w:pStyle w:val="23"/>
              <w:jc w:val="center"/>
              <w:rPr>
                <w:rFonts w:hint="eastAsia" w:ascii="宋体" w:eastAsia="宋体"/>
                <w:color w:val="auto"/>
                <w:lang w:val="en-US" w:eastAsia="zh-CN"/>
              </w:rPr>
            </w:pPr>
            <w:r>
              <w:rPr>
                <w:rFonts w:hint="eastAsia" w:ascii="宋体" w:eastAsia="宋体"/>
                <w:color w:val="auto"/>
                <w:lang w:val="en-US" w:eastAsia="zh-CN"/>
              </w:rPr>
              <w:t>Ⅰ级</w:t>
            </w:r>
          </w:p>
        </w:tc>
        <w:tc>
          <w:tcPr>
            <w:tcW w:w="1400" w:type="dxa"/>
            <w:vAlign w:val="center"/>
          </w:tcPr>
          <w:p w14:paraId="0C1914F8">
            <w:pPr>
              <w:pStyle w:val="23"/>
              <w:jc w:val="center"/>
              <w:rPr>
                <w:rFonts w:hint="eastAsia" w:ascii="宋体" w:eastAsia="宋体"/>
                <w:color w:val="auto"/>
                <w:lang w:val="en-US" w:eastAsia="zh-CN"/>
              </w:rPr>
            </w:pPr>
            <w:r>
              <w:rPr>
                <w:rFonts w:hint="eastAsia" w:ascii="宋体" w:eastAsia="宋体"/>
                <w:color w:val="auto"/>
                <w:lang w:val="en-US" w:eastAsia="zh-CN"/>
              </w:rPr>
              <w:t>对土壤进行抽检</w:t>
            </w:r>
          </w:p>
        </w:tc>
      </w:tr>
      <w:tr w14:paraId="4E7FC3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545" w:type="dxa"/>
            <w:vAlign w:val="center"/>
          </w:tcPr>
          <w:p w14:paraId="41895FAE">
            <w:pPr>
              <w:pStyle w:val="23"/>
              <w:jc w:val="center"/>
              <w:rPr>
                <w:rFonts w:hint="eastAsia" w:ascii="宋体" w:eastAsia="宋体"/>
                <w:color w:val="auto"/>
                <w:lang w:val="en-US" w:eastAsia="zh-CN"/>
              </w:rPr>
            </w:pPr>
            <w:r>
              <w:rPr>
                <w:rFonts w:hint="eastAsia" w:ascii="宋体" w:eastAsia="宋体"/>
                <w:color w:val="auto"/>
                <w:lang w:val="en-US" w:eastAsia="zh-CN"/>
              </w:rPr>
              <w:t>3</w:t>
            </w:r>
          </w:p>
        </w:tc>
        <w:tc>
          <w:tcPr>
            <w:tcW w:w="1273" w:type="dxa"/>
            <w:vAlign w:val="center"/>
          </w:tcPr>
          <w:p w14:paraId="50B9D6AF">
            <w:pPr>
              <w:pStyle w:val="23"/>
              <w:jc w:val="center"/>
              <w:rPr>
                <w:rFonts w:hint="eastAsia" w:ascii="宋体" w:eastAsia="宋体"/>
                <w:color w:val="auto"/>
                <w:lang w:val="en-US" w:eastAsia="zh-CN"/>
              </w:rPr>
            </w:pPr>
            <w:r>
              <w:rPr>
                <w:rFonts w:hint="eastAsia" w:ascii="宋体" w:eastAsia="宋体"/>
                <w:color w:val="auto"/>
                <w:lang w:val="en-US" w:eastAsia="zh-CN"/>
              </w:rPr>
              <w:t>灌溉施肥</w:t>
            </w:r>
          </w:p>
        </w:tc>
        <w:tc>
          <w:tcPr>
            <w:tcW w:w="790" w:type="dxa"/>
            <w:vAlign w:val="center"/>
          </w:tcPr>
          <w:p w14:paraId="029B663E">
            <w:pPr>
              <w:pStyle w:val="23"/>
              <w:jc w:val="center"/>
              <w:rPr>
                <w:rFonts w:hint="eastAsia" w:ascii="宋体" w:eastAsia="宋体"/>
                <w:color w:val="auto"/>
                <w:lang w:val="en-US" w:eastAsia="zh-CN"/>
              </w:rPr>
            </w:pPr>
            <w:r>
              <w:rPr>
                <w:rFonts w:hint="eastAsia" w:ascii="宋体" w:eastAsia="宋体"/>
                <w:color w:val="auto"/>
                <w:lang w:val="en-US" w:eastAsia="zh-CN"/>
              </w:rPr>
              <w:t>3.1</w:t>
            </w:r>
          </w:p>
        </w:tc>
        <w:tc>
          <w:tcPr>
            <w:tcW w:w="2397" w:type="dxa"/>
            <w:vAlign w:val="center"/>
          </w:tcPr>
          <w:p w14:paraId="4E5A5FE2">
            <w:pPr>
              <w:pStyle w:val="23"/>
              <w:jc w:val="center"/>
              <w:rPr>
                <w:rFonts w:hint="eastAsia" w:ascii="宋体" w:eastAsia="宋体"/>
                <w:color w:val="auto"/>
                <w:lang w:val="en-US" w:eastAsia="zh-CN"/>
              </w:rPr>
            </w:pPr>
            <w:r>
              <w:rPr>
                <w:rFonts w:hint="eastAsia" w:ascii="宋体" w:eastAsia="宋体"/>
                <w:color w:val="auto"/>
                <w:lang w:val="en-US" w:eastAsia="zh-CN"/>
              </w:rPr>
              <w:t>灌溉用水不达标可能导致产品农残、重金属等超标</w:t>
            </w:r>
          </w:p>
        </w:tc>
        <w:tc>
          <w:tcPr>
            <w:tcW w:w="930" w:type="dxa"/>
            <w:vAlign w:val="center"/>
          </w:tcPr>
          <w:p w14:paraId="3AA86488">
            <w:pPr>
              <w:pStyle w:val="23"/>
              <w:jc w:val="center"/>
              <w:rPr>
                <w:rFonts w:hint="eastAsia" w:ascii="宋体" w:eastAsia="宋体"/>
                <w:color w:val="auto"/>
                <w:lang w:val="en-US" w:eastAsia="zh-CN"/>
              </w:rPr>
            </w:pPr>
            <w:r>
              <w:rPr>
                <w:rFonts w:hint="eastAsia" w:ascii="宋体" w:eastAsia="宋体"/>
                <w:color w:val="auto"/>
                <w:lang w:val="en-US" w:eastAsia="zh-CN"/>
              </w:rPr>
              <w:t>操作风险</w:t>
            </w:r>
          </w:p>
        </w:tc>
        <w:tc>
          <w:tcPr>
            <w:tcW w:w="963" w:type="dxa"/>
            <w:vAlign w:val="center"/>
          </w:tcPr>
          <w:p w14:paraId="5B378276">
            <w:pPr>
              <w:pStyle w:val="23"/>
              <w:jc w:val="center"/>
              <w:rPr>
                <w:rFonts w:hint="eastAsia" w:ascii="宋体" w:eastAsia="宋体"/>
                <w:color w:val="auto"/>
                <w:lang w:val="en-US" w:eastAsia="zh-CN"/>
              </w:rPr>
            </w:pPr>
            <w:r>
              <w:rPr>
                <w:rFonts w:hint="eastAsia" w:ascii="宋体" w:eastAsia="宋体"/>
                <w:color w:val="auto"/>
                <w:lang w:val="en-US" w:eastAsia="zh-CN"/>
              </w:rPr>
              <w:t>Ⅰ级</w:t>
            </w:r>
          </w:p>
        </w:tc>
        <w:tc>
          <w:tcPr>
            <w:tcW w:w="1400" w:type="dxa"/>
            <w:vAlign w:val="center"/>
          </w:tcPr>
          <w:p w14:paraId="290EBC08">
            <w:pPr>
              <w:pStyle w:val="23"/>
              <w:jc w:val="center"/>
              <w:rPr>
                <w:rFonts w:hint="eastAsia" w:ascii="宋体" w:eastAsia="宋体"/>
                <w:color w:val="auto"/>
                <w:lang w:val="en-US" w:eastAsia="zh-CN"/>
              </w:rPr>
            </w:pPr>
            <w:r>
              <w:rPr>
                <w:rFonts w:hint="eastAsia" w:ascii="宋体" w:eastAsia="宋体"/>
                <w:color w:val="auto"/>
                <w:lang w:val="en-US" w:eastAsia="zh-CN"/>
              </w:rPr>
              <w:t>对灌溉用水进行抽检</w:t>
            </w:r>
          </w:p>
        </w:tc>
      </w:tr>
      <w:tr w14:paraId="7149D0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545" w:type="dxa"/>
            <w:vMerge w:val="restart"/>
            <w:vAlign w:val="center"/>
          </w:tcPr>
          <w:p w14:paraId="544779B6">
            <w:pPr>
              <w:pStyle w:val="23"/>
              <w:jc w:val="center"/>
              <w:rPr>
                <w:rFonts w:hint="eastAsia" w:ascii="宋体" w:eastAsia="宋体"/>
                <w:color w:val="auto"/>
                <w:lang w:val="en-US" w:eastAsia="zh-CN"/>
              </w:rPr>
            </w:pPr>
            <w:r>
              <w:rPr>
                <w:rFonts w:hint="eastAsia" w:ascii="宋体" w:eastAsia="宋体"/>
                <w:color w:val="auto"/>
                <w:lang w:val="en-US" w:eastAsia="zh-CN"/>
              </w:rPr>
              <w:t>4</w:t>
            </w:r>
          </w:p>
        </w:tc>
        <w:tc>
          <w:tcPr>
            <w:tcW w:w="1273" w:type="dxa"/>
            <w:vMerge w:val="restart"/>
            <w:vAlign w:val="center"/>
          </w:tcPr>
          <w:p w14:paraId="27E10E56">
            <w:pPr>
              <w:pStyle w:val="23"/>
              <w:jc w:val="center"/>
              <w:rPr>
                <w:rFonts w:hint="eastAsia" w:ascii="宋体" w:eastAsia="宋体"/>
                <w:color w:val="auto"/>
                <w:lang w:val="en-US" w:eastAsia="zh-CN"/>
              </w:rPr>
            </w:pPr>
            <w:r>
              <w:rPr>
                <w:rFonts w:hint="eastAsia" w:ascii="宋体" w:eastAsia="宋体"/>
                <w:color w:val="auto"/>
                <w:lang w:val="en-US" w:eastAsia="zh-CN"/>
              </w:rPr>
              <w:t>农药选择与使用</w:t>
            </w:r>
          </w:p>
        </w:tc>
        <w:tc>
          <w:tcPr>
            <w:tcW w:w="790" w:type="dxa"/>
            <w:vAlign w:val="center"/>
          </w:tcPr>
          <w:p w14:paraId="301BCE3F">
            <w:pPr>
              <w:pStyle w:val="23"/>
              <w:jc w:val="center"/>
              <w:rPr>
                <w:rFonts w:hint="eastAsia" w:ascii="宋体" w:eastAsia="宋体"/>
                <w:color w:val="auto"/>
                <w:lang w:val="en-US" w:eastAsia="zh-CN"/>
              </w:rPr>
            </w:pPr>
            <w:r>
              <w:rPr>
                <w:rFonts w:hint="eastAsia" w:ascii="宋体" w:eastAsia="宋体"/>
                <w:color w:val="auto"/>
                <w:lang w:val="en-US" w:eastAsia="zh-CN"/>
              </w:rPr>
              <w:t>4.1</w:t>
            </w:r>
          </w:p>
        </w:tc>
        <w:tc>
          <w:tcPr>
            <w:tcW w:w="2397" w:type="dxa"/>
            <w:vAlign w:val="center"/>
          </w:tcPr>
          <w:p w14:paraId="0A8B5BB3">
            <w:pPr>
              <w:pStyle w:val="23"/>
              <w:jc w:val="center"/>
              <w:rPr>
                <w:rFonts w:hint="eastAsia" w:ascii="宋体" w:eastAsia="宋体"/>
                <w:color w:val="auto"/>
                <w:lang w:val="en-US" w:eastAsia="zh-CN"/>
              </w:rPr>
            </w:pPr>
            <w:r>
              <w:rPr>
                <w:rFonts w:hint="eastAsia" w:ascii="宋体" w:eastAsia="宋体"/>
                <w:color w:val="auto"/>
                <w:lang w:val="en-US" w:eastAsia="zh-CN"/>
              </w:rPr>
              <w:t>使用禁用的农药，导致产品农残超标</w:t>
            </w:r>
          </w:p>
        </w:tc>
        <w:tc>
          <w:tcPr>
            <w:tcW w:w="930" w:type="dxa"/>
            <w:vAlign w:val="center"/>
          </w:tcPr>
          <w:p w14:paraId="025D38A9">
            <w:pPr>
              <w:pStyle w:val="23"/>
              <w:jc w:val="center"/>
              <w:rPr>
                <w:rFonts w:hint="eastAsia" w:ascii="宋体" w:eastAsia="宋体"/>
                <w:color w:val="auto"/>
                <w:lang w:val="en-US" w:eastAsia="zh-CN"/>
              </w:rPr>
            </w:pPr>
            <w:r>
              <w:rPr>
                <w:rFonts w:hint="eastAsia" w:ascii="宋体" w:eastAsia="宋体"/>
                <w:color w:val="auto"/>
                <w:lang w:val="en-US" w:eastAsia="zh-CN"/>
              </w:rPr>
              <w:t>法规风险</w:t>
            </w:r>
          </w:p>
        </w:tc>
        <w:tc>
          <w:tcPr>
            <w:tcW w:w="963" w:type="dxa"/>
            <w:vAlign w:val="center"/>
          </w:tcPr>
          <w:p w14:paraId="0CB45CE0">
            <w:pPr>
              <w:pStyle w:val="23"/>
              <w:jc w:val="center"/>
              <w:rPr>
                <w:rFonts w:hint="eastAsia" w:ascii="宋体" w:eastAsia="宋体"/>
                <w:color w:val="auto"/>
                <w:lang w:val="en-US" w:eastAsia="zh-CN"/>
              </w:rPr>
            </w:pPr>
            <w:r>
              <w:rPr>
                <w:rFonts w:hint="eastAsia" w:ascii="宋体" w:eastAsia="宋体"/>
                <w:color w:val="auto"/>
                <w:lang w:val="en-US" w:eastAsia="zh-CN"/>
              </w:rPr>
              <w:t>Ⅰ级</w:t>
            </w:r>
          </w:p>
        </w:tc>
        <w:tc>
          <w:tcPr>
            <w:tcW w:w="1400" w:type="dxa"/>
            <w:vAlign w:val="center"/>
          </w:tcPr>
          <w:p w14:paraId="35B4C199">
            <w:pPr>
              <w:pStyle w:val="23"/>
              <w:jc w:val="center"/>
              <w:rPr>
                <w:rFonts w:hint="eastAsia" w:ascii="宋体" w:eastAsia="宋体"/>
                <w:color w:val="auto"/>
                <w:lang w:val="en-US" w:eastAsia="zh-CN"/>
              </w:rPr>
            </w:pPr>
            <w:r>
              <w:rPr>
                <w:rFonts w:hint="eastAsia" w:ascii="宋体" w:eastAsia="宋体"/>
                <w:color w:val="auto"/>
                <w:lang w:val="en-US" w:eastAsia="zh-CN"/>
              </w:rPr>
              <w:t>制定允许使用农药清单，对农户进行培训</w:t>
            </w:r>
          </w:p>
        </w:tc>
      </w:tr>
      <w:tr w14:paraId="561869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545" w:type="dxa"/>
            <w:vMerge w:val="continue"/>
            <w:vAlign w:val="center"/>
          </w:tcPr>
          <w:p w14:paraId="61407E75">
            <w:pPr>
              <w:pStyle w:val="23"/>
              <w:jc w:val="center"/>
              <w:rPr>
                <w:rFonts w:hint="eastAsia" w:ascii="宋体" w:eastAsia="宋体"/>
                <w:color w:val="auto"/>
                <w:lang w:val="en-US" w:eastAsia="zh-CN"/>
              </w:rPr>
            </w:pPr>
          </w:p>
        </w:tc>
        <w:tc>
          <w:tcPr>
            <w:tcW w:w="1273" w:type="dxa"/>
            <w:vMerge w:val="continue"/>
            <w:vAlign w:val="center"/>
          </w:tcPr>
          <w:p w14:paraId="3BE93AA8">
            <w:pPr>
              <w:pStyle w:val="23"/>
              <w:jc w:val="center"/>
              <w:rPr>
                <w:rFonts w:hint="eastAsia" w:ascii="宋体" w:eastAsia="宋体"/>
                <w:color w:val="auto"/>
                <w:lang w:val="en-US" w:eastAsia="zh-CN"/>
              </w:rPr>
            </w:pPr>
          </w:p>
        </w:tc>
        <w:tc>
          <w:tcPr>
            <w:tcW w:w="790" w:type="dxa"/>
            <w:vAlign w:val="center"/>
          </w:tcPr>
          <w:p w14:paraId="01BCB747">
            <w:pPr>
              <w:pStyle w:val="23"/>
              <w:jc w:val="center"/>
              <w:rPr>
                <w:rFonts w:hint="eastAsia" w:ascii="宋体" w:eastAsia="宋体"/>
                <w:color w:val="auto"/>
                <w:lang w:val="en-US" w:eastAsia="zh-CN"/>
              </w:rPr>
            </w:pPr>
            <w:r>
              <w:rPr>
                <w:rFonts w:hint="eastAsia" w:ascii="宋体" w:eastAsia="宋体"/>
                <w:color w:val="auto"/>
                <w:lang w:val="en-US" w:eastAsia="zh-CN"/>
              </w:rPr>
              <w:t>4.2</w:t>
            </w:r>
          </w:p>
        </w:tc>
        <w:tc>
          <w:tcPr>
            <w:tcW w:w="2397" w:type="dxa"/>
            <w:vAlign w:val="center"/>
          </w:tcPr>
          <w:p w14:paraId="03793375">
            <w:pPr>
              <w:pStyle w:val="23"/>
              <w:jc w:val="center"/>
              <w:rPr>
                <w:rFonts w:hint="eastAsia" w:ascii="宋体" w:eastAsia="宋体"/>
                <w:color w:val="auto"/>
                <w:lang w:val="en-US" w:eastAsia="zh-CN"/>
              </w:rPr>
            </w:pPr>
            <w:r>
              <w:rPr>
                <w:rFonts w:hint="eastAsia" w:ascii="宋体" w:eastAsia="宋体"/>
                <w:color w:val="auto"/>
                <w:lang w:val="en-US" w:eastAsia="zh-CN"/>
              </w:rPr>
              <w:t>喷药后未遵守安全间隔期，导致产品农残超标</w:t>
            </w:r>
          </w:p>
        </w:tc>
        <w:tc>
          <w:tcPr>
            <w:tcW w:w="930" w:type="dxa"/>
            <w:vAlign w:val="center"/>
          </w:tcPr>
          <w:p w14:paraId="5D44EFFA">
            <w:pPr>
              <w:pStyle w:val="23"/>
              <w:jc w:val="center"/>
              <w:rPr>
                <w:rFonts w:hint="eastAsia" w:ascii="宋体" w:eastAsia="宋体"/>
                <w:color w:val="auto"/>
                <w:lang w:val="en-US" w:eastAsia="zh-CN"/>
              </w:rPr>
            </w:pPr>
            <w:r>
              <w:rPr>
                <w:rFonts w:hint="eastAsia" w:ascii="宋体" w:eastAsia="宋体"/>
                <w:color w:val="auto"/>
                <w:lang w:val="en-US" w:eastAsia="zh-CN"/>
              </w:rPr>
              <w:t>操作风险</w:t>
            </w:r>
          </w:p>
        </w:tc>
        <w:tc>
          <w:tcPr>
            <w:tcW w:w="963" w:type="dxa"/>
            <w:vAlign w:val="center"/>
          </w:tcPr>
          <w:p w14:paraId="6E4955A7">
            <w:pPr>
              <w:pStyle w:val="23"/>
              <w:jc w:val="center"/>
              <w:rPr>
                <w:rFonts w:hint="eastAsia" w:ascii="宋体" w:eastAsia="宋体"/>
                <w:color w:val="auto"/>
                <w:lang w:val="en-US" w:eastAsia="zh-CN"/>
              </w:rPr>
            </w:pPr>
            <w:r>
              <w:rPr>
                <w:rFonts w:hint="eastAsia" w:ascii="宋体" w:eastAsia="宋体"/>
                <w:color w:val="auto"/>
                <w:lang w:val="en-US" w:eastAsia="zh-CN"/>
              </w:rPr>
              <w:t>Ⅰ级</w:t>
            </w:r>
          </w:p>
        </w:tc>
        <w:tc>
          <w:tcPr>
            <w:tcW w:w="1400" w:type="dxa"/>
            <w:vAlign w:val="center"/>
          </w:tcPr>
          <w:p w14:paraId="4E59429B">
            <w:pPr>
              <w:pStyle w:val="23"/>
              <w:jc w:val="center"/>
              <w:rPr>
                <w:rFonts w:hint="eastAsia" w:ascii="宋体" w:eastAsia="宋体"/>
                <w:color w:val="auto"/>
                <w:lang w:val="en-US" w:eastAsia="zh-CN"/>
              </w:rPr>
            </w:pPr>
            <w:r>
              <w:rPr>
                <w:rFonts w:hint="eastAsia" w:ascii="宋体" w:eastAsia="宋体"/>
                <w:color w:val="auto"/>
                <w:lang w:val="en-US" w:eastAsia="zh-CN"/>
              </w:rPr>
              <w:t>加强田间管理的巡查力度、对幼苗、果实进行抽样、送检</w:t>
            </w:r>
          </w:p>
        </w:tc>
      </w:tr>
      <w:tr w14:paraId="607572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545" w:type="dxa"/>
            <w:vMerge w:val="continue"/>
            <w:vAlign w:val="center"/>
          </w:tcPr>
          <w:p w14:paraId="2CF7A8DA">
            <w:pPr>
              <w:pStyle w:val="23"/>
              <w:jc w:val="center"/>
              <w:rPr>
                <w:rFonts w:hint="eastAsia" w:ascii="宋体" w:eastAsia="宋体"/>
                <w:color w:val="auto"/>
                <w:lang w:val="en-US" w:eastAsia="zh-CN"/>
              </w:rPr>
            </w:pPr>
          </w:p>
        </w:tc>
        <w:tc>
          <w:tcPr>
            <w:tcW w:w="1273" w:type="dxa"/>
            <w:vMerge w:val="continue"/>
            <w:vAlign w:val="center"/>
          </w:tcPr>
          <w:p w14:paraId="50DE538D">
            <w:pPr>
              <w:pStyle w:val="23"/>
              <w:jc w:val="center"/>
              <w:rPr>
                <w:rFonts w:hint="eastAsia" w:ascii="宋体" w:eastAsia="宋体"/>
                <w:color w:val="auto"/>
                <w:lang w:val="en-US" w:eastAsia="zh-CN"/>
              </w:rPr>
            </w:pPr>
          </w:p>
        </w:tc>
        <w:tc>
          <w:tcPr>
            <w:tcW w:w="790" w:type="dxa"/>
            <w:vAlign w:val="center"/>
          </w:tcPr>
          <w:p w14:paraId="07D9CD04">
            <w:pPr>
              <w:pStyle w:val="23"/>
              <w:jc w:val="center"/>
              <w:rPr>
                <w:rFonts w:hint="eastAsia" w:ascii="宋体" w:eastAsia="宋体"/>
                <w:color w:val="auto"/>
                <w:lang w:val="en-US" w:eastAsia="zh-CN"/>
              </w:rPr>
            </w:pPr>
            <w:r>
              <w:rPr>
                <w:rFonts w:hint="eastAsia" w:ascii="宋体" w:eastAsia="宋体"/>
                <w:color w:val="auto"/>
                <w:lang w:val="en-US" w:eastAsia="zh-CN"/>
              </w:rPr>
              <w:t>4.3</w:t>
            </w:r>
          </w:p>
        </w:tc>
        <w:tc>
          <w:tcPr>
            <w:tcW w:w="2397" w:type="dxa"/>
            <w:vAlign w:val="center"/>
          </w:tcPr>
          <w:p w14:paraId="7AD346B3">
            <w:pPr>
              <w:pStyle w:val="23"/>
              <w:jc w:val="center"/>
              <w:rPr>
                <w:rFonts w:hint="eastAsia" w:ascii="宋体" w:eastAsia="宋体"/>
                <w:color w:val="auto"/>
                <w:lang w:val="en-US" w:eastAsia="zh-CN"/>
              </w:rPr>
            </w:pPr>
            <w:r>
              <w:rPr>
                <w:rFonts w:hint="eastAsia" w:ascii="宋体" w:eastAsia="宋体"/>
                <w:color w:val="auto"/>
                <w:lang w:val="en-US" w:eastAsia="zh-CN"/>
              </w:rPr>
              <w:t>农药稀释比例不符合农药使用准则</w:t>
            </w:r>
          </w:p>
        </w:tc>
        <w:tc>
          <w:tcPr>
            <w:tcW w:w="930" w:type="dxa"/>
            <w:vAlign w:val="center"/>
          </w:tcPr>
          <w:p w14:paraId="76A07CDA">
            <w:pPr>
              <w:pStyle w:val="23"/>
              <w:jc w:val="center"/>
              <w:rPr>
                <w:rFonts w:hint="eastAsia" w:ascii="宋体" w:eastAsia="宋体"/>
                <w:color w:val="auto"/>
                <w:lang w:val="en-US" w:eastAsia="zh-CN"/>
              </w:rPr>
            </w:pPr>
            <w:r>
              <w:rPr>
                <w:rFonts w:hint="eastAsia" w:ascii="宋体" w:eastAsia="宋体"/>
                <w:color w:val="auto"/>
                <w:lang w:val="en-US" w:eastAsia="zh-CN"/>
              </w:rPr>
              <w:t>操作风险</w:t>
            </w:r>
          </w:p>
        </w:tc>
        <w:tc>
          <w:tcPr>
            <w:tcW w:w="963" w:type="dxa"/>
            <w:vAlign w:val="center"/>
          </w:tcPr>
          <w:p w14:paraId="6EFEB708">
            <w:pPr>
              <w:pStyle w:val="23"/>
              <w:jc w:val="center"/>
              <w:rPr>
                <w:rFonts w:hint="eastAsia" w:ascii="宋体" w:eastAsia="宋体"/>
                <w:color w:val="auto"/>
                <w:lang w:val="en-US" w:eastAsia="zh-CN"/>
              </w:rPr>
            </w:pPr>
            <w:r>
              <w:rPr>
                <w:rFonts w:hint="eastAsia" w:ascii="宋体" w:eastAsia="宋体"/>
                <w:color w:val="auto"/>
                <w:lang w:val="en-US" w:eastAsia="zh-CN"/>
              </w:rPr>
              <w:t>Ⅱ级</w:t>
            </w:r>
          </w:p>
        </w:tc>
        <w:tc>
          <w:tcPr>
            <w:tcW w:w="1400" w:type="dxa"/>
            <w:vAlign w:val="center"/>
          </w:tcPr>
          <w:p w14:paraId="6EAE6562">
            <w:pPr>
              <w:pStyle w:val="23"/>
              <w:jc w:val="center"/>
              <w:rPr>
                <w:rFonts w:hint="eastAsia" w:ascii="宋体" w:eastAsia="宋体"/>
                <w:color w:val="auto"/>
                <w:lang w:val="en-US" w:eastAsia="zh-CN"/>
              </w:rPr>
            </w:pPr>
            <w:r>
              <w:rPr>
                <w:rFonts w:hint="eastAsia" w:ascii="宋体" w:eastAsia="宋体"/>
                <w:color w:val="auto"/>
                <w:lang w:val="en-US" w:eastAsia="zh-CN"/>
              </w:rPr>
              <w:t>加强田间管理的巡查，对幼苗、果实进行抽样、送检</w:t>
            </w:r>
          </w:p>
        </w:tc>
      </w:tr>
      <w:tr w14:paraId="54BB9E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545" w:type="dxa"/>
            <w:vMerge w:val="continue"/>
            <w:vAlign w:val="center"/>
          </w:tcPr>
          <w:p w14:paraId="64227AAB">
            <w:pPr>
              <w:pStyle w:val="23"/>
              <w:jc w:val="center"/>
              <w:rPr>
                <w:rFonts w:hint="eastAsia" w:ascii="宋体" w:eastAsia="宋体"/>
                <w:color w:val="auto"/>
                <w:lang w:val="en-US" w:eastAsia="zh-CN"/>
              </w:rPr>
            </w:pPr>
          </w:p>
        </w:tc>
        <w:tc>
          <w:tcPr>
            <w:tcW w:w="1273" w:type="dxa"/>
            <w:vMerge w:val="continue"/>
            <w:vAlign w:val="center"/>
          </w:tcPr>
          <w:p w14:paraId="1F67C9C9">
            <w:pPr>
              <w:pStyle w:val="23"/>
              <w:jc w:val="center"/>
              <w:rPr>
                <w:rFonts w:hint="eastAsia" w:ascii="宋体" w:eastAsia="宋体"/>
                <w:color w:val="auto"/>
                <w:lang w:val="en-US" w:eastAsia="zh-CN"/>
              </w:rPr>
            </w:pPr>
          </w:p>
        </w:tc>
        <w:tc>
          <w:tcPr>
            <w:tcW w:w="790" w:type="dxa"/>
            <w:shd w:val="clear" w:color="auto" w:fill="auto"/>
            <w:vAlign w:val="center"/>
          </w:tcPr>
          <w:p w14:paraId="5E1CEB3B">
            <w:pPr>
              <w:pStyle w:val="23"/>
              <w:jc w:val="center"/>
              <w:rPr>
                <w:rFonts w:hint="eastAsia" w:ascii="宋体" w:eastAsia="宋体"/>
                <w:color w:val="auto"/>
                <w:lang w:val="en-US" w:eastAsia="en-US"/>
              </w:rPr>
            </w:pPr>
            <w:r>
              <w:rPr>
                <w:rFonts w:hint="eastAsia" w:ascii="宋体" w:eastAsia="宋体"/>
                <w:color w:val="auto"/>
                <w:lang w:val="en-US" w:eastAsia="zh-CN"/>
              </w:rPr>
              <w:t>4.4</w:t>
            </w:r>
          </w:p>
        </w:tc>
        <w:tc>
          <w:tcPr>
            <w:tcW w:w="2397" w:type="dxa"/>
            <w:shd w:val="clear" w:color="auto" w:fill="auto"/>
            <w:vAlign w:val="center"/>
          </w:tcPr>
          <w:p w14:paraId="7F077EE3">
            <w:pPr>
              <w:pStyle w:val="23"/>
              <w:jc w:val="center"/>
              <w:rPr>
                <w:rFonts w:hint="eastAsia" w:ascii="宋体" w:eastAsia="宋体"/>
                <w:color w:val="auto"/>
                <w:lang w:val="en-US" w:eastAsia="en-US"/>
              </w:rPr>
            </w:pPr>
            <w:r>
              <w:rPr>
                <w:rFonts w:hint="eastAsia" w:ascii="宋体" w:eastAsia="宋体"/>
                <w:color w:val="auto"/>
                <w:lang w:val="en-US" w:eastAsia="zh-CN"/>
              </w:rPr>
              <w:t>农药包装物料未统一处理可能污染苹果</w:t>
            </w:r>
          </w:p>
        </w:tc>
        <w:tc>
          <w:tcPr>
            <w:tcW w:w="930" w:type="dxa"/>
            <w:shd w:val="clear" w:color="auto" w:fill="auto"/>
            <w:vAlign w:val="center"/>
          </w:tcPr>
          <w:p w14:paraId="03DC7D95">
            <w:pPr>
              <w:pStyle w:val="23"/>
              <w:jc w:val="center"/>
              <w:rPr>
                <w:rFonts w:hint="eastAsia" w:ascii="宋体" w:eastAsia="宋体"/>
                <w:color w:val="auto"/>
                <w:lang w:val="en-US" w:eastAsia="en-US"/>
              </w:rPr>
            </w:pPr>
            <w:r>
              <w:rPr>
                <w:rFonts w:hint="eastAsia" w:ascii="宋体" w:eastAsia="宋体"/>
                <w:color w:val="auto"/>
                <w:lang w:val="en-US" w:eastAsia="zh-CN"/>
              </w:rPr>
              <w:t>操作风险</w:t>
            </w:r>
          </w:p>
        </w:tc>
        <w:tc>
          <w:tcPr>
            <w:tcW w:w="963" w:type="dxa"/>
            <w:shd w:val="clear" w:color="auto" w:fill="auto"/>
            <w:vAlign w:val="center"/>
          </w:tcPr>
          <w:p w14:paraId="477A60F6">
            <w:pPr>
              <w:pStyle w:val="23"/>
              <w:jc w:val="center"/>
              <w:rPr>
                <w:rFonts w:hint="eastAsia" w:ascii="宋体" w:eastAsia="宋体"/>
                <w:color w:val="auto"/>
                <w:lang w:val="en-US" w:eastAsia="en-US"/>
              </w:rPr>
            </w:pPr>
            <w:r>
              <w:rPr>
                <w:rFonts w:hint="eastAsia" w:ascii="宋体" w:eastAsia="宋体"/>
                <w:color w:val="auto"/>
                <w:lang w:val="en-US" w:eastAsia="zh-CN"/>
              </w:rPr>
              <w:t>Ⅱ级</w:t>
            </w:r>
          </w:p>
        </w:tc>
        <w:tc>
          <w:tcPr>
            <w:tcW w:w="1400" w:type="dxa"/>
            <w:shd w:val="clear" w:color="auto" w:fill="auto"/>
            <w:vAlign w:val="center"/>
          </w:tcPr>
          <w:p w14:paraId="58F4AD4B">
            <w:pPr>
              <w:pStyle w:val="23"/>
              <w:jc w:val="center"/>
              <w:rPr>
                <w:rFonts w:hint="eastAsia" w:ascii="宋体" w:eastAsia="宋体"/>
                <w:color w:val="auto"/>
                <w:lang w:val="en-US" w:eastAsia="en-US"/>
              </w:rPr>
            </w:pPr>
            <w:r>
              <w:rPr>
                <w:rFonts w:hint="eastAsia" w:ascii="宋体" w:eastAsia="宋体"/>
                <w:color w:val="auto"/>
                <w:lang w:val="en-US" w:eastAsia="zh-CN"/>
              </w:rPr>
              <w:t>加强田间管理的巡查、对幼苗、果实进行抽样、送检</w:t>
            </w:r>
          </w:p>
        </w:tc>
      </w:tr>
      <w:tr w14:paraId="710495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545" w:type="dxa"/>
            <w:vMerge w:val="continue"/>
            <w:vAlign w:val="center"/>
          </w:tcPr>
          <w:p w14:paraId="5CE053C0">
            <w:pPr>
              <w:pStyle w:val="23"/>
              <w:jc w:val="center"/>
              <w:rPr>
                <w:rFonts w:hint="eastAsia" w:ascii="宋体" w:eastAsia="宋体"/>
                <w:color w:val="auto"/>
                <w:lang w:val="en-US" w:eastAsia="zh-CN"/>
              </w:rPr>
            </w:pPr>
          </w:p>
        </w:tc>
        <w:tc>
          <w:tcPr>
            <w:tcW w:w="1273" w:type="dxa"/>
            <w:vMerge w:val="continue"/>
            <w:vAlign w:val="center"/>
          </w:tcPr>
          <w:p w14:paraId="7BBF530D">
            <w:pPr>
              <w:pStyle w:val="23"/>
              <w:jc w:val="center"/>
              <w:rPr>
                <w:rFonts w:hint="eastAsia" w:ascii="宋体" w:eastAsia="宋体"/>
                <w:color w:val="auto"/>
                <w:lang w:val="en-US" w:eastAsia="zh-CN"/>
              </w:rPr>
            </w:pPr>
          </w:p>
        </w:tc>
        <w:tc>
          <w:tcPr>
            <w:tcW w:w="790" w:type="dxa"/>
            <w:shd w:val="clear" w:color="auto" w:fill="auto"/>
            <w:vAlign w:val="center"/>
          </w:tcPr>
          <w:p w14:paraId="7F877206">
            <w:pPr>
              <w:pStyle w:val="23"/>
              <w:jc w:val="center"/>
              <w:rPr>
                <w:rFonts w:hint="eastAsia" w:ascii="宋体" w:eastAsia="宋体"/>
                <w:color w:val="auto"/>
                <w:lang w:val="en-US" w:eastAsia="zh-CN"/>
              </w:rPr>
            </w:pPr>
            <w:r>
              <w:rPr>
                <w:rFonts w:hint="eastAsia" w:ascii="宋体" w:eastAsia="宋体"/>
                <w:color w:val="auto"/>
                <w:lang w:val="en-US" w:eastAsia="zh-CN"/>
              </w:rPr>
              <w:t>4.5</w:t>
            </w:r>
          </w:p>
        </w:tc>
        <w:tc>
          <w:tcPr>
            <w:tcW w:w="2397" w:type="dxa"/>
            <w:shd w:val="clear" w:color="auto" w:fill="auto"/>
            <w:vAlign w:val="center"/>
          </w:tcPr>
          <w:p w14:paraId="37CE72A1">
            <w:pPr>
              <w:pStyle w:val="23"/>
              <w:jc w:val="center"/>
              <w:rPr>
                <w:rFonts w:hint="eastAsia" w:ascii="宋体" w:eastAsia="宋体"/>
                <w:color w:val="auto"/>
                <w:lang w:val="en-US" w:eastAsia="zh-CN"/>
              </w:rPr>
            </w:pPr>
            <w:r>
              <w:rPr>
                <w:rFonts w:hint="eastAsia" w:ascii="宋体" w:eastAsia="宋体"/>
                <w:color w:val="auto"/>
                <w:lang w:val="en-US" w:eastAsia="zh-CN"/>
              </w:rPr>
              <w:t>农药喷洒器具残留污染</w:t>
            </w:r>
          </w:p>
        </w:tc>
        <w:tc>
          <w:tcPr>
            <w:tcW w:w="930" w:type="dxa"/>
            <w:shd w:val="clear" w:color="auto" w:fill="auto"/>
            <w:vAlign w:val="center"/>
          </w:tcPr>
          <w:p w14:paraId="3E353768">
            <w:pPr>
              <w:pStyle w:val="23"/>
              <w:jc w:val="center"/>
              <w:rPr>
                <w:rFonts w:hint="eastAsia" w:ascii="宋体" w:eastAsia="宋体"/>
                <w:color w:val="auto"/>
                <w:lang w:val="en-US" w:eastAsia="zh-CN"/>
              </w:rPr>
            </w:pPr>
            <w:r>
              <w:rPr>
                <w:rFonts w:hint="eastAsia" w:ascii="宋体" w:eastAsia="宋体"/>
                <w:color w:val="auto"/>
                <w:lang w:val="en-US" w:eastAsia="zh-CN"/>
              </w:rPr>
              <w:t>操作风险</w:t>
            </w:r>
          </w:p>
        </w:tc>
        <w:tc>
          <w:tcPr>
            <w:tcW w:w="963" w:type="dxa"/>
            <w:shd w:val="clear" w:color="auto" w:fill="auto"/>
            <w:vAlign w:val="center"/>
          </w:tcPr>
          <w:p w14:paraId="428A4AA4">
            <w:pPr>
              <w:pStyle w:val="23"/>
              <w:jc w:val="center"/>
              <w:rPr>
                <w:rFonts w:hint="eastAsia" w:ascii="宋体" w:eastAsia="宋体"/>
                <w:color w:val="auto"/>
                <w:lang w:val="en-US" w:eastAsia="zh-CN"/>
              </w:rPr>
            </w:pPr>
            <w:r>
              <w:rPr>
                <w:rFonts w:hint="eastAsia" w:ascii="宋体" w:eastAsia="宋体"/>
                <w:color w:val="auto"/>
                <w:lang w:val="en-US" w:eastAsia="zh-CN"/>
              </w:rPr>
              <w:t>Ⅱ级</w:t>
            </w:r>
          </w:p>
        </w:tc>
        <w:tc>
          <w:tcPr>
            <w:tcW w:w="1400" w:type="dxa"/>
            <w:shd w:val="clear" w:color="auto" w:fill="auto"/>
            <w:vAlign w:val="center"/>
          </w:tcPr>
          <w:p w14:paraId="2733A84E">
            <w:pPr>
              <w:pStyle w:val="23"/>
              <w:jc w:val="center"/>
              <w:rPr>
                <w:rFonts w:hint="eastAsia" w:ascii="宋体" w:eastAsia="宋体"/>
                <w:color w:val="auto"/>
                <w:lang w:val="en-US" w:eastAsia="zh-CN"/>
              </w:rPr>
            </w:pPr>
            <w:r>
              <w:rPr>
                <w:rFonts w:hint="eastAsia" w:ascii="宋体" w:eastAsia="宋体"/>
                <w:color w:val="auto"/>
                <w:lang w:val="en-US" w:eastAsia="zh-CN"/>
              </w:rPr>
              <w:t>加强田间管理的巡查力度、对幼苗、果实进行抽样、送检</w:t>
            </w:r>
          </w:p>
        </w:tc>
      </w:tr>
      <w:tr w14:paraId="0316C2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545" w:type="dxa"/>
            <w:vMerge w:val="restart"/>
            <w:shd w:val="clear" w:color="auto" w:fill="auto"/>
            <w:vAlign w:val="center"/>
          </w:tcPr>
          <w:p w14:paraId="7CC15039">
            <w:pPr>
              <w:pStyle w:val="23"/>
              <w:jc w:val="center"/>
              <w:rPr>
                <w:rFonts w:hint="eastAsia" w:ascii="宋体" w:eastAsia="宋体"/>
                <w:color w:val="auto"/>
                <w:lang w:val="en-US" w:eastAsia="zh-CN"/>
              </w:rPr>
            </w:pPr>
            <w:r>
              <w:rPr>
                <w:rFonts w:hint="eastAsia" w:ascii="宋体" w:eastAsia="宋体"/>
                <w:color w:val="auto"/>
                <w:lang w:val="en-US" w:eastAsia="zh-CN"/>
              </w:rPr>
              <w:t>5</w:t>
            </w:r>
          </w:p>
        </w:tc>
        <w:tc>
          <w:tcPr>
            <w:tcW w:w="1273" w:type="dxa"/>
            <w:vMerge w:val="restart"/>
            <w:shd w:val="clear" w:color="auto" w:fill="auto"/>
            <w:vAlign w:val="center"/>
          </w:tcPr>
          <w:p w14:paraId="5A41AD36">
            <w:pPr>
              <w:pStyle w:val="23"/>
              <w:jc w:val="center"/>
              <w:rPr>
                <w:rFonts w:hint="eastAsia" w:ascii="宋体" w:eastAsia="宋体"/>
                <w:color w:val="auto"/>
                <w:lang w:val="en-US" w:eastAsia="zh-CN"/>
              </w:rPr>
            </w:pPr>
            <w:r>
              <w:rPr>
                <w:rFonts w:hint="eastAsia" w:ascii="宋体" w:eastAsia="宋体"/>
                <w:color w:val="auto"/>
                <w:lang w:val="en-US" w:eastAsia="zh-CN"/>
              </w:rPr>
              <w:t>苹果采摘</w:t>
            </w:r>
          </w:p>
        </w:tc>
        <w:tc>
          <w:tcPr>
            <w:tcW w:w="790" w:type="dxa"/>
            <w:shd w:val="clear" w:color="auto" w:fill="auto"/>
            <w:vAlign w:val="center"/>
          </w:tcPr>
          <w:p w14:paraId="4EB985C1">
            <w:pPr>
              <w:pStyle w:val="23"/>
              <w:jc w:val="center"/>
              <w:rPr>
                <w:rFonts w:hint="eastAsia" w:ascii="宋体" w:eastAsia="宋体"/>
                <w:color w:val="auto"/>
                <w:lang w:val="en-US" w:eastAsia="zh-CN"/>
              </w:rPr>
            </w:pPr>
            <w:r>
              <w:rPr>
                <w:rFonts w:hint="eastAsia" w:ascii="宋体" w:eastAsia="宋体"/>
                <w:color w:val="auto"/>
                <w:lang w:val="en-US" w:eastAsia="zh-CN"/>
              </w:rPr>
              <w:t>5.1</w:t>
            </w:r>
          </w:p>
        </w:tc>
        <w:tc>
          <w:tcPr>
            <w:tcW w:w="2397" w:type="dxa"/>
            <w:shd w:val="clear" w:color="auto" w:fill="auto"/>
            <w:vAlign w:val="center"/>
          </w:tcPr>
          <w:p w14:paraId="1485D497">
            <w:pPr>
              <w:pStyle w:val="23"/>
              <w:jc w:val="center"/>
              <w:rPr>
                <w:rFonts w:hint="eastAsia" w:ascii="宋体" w:eastAsia="宋体"/>
                <w:color w:val="auto"/>
                <w:lang w:val="en-US" w:eastAsia="zh-CN"/>
              </w:rPr>
            </w:pPr>
            <w:r>
              <w:rPr>
                <w:rFonts w:hint="eastAsia" w:ascii="宋体" w:eastAsia="宋体"/>
                <w:color w:val="auto"/>
                <w:lang w:val="en-US" w:eastAsia="zh-CN"/>
              </w:rPr>
              <w:t>采摘时间不当影响苹果霉烂，进而影响产品品质</w:t>
            </w:r>
          </w:p>
        </w:tc>
        <w:tc>
          <w:tcPr>
            <w:tcW w:w="930" w:type="dxa"/>
            <w:shd w:val="clear" w:color="auto" w:fill="auto"/>
            <w:vAlign w:val="center"/>
          </w:tcPr>
          <w:p w14:paraId="58AD7081">
            <w:pPr>
              <w:pStyle w:val="23"/>
              <w:jc w:val="center"/>
              <w:rPr>
                <w:rFonts w:hint="eastAsia" w:ascii="宋体" w:eastAsia="宋体"/>
                <w:color w:val="auto"/>
                <w:lang w:val="en-US" w:eastAsia="zh-CN"/>
              </w:rPr>
            </w:pPr>
            <w:r>
              <w:rPr>
                <w:rFonts w:hint="eastAsia" w:ascii="宋体" w:eastAsia="宋体"/>
                <w:color w:val="auto"/>
                <w:lang w:val="en-US" w:eastAsia="zh-CN"/>
              </w:rPr>
              <w:t>操作风险</w:t>
            </w:r>
          </w:p>
        </w:tc>
        <w:tc>
          <w:tcPr>
            <w:tcW w:w="963" w:type="dxa"/>
            <w:shd w:val="clear" w:color="auto" w:fill="auto"/>
            <w:vAlign w:val="center"/>
          </w:tcPr>
          <w:p w14:paraId="534921C5">
            <w:pPr>
              <w:pStyle w:val="23"/>
              <w:jc w:val="center"/>
              <w:rPr>
                <w:rFonts w:hint="eastAsia" w:ascii="宋体" w:eastAsia="宋体"/>
                <w:color w:val="auto"/>
                <w:lang w:val="en-US" w:eastAsia="zh-CN"/>
              </w:rPr>
            </w:pPr>
            <w:r>
              <w:rPr>
                <w:rFonts w:hint="eastAsia" w:ascii="宋体" w:eastAsia="宋体"/>
                <w:color w:val="auto"/>
                <w:lang w:val="en-US" w:eastAsia="zh-CN"/>
              </w:rPr>
              <w:t>Ⅲ级</w:t>
            </w:r>
          </w:p>
        </w:tc>
        <w:tc>
          <w:tcPr>
            <w:tcW w:w="1400" w:type="dxa"/>
            <w:vMerge w:val="restart"/>
            <w:shd w:val="clear" w:color="auto" w:fill="auto"/>
            <w:vAlign w:val="center"/>
          </w:tcPr>
          <w:p w14:paraId="425C6082">
            <w:pPr>
              <w:pStyle w:val="23"/>
              <w:jc w:val="center"/>
              <w:rPr>
                <w:rFonts w:hint="eastAsia" w:ascii="宋体" w:eastAsia="宋体"/>
                <w:color w:val="auto"/>
                <w:lang w:val="en-US" w:eastAsia="zh-CN"/>
              </w:rPr>
            </w:pPr>
            <w:r>
              <w:rPr>
                <w:rFonts w:hint="eastAsia" w:ascii="宋体" w:eastAsia="宋体"/>
                <w:color w:val="auto"/>
                <w:lang w:val="en-US" w:eastAsia="zh-CN"/>
              </w:rPr>
              <w:t>持有《采摘证、调运单》、 IC卡的车辆质检</w:t>
            </w:r>
          </w:p>
        </w:tc>
      </w:tr>
      <w:tr w14:paraId="7BC3BA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545" w:type="dxa"/>
            <w:vMerge w:val="continue"/>
            <w:vAlign w:val="center"/>
          </w:tcPr>
          <w:p w14:paraId="2C4F4D05">
            <w:pPr>
              <w:pStyle w:val="23"/>
              <w:jc w:val="center"/>
              <w:rPr>
                <w:rFonts w:hint="eastAsia" w:ascii="宋体" w:eastAsia="宋体"/>
                <w:color w:val="auto"/>
                <w:lang w:val="en-US" w:eastAsia="zh-CN"/>
              </w:rPr>
            </w:pPr>
          </w:p>
        </w:tc>
        <w:tc>
          <w:tcPr>
            <w:tcW w:w="1273" w:type="dxa"/>
            <w:vMerge w:val="continue"/>
            <w:vAlign w:val="center"/>
          </w:tcPr>
          <w:p w14:paraId="2385CCD8">
            <w:pPr>
              <w:pStyle w:val="23"/>
              <w:jc w:val="center"/>
              <w:rPr>
                <w:rFonts w:hint="eastAsia" w:ascii="宋体" w:eastAsia="宋体"/>
                <w:color w:val="auto"/>
                <w:lang w:val="en-US" w:eastAsia="zh-CN"/>
              </w:rPr>
            </w:pPr>
          </w:p>
        </w:tc>
        <w:tc>
          <w:tcPr>
            <w:tcW w:w="790" w:type="dxa"/>
            <w:shd w:val="clear" w:color="auto" w:fill="auto"/>
            <w:vAlign w:val="center"/>
          </w:tcPr>
          <w:p w14:paraId="37017CA6">
            <w:pPr>
              <w:pStyle w:val="23"/>
              <w:jc w:val="center"/>
              <w:rPr>
                <w:rFonts w:hint="eastAsia" w:ascii="宋体" w:eastAsia="宋体"/>
                <w:color w:val="auto"/>
                <w:lang w:val="en-US" w:eastAsia="zh-CN"/>
              </w:rPr>
            </w:pPr>
            <w:r>
              <w:rPr>
                <w:rFonts w:hint="eastAsia" w:ascii="宋体" w:eastAsia="宋体"/>
                <w:color w:val="auto"/>
                <w:lang w:val="en-US" w:eastAsia="zh-CN"/>
              </w:rPr>
              <w:t>5.2</w:t>
            </w:r>
          </w:p>
        </w:tc>
        <w:tc>
          <w:tcPr>
            <w:tcW w:w="2397" w:type="dxa"/>
            <w:shd w:val="clear" w:color="auto" w:fill="auto"/>
            <w:vAlign w:val="center"/>
          </w:tcPr>
          <w:p w14:paraId="15820DEC">
            <w:pPr>
              <w:pStyle w:val="23"/>
              <w:jc w:val="center"/>
              <w:rPr>
                <w:rFonts w:hint="eastAsia" w:ascii="宋体" w:eastAsia="宋体"/>
                <w:color w:val="auto"/>
                <w:lang w:val="en-US" w:eastAsia="zh-CN"/>
              </w:rPr>
            </w:pPr>
            <w:r>
              <w:rPr>
                <w:rFonts w:hint="eastAsia" w:ascii="宋体" w:eastAsia="宋体"/>
                <w:color w:val="auto"/>
                <w:lang w:val="en-US" w:eastAsia="zh-CN"/>
              </w:rPr>
              <w:t>采收工具、设备和容器等不</w:t>
            </w:r>
          </w:p>
          <w:p w14:paraId="68D557F2">
            <w:pPr>
              <w:pStyle w:val="23"/>
              <w:jc w:val="center"/>
              <w:rPr>
                <w:rFonts w:hint="eastAsia" w:ascii="宋体" w:eastAsia="宋体"/>
                <w:color w:val="auto"/>
                <w:lang w:val="en-US" w:eastAsia="zh-CN"/>
              </w:rPr>
            </w:pPr>
            <w:r>
              <w:rPr>
                <w:rFonts w:hint="eastAsia" w:ascii="宋体" w:eastAsia="宋体"/>
                <w:color w:val="auto"/>
                <w:lang w:val="en-US" w:eastAsia="zh-CN"/>
              </w:rPr>
              <w:t>洁净导致泥土、肥料、污水</w:t>
            </w:r>
          </w:p>
          <w:p w14:paraId="2E18AC9B">
            <w:pPr>
              <w:pStyle w:val="23"/>
              <w:jc w:val="center"/>
              <w:rPr>
                <w:rFonts w:hint="eastAsia" w:ascii="宋体" w:eastAsia="宋体"/>
                <w:color w:val="auto"/>
                <w:lang w:val="en-US" w:eastAsia="zh-CN"/>
              </w:rPr>
            </w:pPr>
            <w:r>
              <w:rPr>
                <w:rFonts w:hint="eastAsia" w:ascii="宋体" w:eastAsia="宋体"/>
                <w:color w:val="auto"/>
                <w:lang w:val="en-US" w:eastAsia="zh-CN"/>
              </w:rPr>
              <w:t>等污染</w:t>
            </w:r>
          </w:p>
        </w:tc>
        <w:tc>
          <w:tcPr>
            <w:tcW w:w="930" w:type="dxa"/>
            <w:shd w:val="clear" w:color="auto" w:fill="auto"/>
            <w:vAlign w:val="center"/>
          </w:tcPr>
          <w:p w14:paraId="3BA24AE6">
            <w:pPr>
              <w:pStyle w:val="23"/>
              <w:jc w:val="center"/>
              <w:rPr>
                <w:rFonts w:hint="eastAsia" w:ascii="宋体" w:eastAsia="宋体"/>
                <w:color w:val="auto"/>
                <w:lang w:val="en-US" w:eastAsia="zh-CN"/>
              </w:rPr>
            </w:pPr>
            <w:r>
              <w:rPr>
                <w:rFonts w:hint="eastAsia" w:ascii="宋体" w:eastAsia="宋体"/>
                <w:color w:val="auto"/>
                <w:lang w:val="en-US" w:eastAsia="zh-CN"/>
              </w:rPr>
              <w:t>操作风险</w:t>
            </w:r>
          </w:p>
        </w:tc>
        <w:tc>
          <w:tcPr>
            <w:tcW w:w="963" w:type="dxa"/>
            <w:shd w:val="clear" w:color="auto" w:fill="auto"/>
            <w:vAlign w:val="center"/>
          </w:tcPr>
          <w:p w14:paraId="73341CCD">
            <w:pPr>
              <w:pStyle w:val="23"/>
              <w:jc w:val="center"/>
              <w:rPr>
                <w:rFonts w:hint="eastAsia" w:ascii="宋体" w:eastAsia="宋体"/>
                <w:color w:val="auto"/>
                <w:lang w:val="en-US" w:eastAsia="zh-CN"/>
              </w:rPr>
            </w:pPr>
            <w:r>
              <w:rPr>
                <w:rFonts w:hint="eastAsia" w:ascii="宋体" w:eastAsia="宋体"/>
                <w:color w:val="auto"/>
                <w:lang w:val="en-US" w:eastAsia="zh-CN"/>
              </w:rPr>
              <w:t>Ⅱ级</w:t>
            </w:r>
          </w:p>
        </w:tc>
        <w:tc>
          <w:tcPr>
            <w:tcW w:w="1400" w:type="dxa"/>
            <w:vMerge w:val="continue"/>
            <w:shd w:val="clear" w:color="auto" w:fill="auto"/>
            <w:vAlign w:val="center"/>
          </w:tcPr>
          <w:p w14:paraId="4B2A6B4B">
            <w:pPr>
              <w:pStyle w:val="23"/>
              <w:jc w:val="center"/>
              <w:rPr>
                <w:rFonts w:hint="eastAsia" w:ascii="宋体" w:eastAsia="宋体"/>
                <w:color w:val="auto"/>
                <w:lang w:val="en-US" w:eastAsia="zh-CN"/>
              </w:rPr>
            </w:pPr>
          </w:p>
        </w:tc>
      </w:tr>
      <w:tr w14:paraId="5C5D7F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545" w:type="dxa"/>
            <w:vMerge w:val="restart"/>
            <w:shd w:val="clear" w:color="auto" w:fill="auto"/>
            <w:vAlign w:val="center"/>
          </w:tcPr>
          <w:p w14:paraId="2132A761">
            <w:pPr>
              <w:pStyle w:val="23"/>
              <w:jc w:val="center"/>
              <w:rPr>
                <w:rFonts w:hint="eastAsia" w:ascii="宋体" w:eastAsia="宋体"/>
                <w:color w:val="auto"/>
                <w:lang w:val="en-US" w:eastAsia="zh-CN"/>
              </w:rPr>
            </w:pPr>
            <w:r>
              <w:rPr>
                <w:rFonts w:hint="eastAsia" w:ascii="宋体" w:eastAsia="宋体"/>
                <w:color w:val="auto"/>
                <w:lang w:val="en-US" w:eastAsia="zh-CN"/>
              </w:rPr>
              <w:t>6</w:t>
            </w:r>
          </w:p>
        </w:tc>
        <w:tc>
          <w:tcPr>
            <w:tcW w:w="1273" w:type="dxa"/>
            <w:vMerge w:val="restart"/>
            <w:shd w:val="clear" w:color="auto" w:fill="auto"/>
            <w:vAlign w:val="center"/>
          </w:tcPr>
          <w:p w14:paraId="66690DFD">
            <w:pPr>
              <w:pStyle w:val="23"/>
              <w:jc w:val="center"/>
              <w:rPr>
                <w:rFonts w:hint="eastAsia" w:ascii="宋体" w:eastAsia="宋体"/>
                <w:color w:val="auto"/>
                <w:lang w:val="en-US" w:eastAsia="zh-CN"/>
              </w:rPr>
            </w:pPr>
            <w:r>
              <w:rPr>
                <w:rFonts w:hint="eastAsia" w:ascii="宋体" w:eastAsia="宋体"/>
                <w:color w:val="auto"/>
                <w:lang w:val="en-US" w:eastAsia="zh-CN"/>
              </w:rPr>
              <w:t>苹果的运输</w:t>
            </w:r>
          </w:p>
        </w:tc>
        <w:tc>
          <w:tcPr>
            <w:tcW w:w="790" w:type="dxa"/>
            <w:shd w:val="clear" w:color="auto" w:fill="auto"/>
            <w:vAlign w:val="center"/>
          </w:tcPr>
          <w:p w14:paraId="6A0C4054">
            <w:pPr>
              <w:pStyle w:val="23"/>
              <w:jc w:val="center"/>
              <w:rPr>
                <w:rFonts w:hint="eastAsia" w:ascii="宋体" w:eastAsia="宋体"/>
                <w:color w:val="auto"/>
                <w:lang w:val="en-US" w:eastAsia="zh-CN"/>
              </w:rPr>
            </w:pPr>
            <w:r>
              <w:rPr>
                <w:rFonts w:hint="eastAsia" w:ascii="宋体" w:eastAsia="宋体"/>
                <w:color w:val="auto"/>
                <w:lang w:val="en-US" w:eastAsia="zh-CN"/>
              </w:rPr>
              <w:t>6.1</w:t>
            </w:r>
          </w:p>
        </w:tc>
        <w:tc>
          <w:tcPr>
            <w:tcW w:w="2397" w:type="dxa"/>
            <w:shd w:val="clear" w:color="auto" w:fill="auto"/>
            <w:vAlign w:val="center"/>
          </w:tcPr>
          <w:p w14:paraId="6921FC87">
            <w:pPr>
              <w:pStyle w:val="23"/>
              <w:jc w:val="center"/>
              <w:rPr>
                <w:rFonts w:hint="eastAsia" w:ascii="宋体" w:eastAsia="宋体"/>
                <w:color w:val="auto"/>
                <w:lang w:val="en-US" w:eastAsia="zh-CN"/>
              </w:rPr>
            </w:pPr>
            <w:r>
              <w:rPr>
                <w:rFonts w:hint="eastAsia" w:ascii="宋体" w:eastAsia="宋体"/>
                <w:color w:val="auto"/>
                <w:lang w:val="en-US" w:eastAsia="zh-CN"/>
              </w:rPr>
              <w:t>苹果运输工具不卫生造成污染</w:t>
            </w:r>
          </w:p>
        </w:tc>
        <w:tc>
          <w:tcPr>
            <w:tcW w:w="930" w:type="dxa"/>
            <w:shd w:val="clear" w:color="auto" w:fill="auto"/>
            <w:vAlign w:val="center"/>
          </w:tcPr>
          <w:p w14:paraId="4F35128E">
            <w:pPr>
              <w:pStyle w:val="23"/>
              <w:jc w:val="center"/>
              <w:rPr>
                <w:rFonts w:hint="eastAsia" w:ascii="宋体" w:eastAsia="宋体"/>
                <w:color w:val="auto"/>
                <w:lang w:val="en-US" w:eastAsia="zh-CN"/>
              </w:rPr>
            </w:pPr>
            <w:r>
              <w:rPr>
                <w:rFonts w:hint="eastAsia" w:ascii="宋体" w:eastAsia="宋体"/>
                <w:color w:val="auto"/>
                <w:lang w:val="en-US" w:eastAsia="zh-CN"/>
              </w:rPr>
              <w:t>操作风险</w:t>
            </w:r>
          </w:p>
        </w:tc>
        <w:tc>
          <w:tcPr>
            <w:tcW w:w="963" w:type="dxa"/>
            <w:shd w:val="clear" w:color="auto" w:fill="auto"/>
            <w:vAlign w:val="center"/>
          </w:tcPr>
          <w:p w14:paraId="73A6DD19">
            <w:pPr>
              <w:pStyle w:val="23"/>
              <w:jc w:val="center"/>
              <w:rPr>
                <w:rFonts w:hint="eastAsia" w:ascii="宋体" w:eastAsia="宋体"/>
                <w:color w:val="auto"/>
                <w:lang w:val="en-US" w:eastAsia="zh-CN"/>
              </w:rPr>
            </w:pPr>
            <w:r>
              <w:rPr>
                <w:rFonts w:hint="eastAsia" w:ascii="宋体" w:eastAsia="宋体"/>
                <w:color w:val="auto"/>
                <w:lang w:val="en-US" w:eastAsia="zh-CN"/>
              </w:rPr>
              <w:t>Ⅱ级</w:t>
            </w:r>
          </w:p>
        </w:tc>
        <w:tc>
          <w:tcPr>
            <w:tcW w:w="1400" w:type="dxa"/>
            <w:vMerge w:val="restart"/>
            <w:shd w:val="clear" w:color="auto" w:fill="auto"/>
            <w:vAlign w:val="center"/>
          </w:tcPr>
          <w:p w14:paraId="2856BEEE">
            <w:pPr>
              <w:pStyle w:val="23"/>
              <w:jc w:val="center"/>
              <w:rPr>
                <w:rFonts w:hint="eastAsia" w:ascii="宋体" w:eastAsia="宋体"/>
                <w:color w:val="auto"/>
                <w:lang w:val="en-US" w:eastAsia="zh-CN"/>
              </w:rPr>
            </w:pPr>
            <w:r>
              <w:rPr>
                <w:rFonts w:hint="eastAsia" w:ascii="宋体" w:eastAsia="宋体"/>
                <w:color w:val="auto"/>
                <w:lang w:val="en-US" w:eastAsia="zh-CN"/>
              </w:rPr>
              <w:t>持有《采摘证、调运单》、 IC卡的车辆质检</w:t>
            </w:r>
          </w:p>
        </w:tc>
      </w:tr>
      <w:tr w14:paraId="5A54FF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545" w:type="dxa"/>
            <w:vMerge w:val="continue"/>
            <w:tcBorders>
              <w:bottom w:val="single" w:color="auto" w:sz="4" w:space="0"/>
            </w:tcBorders>
            <w:vAlign w:val="center"/>
          </w:tcPr>
          <w:p w14:paraId="1A0D6555">
            <w:pPr>
              <w:pStyle w:val="23"/>
              <w:jc w:val="center"/>
              <w:rPr>
                <w:rFonts w:hint="eastAsia" w:ascii="宋体" w:eastAsia="宋体"/>
                <w:color w:val="auto"/>
                <w:lang w:val="en-US" w:eastAsia="zh-CN"/>
              </w:rPr>
            </w:pPr>
          </w:p>
        </w:tc>
        <w:tc>
          <w:tcPr>
            <w:tcW w:w="1273" w:type="dxa"/>
            <w:vMerge w:val="continue"/>
            <w:tcBorders>
              <w:bottom w:val="single" w:color="auto" w:sz="4" w:space="0"/>
            </w:tcBorders>
            <w:vAlign w:val="center"/>
          </w:tcPr>
          <w:p w14:paraId="3BF965C4">
            <w:pPr>
              <w:pStyle w:val="23"/>
              <w:jc w:val="center"/>
              <w:rPr>
                <w:rFonts w:hint="eastAsia" w:ascii="宋体" w:eastAsia="宋体"/>
                <w:color w:val="auto"/>
                <w:lang w:val="en-US" w:eastAsia="zh-CN"/>
              </w:rPr>
            </w:pPr>
          </w:p>
        </w:tc>
        <w:tc>
          <w:tcPr>
            <w:tcW w:w="790" w:type="dxa"/>
            <w:shd w:val="clear" w:color="auto" w:fill="auto"/>
            <w:vAlign w:val="center"/>
          </w:tcPr>
          <w:p w14:paraId="02DA1D31">
            <w:pPr>
              <w:pStyle w:val="23"/>
              <w:jc w:val="center"/>
              <w:rPr>
                <w:rFonts w:hint="eastAsia" w:ascii="宋体" w:eastAsia="宋体"/>
                <w:color w:val="auto"/>
                <w:lang w:val="en-US" w:eastAsia="zh-CN"/>
              </w:rPr>
            </w:pPr>
            <w:r>
              <w:rPr>
                <w:rFonts w:hint="eastAsia" w:ascii="宋体" w:eastAsia="宋体"/>
                <w:color w:val="auto"/>
                <w:lang w:val="en-US" w:eastAsia="zh-CN"/>
              </w:rPr>
              <w:t>6.2</w:t>
            </w:r>
          </w:p>
        </w:tc>
        <w:tc>
          <w:tcPr>
            <w:tcW w:w="2397" w:type="dxa"/>
            <w:shd w:val="clear" w:color="auto" w:fill="auto"/>
            <w:vAlign w:val="center"/>
          </w:tcPr>
          <w:p w14:paraId="566D17F2">
            <w:pPr>
              <w:pStyle w:val="23"/>
              <w:jc w:val="center"/>
              <w:rPr>
                <w:rFonts w:hint="eastAsia" w:ascii="宋体" w:eastAsia="宋体"/>
                <w:color w:val="auto"/>
                <w:lang w:val="en-US" w:eastAsia="zh-CN"/>
              </w:rPr>
            </w:pPr>
            <w:r>
              <w:rPr>
                <w:rFonts w:hint="eastAsia" w:ascii="宋体" w:eastAsia="宋体"/>
                <w:color w:val="auto"/>
                <w:lang w:val="en-US" w:eastAsia="zh-CN"/>
              </w:rPr>
              <w:t>苹果运输过程中遭受劣变，产品降级</w:t>
            </w:r>
          </w:p>
        </w:tc>
        <w:tc>
          <w:tcPr>
            <w:tcW w:w="930" w:type="dxa"/>
            <w:shd w:val="clear" w:color="auto" w:fill="auto"/>
            <w:vAlign w:val="center"/>
          </w:tcPr>
          <w:p w14:paraId="61BEB947">
            <w:pPr>
              <w:pStyle w:val="23"/>
              <w:jc w:val="center"/>
              <w:rPr>
                <w:rFonts w:hint="eastAsia" w:ascii="宋体" w:eastAsia="宋体"/>
                <w:color w:val="auto"/>
                <w:lang w:val="en-US" w:eastAsia="zh-CN"/>
              </w:rPr>
            </w:pPr>
            <w:r>
              <w:rPr>
                <w:rFonts w:hint="eastAsia" w:ascii="宋体" w:eastAsia="宋体"/>
                <w:color w:val="auto"/>
                <w:lang w:val="en-US" w:eastAsia="zh-CN"/>
              </w:rPr>
              <w:t>操作风险</w:t>
            </w:r>
          </w:p>
        </w:tc>
        <w:tc>
          <w:tcPr>
            <w:tcW w:w="963" w:type="dxa"/>
            <w:shd w:val="clear" w:color="auto" w:fill="auto"/>
            <w:vAlign w:val="center"/>
          </w:tcPr>
          <w:p w14:paraId="31527A75">
            <w:pPr>
              <w:pStyle w:val="23"/>
              <w:jc w:val="center"/>
              <w:rPr>
                <w:rFonts w:hint="eastAsia" w:ascii="宋体" w:eastAsia="宋体"/>
                <w:color w:val="auto"/>
                <w:lang w:val="en-US" w:eastAsia="zh-CN"/>
              </w:rPr>
            </w:pPr>
            <w:r>
              <w:rPr>
                <w:rFonts w:hint="eastAsia" w:ascii="宋体" w:eastAsia="宋体"/>
                <w:color w:val="auto"/>
                <w:lang w:val="en-US" w:eastAsia="zh-CN"/>
              </w:rPr>
              <w:t>Ⅲ级</w:t>
            </w:r>
          </w:p>
        </w:tc>
        <w:tc>
          <w:tcPr>
            <w:tcW w:w="1400" w:type="dxa"/>
            <w:vMerge w:val="continue"/>
            <w:shd w:val="clear" w:color="auto" w:fill="auto"/>
            <w:vAlign w:val="center"/>
          </w:tcPr>
          <w:p w14:paraId="437F5B77">
            <w:pPr>
              <w:pStyle w:val="23"/>
              <w:jc w:val="center"/>
              <w:rPr>
                <w:rFonts w:hint="eastAsia" w:ascii="宋体" w:eastAsia="宋体"/>
                <w:color w:val="auto"/>
                <w:lang w:val="en-US" w:eastAsia="zh-CN"/>
              </w:rPr>
            </w:pPr>
          </w:p>
        </w:tc>
      </w:tr>
    </w:tbl>
    <w:p w14:paraId="5E3C2BAA">
      <w:pPr>
        <w:rPr>
          <w:color w:val="auto"/>
        </w:rPr>
        <w:sectPr>
          <w:footerReference r:id="rId9" w:type="default"/>
          <w:pgSz w:w="11906" w:h="16838"/>
          <w:pgMar w:top="1440" w:right="1803" w:bottom="1440" w:left="1803" w:header="850" w:footer="992" w:gutter="0"/>
          <w:pgBorders>
            <w:top w:val="none" w:sz="0" w:space="0"/>
            <w:left w:val="none" w:sz="0" w:space="0"/>
            <w:bottom w:val="none" w:sz="0" w:space="0"/>
            <w:right w:val="none" w:sz="0" w:space="0"/>
          </w:pgBorders>
          <w:pgNumType w:fmt="decimal" w:start="1"/>
          <w:cols w:space="0" w:num="1"/>
          <w:rtlGutter w:val="0"/>
          <w:docGrid w:linePitch="0" w:charSpace="0"/>
        </w:sectPr>
      </w:pPr>
    </w:p>
    <w:p w14:paraId="4294F824">
      <w:pPr>
        <w:pStyle w:val="18"/>
        <w:numPr>
          <w:ilvl w:val="3"/>
          <w:numId w:val="0"/>
        </w:numPr>
        <w:spacing w:before="120" w:after="120"/>
        <w:ind w:left="0" w:leftChars="0" w:firstLine="0" w:firstLineChars="0"/>
        <w:outlineLvl w:val="1"/>
        <w:rPr>
          <w:rFonts w:hint="eastAsia" w:ascii="宋体" w:hAnsi="Times New Roman" w:eastAsia="宋体" w:cs="Times New Roman"/>
          <w:color w:val="auto"/>
          <w:sz w:val="21"/>
          <w:lang w:val="en-US" w:eastAsia="zh-CN" w:bidi="ar-SA"/>
        </w:rPr>
      </w:pPr>
      <w:bookmarkStart w:id="26" w:name="_Toc691033593"/>
      <w:r>
        <w:rPr>
          <w:rFonts w:hint="eastAsia" w:ascii="宋体" w:hAnsi="Times New Roman" w:eastAsia="宋体" w:cs="Times New Roman"/>
          <w:color w:val="auto"/>
          <w:sz w:val="21"/>
          <w:lang w:val="en-US" w:eastAsia="zh-CN" w:bidi="ar-SA"/>
        </w:rPr>
        <w:t>A.1.2  原辅料采购</w:t>
      </w:r>
      <w:bookmarkEnd w:id="26"/>
    </w:p>
    <w:tbl>
      <w:tblPr>
        <w:tblStyle w:val="21"/>
        <w:tblW w:w="829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45"/>
        <w:gridCol w:w="1273"/>
        <w:gridCol w:w="790"/>
        <w:gridCol w:w="2397"/>
        <w:gridCol w:w="930"/>
        <w:gridCol w:w="963"/>
        <w:gridCol w:w="1400"/>
      </w:tblGrid>
      <w:tr w14:paraId="0CE2AB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1" w:hRule="atLeast"/>
        </w:trPr>
        <w:tc>
          <w:tcPr>
            <w:tcW w:w="545" w:type="dxa"/>
            <w:shd w:val="clear" w:color="auto" w:fill="auto"/>
            <w:vAlign w:val="center"/>
          </w:tcPr>
          <w:p w14:paraId="1F20C34C">
            <w:pPr>
              <w:pStyle w:val="23"/>
              <w:ind w:firstLine="0" w:firstLineChars="0"/>
              <w:jc w:val="center"/>
              <w:rPr>
                <w:rFonts w:hint="eastAsia" w:ascii="宋体" w:hAnsi="Times New Roman" w:eastAsia="宋体" w:cs="Times New Roman"/>
                <w:color w:val="auto"/>
                <w:sz w:val="18"/>
                <w:lang w:val="en-US" w:eastAsia="zh-CN" w:bidi="ar-SA"/>
              </w:rPr>
            </w:pPr>
            <w:r>
              <w:rPr>
                <w:rFonts w:hint="eastAsia"/>
                <w:color w:val="auto"/>
              </w:rPr>
              <w:t>序号</w:t>
            </w:r>
          </w:p>
        </w:tc>
        <w:tc>
          <w:tcPr>
            <w:tcW w:w="1273" w:type="dxa"/>
            <w:shd w:val="clear" w:color="auto" w:fill="auto"/>
            <w:vAlign w:val="center"/>
          </w:tcPr>
          <w:p w14:paraId="523FA414">
            <w:pPr>
              <w:pStyle w:val="23"/>
              <w:ind w:firstLine="0" w:firstLineChars="0"/>
              <w:jc w:val="center"/>
              <w:rPr>
                <w:rFonts w:hint="eastAsia" w:ascii="宋体" w:hAnsi="Times New Roman" w:eastAsia="宋体" w:cs="Times New Roman"/>
                <w:color w:val="auto"/>
                <w:sz w:val="18"/>
                <w:lang w:val="en-US" w:eastAsia="zh-CN" w:bidi="ar-SA"/>
              </w:rPr>
            </w:pPr>
            <w:r>
              <w:rPr>
                <w:rFonts w:hint="eastAsia"/>
                <w:color w:val="auto"/>
              </w:rPr>
              <w:t>环节</w:t>
            </w:r>
          </w:p>
        </w:tc>
        <w:tc>
          <w:tcPr>
            <w:tcW w:w="790" w:type="dxa"/>
            <w:shd w:val="clear" w:color="auto" w:fill="auto"/>
            <w:vAlign w:val="center"/>
          </w:tcPr>
          <w:p w14:paraId="1B073A8E">
            <w:pPr>
              <w:pStyle w:val="23"/>
              <w:ind w:firstLine="0" w:firstLineChars="0"/>
              <w:jc w:val="center"/>
              <w:rPr>
                <w:rFonts w:hint="eastAsia" w:ascii="宋体" w:hAnsi="Times New Roman" w:eastAsia="宋体" w:cs="Times New Roman"/>
                <w:color w:val="auto"/>
                <w:sz w:val="18"/>
                <w:lang w:val="en-US" w:eastAsia="zh-CN" w:bidi="ar-SA"/>
              </w:rPr>
            </w:pPr>
            <w:r>
              <w:rPr>
                <w:rFonts w:hint="eastAsia"/>
                <w:color w:val="auto"/>
                <w:lang w:val="en-US" w:eastAsia="zh-CN"/>
              </w:rPr>
              <w:t>风险</w:t>
            </w:r>
            <w:r>
              <w:rPr>
                <w:rFonts w:hint="eastAsia" w:ascii="宋体" w:eastAsia="宋体"/>
                <w:color w:val="auto"/>
                <w:lang w:val="en-US" w:eastAsia="zh-CN"/>
              </w:rPr>
              <w:t>编号</w:t>
            </w:r>
          </w:p>
        </w:tc>
        <w:tc>
          <w:tcPr>
            <w:tcW w:w="2397" w:type="dxa"/>
            <w:shd w:val="clear" w:color="auto" w:fill="auto"/>
            <w:vAlign w:val="center"/>
          </w:tcPr>
          <w:p w14:paraId="21E7C880">
            <w:pPr>
              <w:pStyle w:val="23"/>
              <w:ind w:firstLine="0" w:firstLineChars="0"/>
              <w:jc w:val="center"/>
              <w:rPr>
                <w:rFonts w:hint="eastAsia" w:ascii="宋体" w:hAnsi="Times New Roman" w:eastAsia="宋体" w:cs="Times New Roman"/>
                <w:color w:val="auto"/>
                <w:sz w:val="18"/>
                <w:lang w:val="en-US" w:eastAsia="zh-CN" w:bidi="ar-SA"/>
              </w:rPr>
            </w:pPr>
            <w:r>
              <w:rPr>
                <w:rFonts w:hint="eastAsia" w:ascii="宋体" w:eastAsia="宋体"/>
                <w:color w:val="auto"/>
                <w:lang w:val="en-US" w:eastAsia="zh-CN"/>
              </w:rPr>
              <w:t>风险描述</w:t>
            </w:r>
          </w:p>
        </w:tc>
        <w:tc>
          <w:tcPr>
            <w:tcW w:w="930" w:type="dxa"/>
            <w:shd w:val="clear" w:color="auto" w:fill="auto"/>
            <w:vAlign w:val="center"/>
          </w:tcPr>
          <w:p w14:paraId="77A4912F">
            <w:pPr>
              <w:pStyle w:val="23"/>
              <w:ind w:firstLine="0" w:firstLineChars="0"/>
              <w:jc w:val="center"/>
              <w:rPr>
                <w:rFonts w:hint="eastAsia" w:ascii="宋体" w:hAnsi="Times New Roman" w:eastAsia="宋体" w:cs="Times New Roman"/>
                <w:color w:val="auto"/>
                <w:sz w:val="18"/>
                <w:lang w:val="en-US" w:eastAsia="zh-CN" w:bidi="ar-SA"/>
              </w:rPr>
            </w:pPr>
            <w:r>
              <w:rPr>
                <w:rFonts w:hint="eastAsia" w:ascii="宋体" w:eastAsia="宋体"/>
                <w:color w:val="auto"/>
                <w:lang w:val="en-US" w:eastAsia="zh-CN"/>
              </w:rPr>
              <w:t>风险类型</w:t>
            </w:r>
          </w:p>
        </w:tc>
        <w:tc>
          <w:tcPr>
            <w:tcW w:w="963" w:type="dxa"/>
            <w:shd w:val="clear" w:color="auto" w:fill="auto"/>
            <w:vAlign w:val="center"/>
          </w:tcPr>
          <w:p w14:paraId="42C760D2">
            <w:pPr>
              <w:pStyle w:val="23"/>
              <w:ind w:firstLine="0" w:firstLineChars="0"/>
              <w:jc w:val="center"/>
              <w:rPr>
                <w:rFonts w:hint="eastAsia" w:ascii="宋体" w:hAnsi="Times New Roman" w:eastAsia="宋体" w:cs="Times New Roman"/>
                <w:color w:val="auto"/>
                <w:sz w:val="18"/>
                <w:lang w:val="en-US" w:eastAsia="zh-CN" w:bidi="ar-SA"/>
              </w:rPr>
            </w:pPr>
            <w:r>
              <w:rPr>
                <w:rFonts w:hint="eastAsia" w:ascii="宋体" w:eastAsia="宋体"/>
                <w:color w:val="auto"/>
                <w:lang w:val="en-US" w:eastAsia="zh-CN"/>
              </w:rPr>
              <w:t>风险等级</w:t>
            </w:r>
          </w:p>
        </w:tc>
        <w:tc>
          <w:tcPr>
            <w:tcW w:w="1400" w:type="dxa"/>
            <w:shd w:val="clear" w:color="auto" w:fill="auto"/>
            <w:vAlign w:val="center"/>
          </w:tcPr>
          <w:p w14:paraId="7C057FA6">
            <w:pPr>
              <w:pStyle w:val="23"/>
              <w:ind w:firstLine="0" w:firstLineChars="0"/>
              <w:jc w:val="center"/>
              <w:rPr>
                <w:rFonts w:hint="eastAsia" w:ascii="宋体" w:hAnsi="Times New Roman" w:eastAsia="宋体" w:cs="Times New Roman"/>
                <w:color w:val="auto"/>
                <w:sz w:val="18"/>
                <w:lang w:val="en-US" w:eastAsia="zh-CN" w:bidi="ar-SA"/>
              </w:rPr>
            </w:pPr>
            <w:r>
              <w:rPr>
                <w:rFonts w:hint="eastAsia" w:ascii="宋体" w:eastAsia="宋体"/>
                <w:color w:val="auto"/>
                <w:lang w:val="en-US" w:eastAsia="zh-CN"/>
              </w:rPr>
              <w:t>主要控制措施</w:t>
            </w:r>
          </w:p>
        </w:tc>
      </w:tr>
      <w:tr w14:paraId="5AA165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545" w:type="dxa"/>
            <w:tcBorders>
              <w:top w:val="single" w:color="auto" w:sz="4" w:space="0"/>
              <w:bottom w:val="single" w:color="auto" w:sz="4" w:space="0"/>
            </w:tcBorders>
            <w:shd w:val="clear" w:color="auto" w:fill="auto"/>
            <w:vAlign w:val="center"/>
          </w:tcPr>
          <w:p w14:paraId="775494A9">
            <w:pPr>
              <w:pStyle w:val="22"/>
              <w:jc w:val="center"/>
              <w:rPr>
                <w:rFonts w:hint="eastAsia" w:ascii="宋体" w:hAnsi="Times New Roman" w:eastAsia="宋体" w:cs="Times New Roman"/>
                <w:color w:val="auto"/>
                <w:sz w:val="18"/>
                <w:szCs w:val="20"/>
                <w:lang w:val="en-US" w:eastAsia="en-US" w:bidi="ar-SA"/>
              </w:rPr>
            </w:pPr>
            <w:r>
              <w:rPr>
                <w:rFonts w:hint="eastAsia" w:ascii="宋体" w:hAnsi="Times New Roman" w:eastAsia="宋体" w:cs="Times New Roman"/>
                <w:color w:val="auto"/>
                <w:sz w:val="18"/>
                <w:szCs w:val="20"/>
                <w:lang w:val="en-US" w:eastAsia="en-US" w:bidi="ar-SA"/>
              </w:rPr>
              <w:t>1</w:t>
            </w:r>
          </w:p>
        </w:tc>
        <w:tc>
          <w:tcPr>
            <w:tcW w:w="1273" w:type="dxa"/>
            <w:tcBorders>
              <w:top w:val="single" w:color="auto" w:sz="4" w:space="0"/>
              <w:bottom w:val="single" w:color="auto" w:sz="4" w:space="0"/>
            </w:tcBorders>
            <w:shd w:val="clear" w:color="auto" w:fill="auto"/>
            <w:vAlign w:val="center"/>
          </w:tcPr>
          <w:p w14:paraId="47C3885F">
            <w:pPr>
              <w:pStyle w:val="22"/>
              <w:jc w:val="center"/>
              <w:rPr>
                <w:rFonts w:hint="eastAsia" w:ascii="宋体" w:hAnsi="Times New Roman" w:eastAsia="宋体" w:cs="Times New Roman"/>
                <w:color w:val="auto"/>
                <w:sz w:val="18"/>
                <w:szCs w:val="20"/>
                <w:lang w:val="en-US" w:eastAsia="en-US" w:bidi="ar-SA"/>
              </w:rPr>
            </w:pPr>
            <w:r>
              <w:rPr>
                <w:rFonts w:hint="eastAsia" w:ascii="宋体" w:hAnsi="Times New Roman" w:eastAsia="宋体" w:cs="Times New Roman"/>
                <w:color w:val="auto"/>
                <w:sz w:val="18"/>
                <w:szCs w:val="20"/>
                <w:lang w:val="en-US" w:eastAsia="en-US" w:bidi="ar-SA"/>
              </w:rPr>
              <w:t>采购要求</w:t>
            </w:r>
          </w:p>
        </w:tc>
        <w:tc>
          <w:tcPr>
            <w:tcW w:w="790" w:type="dxa"/>
            <w:tcBorders>
              <w:top w:val="single" w:color="auto" w:sz="4" w:space="0"/>
            </w:tcBorders>
            <w:shd w:val="clear" w:color="auto" w:fill="auto"/>
            <w:vAlign w:val="center"/>
          </w:tcPr>
          <w:p w14:paraId="6A849876">
            <w:pPr>
              <w:pStyle w:val="22"/>
              <w:jc w:val="center"/>
              <w:rPr>
                <w:rFonts w:hint="eastAsia" w:ascii="宋体" w:hAnsi="Times New Roman" w:eastAsia="宋体" w:cs="Times New Roman"/>
                <w:color w:val="auto"/>
                <w:sz w:val="18"/>
                <w:szCs w:val="20"/>
                <w:lang w:val="en-US" w:eastAsia="en-US" w:bidi="ar-SA"/>
              </w:rPr>
            </w:pPr>
            <w:r>
              <w:rPr>
                <w:rFonts w:hint="eastAsia" w:ascii="宋体" w:hAnsi="Times New Roman" w:eastAsia="宋体" w:cs="Times New Roman"/>
                <w:color w:val="auto"/>
                <w:sz w:val="18"/>
                <w:szCs w:val="20"/>
                <w:lang w:val="en-US" w:eastAsia="en-US" w:bidi="ar-SA"/>
              </w:rPr>
              <w:t>1.1</w:t>
            </w:r>
          </w:p>
        </w:tc>
        <w:tc>
          <w:tcPr>
            <w:tcW w:w="2397" w:type="dxa"/>
            <w:shd w:val="clear" w:color="auto" w:fill="auto"/>
            <w:vAlign w:val="center"/>
          </w:tcPr>
          <w:p w14:paraId="0F94BF4A">
            <w:pPr>
              <w:pStyle w:val="22"/>
              <w:jc w:val="center"/>
              <w:rPr>
                <w:rFonts w:hint="eastAsia" w:ascii="宋体" w:hAnsi="Times New Roman" w:eastAsia="宋体" w:cs="Times New Roman"/>
                <w:color w:val="auto"/>
                <w:sz w:val="18"/>
                <w:szCs w:val="20"/>
                <w:lang w:val="en-US" w:eastAsia="zh-CN" w:bidi="ar-SA"/>
              </w:rPr>
            </w:pPr>
            <w:r>
              <w:rPr>
                <w:rFonts w:hint="eastAsia" w:ascii="宋体" w:hAnsi="Times New Roman" w:eastAsia="宋体" w:cs="Times New Roman"/>
                <w:color w:val="auto"/>
                <w:sz w:val="18"/>
                <w:szCs w:val="20"/>
                <w:lang w:val="en-US" w:eastAsia="zh-CN" w:bidi="ar-SA"/>
              </w:rPr>
              <w:t>原辅料采购标准不能满足法律法规要求和生产需求</w:t>
            </w:r>
          </w:p>
        </w:tc>
        <w:tc>
          <w:tcPr>
            <w:tcW w:w="930" w:type="dxa"/>
            <w:shd w:val="clear" w:color="auto" w:fill="auto"/>
            <w:vAlign w:val="center"/>
          </w:tcPr>
          <w:p w14:paraId="02B8B9F5">
            <w:pPr>
              <w:pStyle w:val="22"/>
              <w:jc w:val="center"/>
              <w:rPr>
                <w:rFonts w:hint="eastAsia" w:ascii="宋体" w:hAnsi="Times New Roman" w:eastAsia="宋体" w:cs="Times New Roman"/>
                <w:color w:val="auto"/>
                <w:sz w:val="18"/>
                <w:szCs w:val="20"/>
                <w:lang w:val="en-US" w:eastAsia="en-US" w:bidi="ar-SA"/>
              </w:rPr>
            </w:pPr>
            <w:r>
              <w:rPr>
                <w:rFonts w:hint="eastAsia" w:ascii="宋体" w:hAnsi="Times New Roman" w:eastAsia="宋体" w:cs="Times New Roman"/>
                <w:color w:val="auto"/>
                <w:sz w:val="18"/>
                <w:szCs w:val="20"/>
                <w:lang w:val="en-US" w:eastAsia="en-US" w:bidi="ar-SA"/>
              </w:rPr>
              <w:t>技术风险</w:t>
            </w:r>
          </w:p>
        </w:tc>
        <w:tc>
          <w:tcPr>
            <w:tcW w:w="963" w:type="dxa"/>
            <w:shd w:val="clear" w:color="auto" w:fill="auto"/>
            <w:vAlign w:val="center"/>
          </w:tcPr>
          <w:p w14:paraId="15D7CE1E">
            <w:pPr>
              <w:pStyle w:val="22"/>
              <w:jc w:val="center"/>
              <w:rPr>
                <w:rFonts w:hint="eastAsia" w:ascii="宋体" w:hAnsi="Times New Roman" w:eastAsia="宋体" w:cs="Times New Roman"/>
                <w:color w:val="auto"/>
                <w:sz w:val="18"/>
                <w:szCs w:val="20"/>
                <w:lang w:val="en-US" w:eastAsia="en-US" w:bidi="ar-SA"/>
              </w:rPr>
            </w:pPr>
            <w:r>
              <w:rPr>
                <w:rFonts w:hint="eastAsia" w:ascii="宋体" w:hAnsi="Times New Roman" w:eastAsia="宋体" w:cs="Times New Roman"/>
                <w:color w:val="auto"/>
                <w:sz w:val="18"/>
                <w:szCs w:val="20"/>
                <w:lang w:val="en-US" w:eastAsia="en-US" w:bidi="ar-SA"/>
              </w:rPr>
              <w:t>Ⅱ级</w:t>
            </w:r>
          </w:p>
        </w:tc>
        <w:tc>
          <w:tcPr>
            <w:tcW w:w="1400" w:type="dxa"/>
            <w:shd w:val="clear" w:color="auto" w:fill="auto"/>
            <w:vAlign w:val="center"/>
          </w:tcPr>
          <w:p w14:paraId="6D5C816A">
            <w:pPr>
              <w:pStyle w:val="22"/>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Times New Roman" w:eastAsia="宋体" w:cs="Times New Roman"/>
                <w:color w:val="auto"/>
                <w:sz w:val="18"/>
                <w:szCs w:val="20"/>
                <w:lang w:val="en-US" w:eastAsia="en-US" w:bidi="ar-SA"/>
              </w:rPr>
            </w:pPr>
            <w:r>
              <w:rPr>
                <w:rFonts w:hint="eastAsia" w:ascii="宋体" w:hAnsi="Times New Roman" w:eastAsia="宋体" w:cs="Times New Roman"/>
                <w:color w:val="auto"/>
                <w:sz w:val="18"/>
                <w:szCs w:val="20"/>
                <w:lang w:val="en-US" w:eastAsia="zh-CN" w:bidi="ar-SA"/>
              </w:rPr>
              <w:t>制定各原辅料的采购执行标准，规定主要的质量安全指标、规格等级、包装要求、运输要求、可追溯要求</w:t>
            </w:r>
          </w:p>
        </w:tc>
      </w:tr>
      <w:tr w14:paraId="3F7933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545" w:type="dxa"/>
            <w:vMerge w:val="restart"/>
            <w:tcBorders>
              <w:top w:val="single" w:color="auto" w:sz="4" w:space="0"/>
            </w:tcBorders>
            <w:shd w:val="clear" w:color="auto" w:fill="auto"/>
            <w:vAlign w:val="center"/>
          </w:tcPr>
          <w:p w14:paraId="7348EFED">
            <w:pPr>
              <w:pStyle w:val="22"/>
              <w:jc w:val="center"/>
              <w:rPr>
                <w:rFonts w:hint="eastAsia" w:ascii="宋体" w:hAnsi="Times New Roman" w:eastAsia="宋体" w:cs="Times New Roman"/>
                <w:color w:val="auto"/>
                <w:sz w:val="18"/>
                <w:szCs w:val="20"/>
                <w:lang w:val="en-US" w:eastAsia="zh-CN" w:bidi="ar-SA"/>
              </w:rPr>
            </w:pPr>
            <w:r>
              <w:rPr>
                <w:rFonts w:hint="eastAsia" w:ascii="宋体" w:hAnsi="Times New Roman" w:eastAsia="宋体" w:cs="Times New Roman"/>
                <w:color w:val="auto"/>
                <w:sz w:val="18"/>
                <w:szCs w:val="20"/>
                <w:lang w:val="en-US" w:eastAsia="zh-CN" w:bidi="ar-SA"/>
              </w:rPr>
              <w:t>2</w:t>
            </w:r>
          </w:p>
        </w:tc>
        <w:tc>
          <w:tcPr>
            <w:tcW w:w="1273" w:type="dxa"/>
            <w:vMerge w:val="restart"/>
            <w:tcBorders>
              <w:top w:val="single" w:color="auto" w:sz="4" w:space="0"/>
            </w:tcBorders>
            <w:shd w:val="clear" w:color="auto" w:fill="auto"/>
            <w:vAlign w:val="center"/>
          </w:tcPr>
          <w:p w14:paraId="248BC5FF">
            <w:pPr>
              <w:pStyle w:val="22"/>
              <w:jc w:val="center"/>
              <w:rPr>
                <w:rFonts w:hint="eastAsia" w:ascii="宋体" w:hAnsi="Times New Roman" w:eastAsia="宋体" w:cs="Times New Roman"/>
                <w:color w:val="auto"/>
                <w:sz w:val="18"/>
                <w:szCs w:val="20"/>
                <w:lang w:val="en-US" w:eastAsia="zh-CN" w:bidi="ar-SA"/>
              </w:rPr>
            </w:pPr>
            <w:r>
              <w:rPr>
                <w:rFonts w:hint="eastAsia" w:ascii="宋体" w:hAnsi="Times New Roman" w:eastAsia="宋体" w:cs="Times New Roman"/>
                <w:color w:val="auto"/>
                <w:sz w:val="18"/>
                <w:szCs w:val="20"/>
                <w:lang w:val="en-US" w:eastAsia="zh-CN" w:bidi="ar-SA"/>
              </w:rPr>
              <w:t>供应商选择与</w:t>
            </w:r>
          </w:p>
          <w:p w14:paraId="66819B8C">
            <w:pPr>
              <w:pStyle w:val="22"/>
              <w:jc w:val="center"/>
              <w:rPr>
                <w:rFonts w:hint="default" w:ascii="宋体" w:hAnsi="Times New Roman" w:eastAsia="宋体" w:cs="Times New Roman"/>
                <w:color w:val="auto"/>
                <w:sz w:val="18"/>
                <w:szCs w:val="20"/>
                <w:lang w:val="en-US" w:eastAsia="zh-CN" w:bidi="ar-SA"/>
              </w:rPr>
            </w:pPr>
            <w:r>
              <w:rPr>
                <w:rFonts w:hint="eastAsia" w:ascii="宋体" w:hAnsi="Times New Roman" w:eastAsia="宋体" w:cs="Times New Roman"/>
                <w:color w:val="auto"/>
                <w:sz w:val="18"/>
                <w:szCs w:val="20"/>
                <w:lang w:val="en-US" w:eastAsia="zh-CN" w:bidi="ar-SA"/>
              </w:rPr>
              <w:t>评估</w:t>
            </w:r>
          </w:p>
        </w:tc>
        <w:tc>
          <w:tcPr>
            <w:tcW w:w="790" w:type="dxa"/>
            <w:shd w:val="clear" w:color="auto" w:fill="auto"/>
            <w:vAlign w:val="center"/>
          </w:tcPr>
          <w:p w14:paraId="27D25D47">
            <w:pPr>
              <w:pStyle w:val="22"/>
              <w:jc w:val="center"/>
              <w:rPr>
                <w:rFonts w:hint="eastAsia" w:ascii="宋体" w:hAnsi="Times New Roman" w:eastAsia="宋体" w:cs="Times New Roman"/>
                <w:color w:val="auto"/>
                <w:sz w:val="18"/>
                <w:szCs w:val="20"/>
                <w:lang w:val="en-US" w:eastAsia="en-US" w:bidi="ar-SA"/>
              </w:rPr>
            </w:pPr>
            <w:r>
              <w:rPr>
                <w:rFonts w:hint="eastAsia" w:ascii="宋体" w:hAnsi="Times New Roman" w:eastAsia="宋体" w:cs="Times New Roman"/>
                <w:color w:val="auto"/>
                <w:sz w:val="18"/>
                <w:szCs w:val="20"/>
                <w:lang w:val="en-US" w:eastAsia="en-US" w:bidi="ar-SA"/>
              </w:rPr>
              <w:t>2.1</w:t>
            </w:r>
          </w:p>
        </w:tc>
        <w:tc>
          <w:tcPr>
            <w:tcW w:w="2397" w:type="dxa"/>
            <w:shd w:val="clear" w:color="auto" w:fill="auto"/>
            <w:vAlign w:val="center"/>
          </w:tcPr>
          <w:p w14:paraId="04048D54">
            <w:pPr>
              <w:pStyle w:val="22"/>
              <w:jc w:val="center"/>
              <w:rPr>
                <w:rFonts w:hint="eastAsia" w:ascii="宋体" w:hAnsi="Times New Roman" w:eastAsia="宋体" w:cs="Times New Roman"/>
                <w:color w:val="auto"/>
                <w:sz w:val="18"/>
                <w:szCs w:val="20"/>
                <w:lang w:val="en-US" w:eastAsia="zh-CN" w:bidi="ar-SA"/>
              </w:rPr>
            </w:pPr>
            <w:r>
              <w:rPr>
                <w:rFonts w:hint="eastAsia" w:ascii="宋体" w:hAnsi="Times New Roman" w:eastAsia="宋体" w:cs="Times New Roman"/>
                <w:color w:val="auto"/>
                <w:sz w:val="18"/>
                <w:szCs w:val="20"/>
                <w:lang w:val="en-US" w:eastAsia="zh-CN" w:bidi="ar-SA"/>
              </w:rPr>
              <w:t>供应商没有供货资质或资质</w:t>
            </w:r>
          </w:p>
          <w:p w14:paraId="0DD2390D">
            <w:pPr>
              <w:pStyle w:val="22"/>
              <w:jc w:val="center"/>
              <w:rPr>
                <w:rFonts w:hint="eastAsia" w:ascii="宋体" w:hAnsi="Times New Roman" w:eastAsia="宋体" w:cs="Times New Roman"/>
                <w:color w:val="auto"/>
                <w:sz w:val="18"/>
                <w:szCs w:val="20"/>
                <w:lang w:val="en-US" w:eastAsia="zh-CN" w:bidi="ar-SA"/>
              </w:rPr>
            </w:pPr>
            <w:r>
              <w:rPr>
                <w:rFonts w:hint="eastAsia" w:ascii="宋体" w:hAnsi="Times New Roman" w:eastAsia="宋体" w:cs="Times New Roman"/>
                <w:color w:val="auto"/>
                <w:sz w:val="18"/>
                <w:szCs w:val="20"/>
                <w:lang w:val="en-US" w:eastAsia="zh-CN" w:bidi="ar-SA"/>
              </w:rPr>
              <w:t>不全</w:t>
            </w:r>
          </w:p>
        </w:tc>
        <w:tc>
          <w:tcPr>
            <w:tcW w:w="930" w:type="dxa"/>
            <w:shd w:val="clear" w:color="auto" w:fill="auto"/>
            <w:vAlign w:val="center"/>
          </w:tcPr>
          <w:p w14:paraId="3BA5B083">
            <w:pPr>
              <w:pStyle w:val="22"/>
              <w:jc w:val="center"/>
              <w:rPr>
                <w:rFonts w:hint="eastAsia" w:ascii="宋体" w:hAnsi="Times New Roman" w:eastAsia="宋体" w:cs="Times New Roman"/>
                <w:color w:val="auto"/>
                <w:sz w:val="18"/>
                <w:szCs w:val="20"/>
                <w:lang w:val="en-US" w:eastAsia="en-US" w:bidi="ar-SA"/>
              </w:rPr>
            </w:pPr>
            <w:r>
              <w:rPr>
                <w:rFonts w:hint="eastAsia" w:ascii="宋体" w:hAnsi="Times New Roman" w:eastAsia="宋体" w:cs="Times New Roman"/>
                <w:color w:val="auto"/>
                <w:sz w:val="18"/>
                <w:szCs w:val="20"/>
                <w:lang w:val="en-US" w:eastAsia="en-US" w:bidi="ar-SA"/>
              </w:rPr>
              <w:t>操作风险</w:t>
            </w:r>
          </w:p>
        </w:tc>
        <w:tc>
          <w:tcPr>
            <w:tcW w:w="963" w:type="dxa"/>
            <w:shd w:val="clear" w:color="auto" w:fill="auto"/>
            <w:vAlign w:val="center"/>
          </w:tcPr>
          <w:p w14:paraId="61A30349">
            <w:pPr>
              <w:pStyle w:val="22"/>
              <w:jc w:val="center"/>
              <w:rPr>
                <w:rFonts w:hint="eastAsia" w:ascii="宋体" w:hAnsi="Times New Roman" w:eastAsia="宋体" w:cs="Times New Roman"/>
                <w:color w:val="auto"/>
                <w:sz w:val="18"/>
                <w:szCs w:val="20"/>
                <w:lang w:val="en-US" w:eastAsia="en-US" w:bidi="ar-SA"/>
              </w:rPr>
            </w:pPr>
            <w:r>
              <w:rPr>
                <w:rFonts w:hint="eastAsia" w:ascii="宋体" w:hAnsi="Times New Roman" w:eastAsia="宋体" w:cs="Times New Roman"/>
                <w:color w:val="auto"/>
                <w:sz w:val="18"/>
                <w:szCs w:val="20"/>
                <w:lang w:val="en-US" w:eastAsia="en-US" w:bidi="ar-SA"/>
              </w:rPr>
              <w:t>Ⅱ级</w:t>
            </w:r>
          </w:p>
        </w:tc>
        <w:tc>
          <w:tcPr>
            <w:tcW w:w="1400" w:type="dxa"/>
            <w:shd w:val="clear" w:color="auto" w:fill="auto"/>
            <w:vAlign w:val="center"/>
          </w:tcPr>
          <w:p w14:paraId="3D9AEAFF">
            <w:pPr>
              <w:pStyle w:val="22"/>
              <w:jc w:val="center"/>
              <w:rPr>
                <w:rFonts w:hint="eastAsia" w:ascii="宋体" w:hAnsi="Times New Roman" w:eastAsia="宋体" w:cs="Times New Roman"/>
                <w:color w:val="auto"/>
                <w:sz w:val="18"/>
                <w:szCs w:val="20"/>
                <w:lang w:val="en-US" w:eastAsia="en-US" w:bidi="ar-SA"/>
              </w:rPr>
            </w:pPr>
            <w:r>
              <w:rPr>
                <w:rFonts w:hint="eastAsia" w:ascii="宋体" w:hAnsi="Times New Roman" w:eastAsia="宋体" w:cs="Times New Roman"/>
                <w:color w:val="auto"/>
                <w:sz w:val="18"/>
                <w:szCs w:val="20"/>
                <w:lang w:val="en-US" w:eastAsia="zh-CN" w:bidi="ar-SA"/>
              </w:rPr>
              <w:t>规定供应商资质审查的内容，并实施</w:t>
            </w:r>
          </w:p>
        </w:tc>
      </w:tr>
      <w:tr w14:paraId="18A0C7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545" w:type="dxa"/>
            <w:vMerge w:val="continue"/>
            <w:vAlign w:val="center"/>
          </w:tcPr>
          <w:p w14:paraId="78EAE565">
            <w:pPr>
              <w:pStyle w:val="22"/>
              <w:jc w:val="center"/>
              <w:rPr>
                <w:rFonts w:hint="eastAsia" w:ascii="宋体" w:hAnsi="Times New Roman" w:eastAsia="宋体" w:cs="Times New Roman"/>
                <w:color w:val="auto"/>
                <w:sz w:val="18"/>
                <w:szCs w:val="20"/>
                <w:lang w:val="en-US" w:eastAsia="en-US" w:bidi="ar-SA"/>
              </w:rPr>
            </w:pPr>
          </w:p>
        </w:tc>
        <w:tc>
          <w:tcPr>
            <w:tcW w:w="1273" w:type="dxa"/>
            <w:vMerge w:val="continue"/>
            <w:vAlign w:val="center"/>
          </w:tcPr>
          <w:p w14:paraId="0A80D6FF">
            <w:pPr>
              <w:pStyle w:val="22"/>
              <w:jc w:val="center"/>
              <w:rPr>
                <w:rFonts w:hint="eastAsia" w:ascii="宋体" w:hAnsi="Times New Roman" w:eastAsia="宋体" w:cs="Times New Roman"/>
                <w:color w:val="auto"/>
                <w:sz w:val="18"/>
                <w:szCs w:val="20"/>
                <w:lang w:val="en-US" w:eastAsia="en-US" w:bidi="ar-SA"/>
              </w:rPr>
            </w:pPr>
          </w:p>
        </w:tc>
        <w:tc>
          <w:tcPr>
            <w:tcW w:w="790" w:type="dxa"/>
            <w:vAlign w:val="center"/>
          </w:tcPr>
          <w:p w14:paraId="6CF2E220">
            <w:pPr>
              <w:pStyle w:val="22"/>
              <w:jc w:val="center"/>
              <w:rPr>
                <w:rFonts w:hint="eastAsia" w:ascii="宋体" w:hAnsi="Times New Roman" w:eastAsia="宋体" w:cs="Times New Roman"/>
                <w:color w:val="auto"/>
                <w:sz w:val="18"/>
                <w:szCs w:val="20"/>
                <w:lang w:val="en-US" w:eastAsia="en-US" w:bidi="ar-SA"/>
              </w:rPr>
            </w:pPr>
            <w:r>
              <w:rPr>
                <w:rFonts w:hint="eastAsia" w:ascii="宋体" w:hAnsi="Times New Roman" w:eastAsia="宋体" w:cs="Times New Roman"/>
                <w:color w:val="auto"/>
                <w:sz w:val="18"/>
                <w:szCs w:val="20"/>
                <w:lang w:val="en-US" w:eastAsia="en-US" w:bidi="ar-SA"/>
              </w:rPr>
              <w:t>2.2</w:t>
            </w:r>
          </w:p>
        </w:tc>
        <w:tc>
          <w:tcPr>
            <w:tcW w:w="2397" w:type="dxa"/>
            <w:vAlign w:val="center"/>
          </w:tcPr>
          <w:p w14:paraId="1426E8F5">
            <w:pPr>
              <w:pStyle w:val="22"/>
              <w:jc w:val="center"/>
              <w:rPr>
                <w:rFonts w:hint="eastAsia" w:ascii="宋体" w:hAnsi="Times New Roman" w:eastAsia="宋体" w:cs="Times New Roman"/>
                <w:color w:val="auto"/>
                <w:sz w:val="18"/>
                <w:szCs w:val="20"/>
                <w:lang w:val="en-US" w:eastAsia="zh-CN" w:bidi="ar-SA"/>
              </w:rPr>
            </w:pPr>
            <w:r>
              <w:rPr>
                <w:rFonts w:hint="eastAsia" w:ascii="宋体" w:hAnsi="Times New Roman" w:eastAsia="宋体" w:cs="Times New Roman"/>
                <w:color w:val="auto"/>
                <w:sz w:val="18"/>
                <w:szCs w:val="20"/>
                <w:lang w:val="en-US" w:eastAsia="zh-CN" w:bidi="ar-SA"/>
              </w:rPr>
              <w:t>供应商提供的样品未进行检验或检验项目不完整</w:t>
            </w:r>
          </w:p>
        </w:tc>
        <w:tc>
          <w:tcPr>
            <w:tcW w:w="930" w:type="dxa"/>
            <w:vAlign w:val="center"/>
          </w:tcPr>
          <w:p w14:paraId="62F2A5EC">
            <w:pPr>
              <w:pStyle w:val="22"/>
              <w:jc w:val="center"/>
              <w:rPr>
                <w:rFonts w:hint="eastAsia" w:ascii="宋体" w:hAnsi="Times New Roman" w:eastAsia="宋体" w:cs="Times New Roman"/>
                <w:color w:val="auto"/>
                <w:sz w:val="18"/>
                <w:szCs w:val="20"/>
                <w:lang w:val="en-US" w:eastAsia="en-US" w:bidi="ar-SA"/>
              </w:rPr>
            </w:pPr>
            <w:r>
              <w:rPr>
                <w:rFonts w:hint="eastAsia" w:ascii="宋体" w:hAnsi="Times New Roman" w:eastAsia="宋体" w:cs="Times New Roman"/>
                <w:color w:val="auto"/>
                <w:sz w:val="18"/>
                <w:szCs w:val="20"/>
                <w:lang w:val="en-US" w:eastAsia="en-US" w:bidi="ar-SA"/>
              </w:rPr>
              <w:t>操作风险</w:t>
            </w:r>
          </w:p>
        </w:tc>
        <w:tc>
          <w:tcPr>
            <w:tcW w:w="963" w:type="dxa"/>
            <w:vAlign w:val="center"/>
          </w:tcPr>
          <w:p w14:paraId="5857F547">
            <w:pPr>
              <w:pStyle w:val="22"/>
              <w:jc w:val="center"/>
              <w:rPr>
                <w:rFonts w:hint="eastAsia" w:ascii="宋体" w:hAnsi="Times New Roman" w:eastAsia="宋体" w:cs="Times New Roman"/>
                <w:color w:val="auto"/>
                <w:sz w:val="18"/>
                <w:szCs w:val="20"/>
                <w:lang w:val="en-US" w:eastAsia="en-US" w:bidi="ar-SA"/>
              </w:rPr>
            </w:pPr>
            <w:r>
              <w:rPr>
                <w:rFonts w:hint="eastAsia" w:ascii="宋体" w:hAnsi="Times New Roman" w:eastAsia="宋体" w:cs="Times New Roman"/>
                <w:color w:val="auto"/>
                <w:sz w:val="18"/>
                <w:szCs w:val="20"/>
                <w:lang w:val="en-US" w:eastAsia="en-US" w:bidi="ar-SA"/>
              </w:rPr>
              <w:t>Ⅱ级</w:t>
            </w:r>
          </w:p>
        </w:tc>
        <w:tc>
          <w:tcPr>
            <w:tcW w:w="1400" w:type="dxa"/>
            <w:vAlign w:val="center"/>
          </w:tcPr>
          <w:p w14:paraId="3E0D3392">
            <w:pPr>
              <w:pStyle w:val="22"/>
              <w:jc w:val="center"/>
              <w:rPr>
                <w:rFonts w:hint="eastAsia" w:ascii="宋体" w:hAnsi="Times New Roman" w:eastAsia="宋体" w:cs="Times New Roman"/>
                <w:color w:val="auto"/>
                <w:sz w:val="18"/>
                <w:szCs w:val="20"/>
                <w:lang w:val="en-US" w:eastAsia="zh-CN" w:bidi="ar-SA"/>
              </w:rPr>
            </w:pPr>
            <w:r>
              <w:rPr>
                <w:rFonts w:hint="eastAsia" w:ascii="宋体" w:hAnsi="Times New Roman" w:eastAsia="宋体" w:cs="Times New Roman"/>
                <w:color w:val="auto"/>
                <w:sz w:val="18"/>
                <w:szCs w:val="20"/>
                <w:lang w:val="en-US" w:eastAsia="zh-CN" w:bidi="ar-SA"/>
              </w:rPr>
              <w:t>规定供应商样品测试的内容，并实施</w:t>
            </w:r>
          </w:p>
        </w:tc>
      </w:tr>
      <w:tr w14:paraId="2D9202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2" w:hRule="atLeast"/>
        </w:trPr>
        <w:tc>
          <w:tcPr>
            <w:tcW w:w="545" w:type="dxa"/>
            <w:vMerge w:val="continue"/>
            <w:tcBorders>
              <w:bottom w:val="single" w:color="auto" w:sz="4" w:space="0"/>
            </w:tcBorders>
            <w:vAlign w:val="center"/>
          </w:tcPr>
          <w:p w14:paraId="5460162A">
            <w:pPr>
              <w:pStyle w:val="22"/>
              <w:jc w:val="center"/>
              <w:rPr>
                <w:rFonts w:hint="eastAsia" w:ascii="宋体" w:hAnsi="Times New Roman" w:eastAsia="宋体" w:cs="Times New Roman"/>
                <w:color w:val="auto"/>
                <w:sz w:val="18"/>
                <w:szCs w:val="20"/>
                <w:lang w:val="en-US" w:eastAsia="en-US" w:bidi="ar-SA"/>
              </w:rPr>
            </w:pPr>
          </w:p>
        </w:tc>
        <w:tc>
          <w:tcPr>
            <w:tcW w:w="1273" w:type="dxa"/>
            <w:vMerge w:val="continue"/>
            <w:tcBorders>
              <w:bottom w:val="single" w:color="auto" w:sz="4" w:space="0"/>
            </w:tcBorders>
            <w:vAlign w:val="center"/>
          </w:tcPr>
          <w:p w14:paraId="420CDD8F">
            <w:pPr>
              <w:pStyle w:val="22"/>
              <w:jc w:val="center"/>
              <w:rPr>
                <w:rFonts w:hint="eastAsia" w:ascii="宋体" w:hAnsi="Times New Roman" w:eastAsia="宋体" w:cs="Times New Roman"/>
                <w:color w:val="auto"/>
                <w:sz w:val="18"/>
                <w:szCs w:val="20"/>
                <w:lang w:val="en-US" w:eastAsia="en-US" w:bidi="ar-SA"/>
              </w:rPr>
            </w:pPr>
          </w:p>
        </w:tc>
        <w:tc>
          <w:tcPr>
            <w:tcW w:w="790" w:type="dxa"/>
            <w:vAlign w:val="center"/>
          </w:tcPr>
          <w:p w14:paraId="38EDCE02">
            <w:pPr>
              <w:pStyle w:val="22"/>
              <w:jc w:val="center"/>
              <w:rPr>
                <w:rFonts w:hint="eastAsia" w:ascii="宋体" w:hAnsi="Times New Roman" w:eastAsia="宋体" w:cs="Times New Roman"/>
                <w:color w:val="auto"/>
                <w:sz w:val="18"/>
                <w:szCs w:val="20"/>
                <w:lang w:val="en-US" w:eastAsia="en-US" w:bidi="ar-SA"/>
              </w:rPr>
            </w:pPr>
            <w:r>
              <w:rPr>
                <w:rFonts w:hint="eastAsia" w:ascii="宋体" w:hAnsi="Times New Roman" w:eastAsia="宋体" w:cs="Times New Roman"/>
                <w:color w:val="auto"/>
                <w:sz w:val="18"/>
                <w:szCs w:val="20"/>
                <w:lang w:val="en-US" w:eastAsia="en-US" w:bidi="ar-SA"/>
              </w:rPr>
              <w:t>2.3</w:t>
            </w:r>
          </w:p>
        </w:tc>
        <w:tc>
          <w:tcPr>
            <w:tcW w:w="2397" w:type="dxa"/>
            <w:vAlign w:val="center"/>
          </w:tcPr>
          <w:p w14:paraId="4B136BBB">
            <w:pPr>
              <w:pStyle w:val="22"/>
              <w:jc w:val="center"/>
              <w:rPr>
                <w:rFonts w:hint="eastAsia" w:ascii="宋体" w:hAnsi="Times New Roman" w:eastAsia="宋体" w:cs="Times New Roman"/>
                <w:color w:val="auto"/>
                <w:sz w:val="18"/>
                <w:szCs w:val="20"/>
                <w:lang w:val="en-US" w:eastAsia="zh-CN" w:bidi="ar-SA"/>
              </w:rPr>
            </w:pPr>
            <w:r>
              <w:rPr>
                <w:rFonts w:hint="eastAsia" w:ascii="宋体" w:hAnsi="Times New Roman" w:eastAsia="宋体" w:cs="Times New Roman"/>
                <w:color w:val="auto"/>
                <w:sz w:val="18"/>
                <w:szCs w:val="20"/>
                <w:lang w:val="en-US" w:eastAsia="zh-CN" w:bidi="ar-SA"/>
              </w:rPr>
              <w:t>对供应商的现场审核项目不全面，或现场扦样不正确</w:t>
            </w:r>
          </w:p>
        </w:tc>
        <w:tc>
          <w:tcPr>
            <w:tcW w:w="930" w:type="dxa"/>
            <w:vAlign w:val="center"/>
          </w:tcPr>
          <w:p w14:paraId="6D3F4867">
            <w:pPr>
              <w:pStyle w:val="22"/>
              <w:jc w:val="center"/>
              <w:rPr>
                <w:rFonts w:hint="eastAsia" w:ascii="宋体" w:hAnsi="Times New Roman" w:eastAsia="宋体" w:cs="Times New Roman"/>
                <w:color w:val="auto"/>
                <w:sz w:val="18"/>
                <w:szCs w:val="20"/>
                <w:lang w:val="en-US" w:eastAsia="en-US" w:bidi="ar-SA"/>
              </w:rPr>
            </w:pPr>
            <w:r>
              <w:rPr>
                <w:rFonts w:hint="eastAsia" w:ascii="宋体" w:hAnsi="Times New Roman" w:eastAsia="宋体" w:cs="Times New Roman"/>
                <w:color w:val="auto"/>
                <w:sz w:val="18"/>
                <w:szCs w:val="20"/>
                <w:lang w:val="en-US" w:eastAsia="en-US" w:bidi="ar-SA"/>
              </w:rPr>
              <w:t>操作风险</w:t>
            </w:r>
          </w:p>
        </w:tc>
        <w:tc>
          <w:tcPr>
            <w:tcW w:w="963" w:type="dxa"/>
            <w:vAlign w:val="center"/>
          </w:tcPr>
          <w:p w14:paraId="5037333D">
            <w:pPr>
              <w:pStyle w:val="22"/>
              <w:jc w:val="center"/>
              <w:rPr>
                <w:rFonts w:hint="eastAsia" w:ascii="宋体" w:hAnsi="Times New Roman" w:eastAsia="宋体" w:cs="Times New Roman"/>
                <w:color w:val="auto"/>
                <w:sz w:val="18"/>
                <w:szCs w:val="20"/>
                <w:lang w:val="en-US" w:eastAsia="en-US" w:bidi="ar-SA"/>
              </w:rPr>
            </w:pPr>
            <w:r>
              <w:rPr>
                <w:rFonts w:hint="eastAsia" w:ascii="宋体" w:hAnsi="Times New Roman" w:eastAsia="宋体" w:cs="Times New Roman"/>
                <w:color w:val="auto"/>
                <w:sz w:val="18"/>
                <w:szCs w:val="20"/>
                <w:lang w:val="en-US" w:eastAsia="en-US" w:bidi="ar-SA"/>
              </w:rPr>
              <w:t>Ⅱ级</w:t>
            </w:r>
          </w:p>
        </w:tc>
        <w:tc>
          <w:tcPr>
            <w:tcW w:w="1400" w:type="dxa"/>
            <w:vAlign w:val="center"/>
          </w:tcPr>
          <w:p w14:paraId="10871568">
            <w:pPr>
              <w:pStyle w:val="22"/>
              <w:jc w:val="center"/>
              <w:rPr>
                <w:rFonts w:hint="eastAsia" w:ascii="宋体" w:hAnsi="Times New Roman" w:eastAsia="宋体" w:cs="Times New Roman"/>
                <w:color w:val="auto"/>
                <w:sz w:val="18"/>
                <w:szCs w:val="20"/>
                <w:lang w:val="en-US" w:eastAsia="zh-CN" w:bidi="ar-SA"/>
              </w:rPr>
            </w:pPr>
            <w:r>
              <w:rPr>
                <w:rFonts w:hint="eastAsia" w:ascii="宋体" w:hAnsi="Times New Roman" w:eastAsia="宋体" w:cs="Times New Roman"/>
                <w:color w:val="auto"/>
                <w:sz w:val="18"/>
                <w:szCs w:val="20"/>
                <w:lang w:val="en-US" w:eastAsia="zh-CN" w:bidi="ar-SA"/>
              </w:rPr>
              <w:t>规定供应商现场审核的内容，并实施</w:t>
            </w:r>
          </w:p>
        </w:tc>
      </w:tr>
      <w:tr w14:paraId="042C91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545" w:type="dxa"/>
            <w:vMerge w:val="restart"/>
            <w:tcBorders>
              <w:top w:val="single" w:color="auto" w:sz="4" w:space="0"/>
              <w:bottom w:val="single" w:color="auto" w:sz="4" w:space="0"/>
            </w:tcBorders>
            <w:vAlign w:val="center"/>
          </w:tcPr>
          <w:p w14:paraId="660827C2">
            <w:pPr>
              <w:pStyle w:val="22"/>
              <w:jc w:val="center"/>
              <w:rPr>
                <w:rFonts w:hint="eastAsia" w:ascii="宋体" w:hAnsi="Times New Roman" w:eastAsia="宋体" w:cs="Times New Roman"/>
                <w:color w:val="auto"/>
                <w:sz w:val="18"/>
                <w:szCs w:val="20"/>
                <w:lang w:val="en-US" w:eastAsia="en-US" w:bidi="ar-SA"/>
              </w:rPr>
            </w:pPr>
            <w:r>
              <w:rPr>
                <w:rFonts w:hint="eastAsia" w:ascii="宋体" w:hAnsi="Times New Roman" w:eastAsia="宋体" w:cs="Times New Roman"/>
                <w:color w:val="auto"/>
                <w:sz w:val="18"/>
                <w:szCs w:val="20"/>
                <w:lang w:val="en-US" w:eastAsia="en-US" w:bidi="ar-SA"/>
              </w:rPr>
              <w:t>3</w:t>
            </w:r>
          </w:p>
        </w:tc>
        <w:tc>
          <w:tcPr>
            <w:tcW w:w="1273" w:type="dxa"/>
            <w:vMerge w:val="restart"/>
            <w:tcBorders>
              <w:top w:val="single" w:color="auto" w:sz="4" w:space="0"/>
              <w:bottom w:val="single" w:color="auto" w:sz="4" w:space="0"/>
            </w:tcBorders>
            <w:vAlign w:val="center"/>
          </w:tcPr>
          <w:p w14:paraId="76C4932E">
            <w:pPr>
              <w:pStyle w:val="22"/>
              <w:jc w:val="center"/>
              <w:rPr>
                <w:rFonts w:hint="eastAsia" w:ascii="宋体" w:hAnsi="Times New Roman" w:eastAsia="宋体" w:cs="Times New Roman"/>
                <w:color w:val="auto"/>
                <w:sz w:val="18"/>
                <w:szCs w:val="20"/>
                <w:lang w:val="en-US" w:eastAsia="en-US" w:bidi="ar-SA"/>
              </w:rPr>
            </w:pPr>
            <w:r>
              <w:rPr>
                <w:rFonts w:hint="eastAsia" w:ascii="宋体" w:hAnsi="Times New Roman" w:eastAsia="宋体" w:cs="Times New Roman"/>
                <w:color w:val="auto"/>
                <w:sz w:val="18"/>
                <w:szCs w:val="20"/>
                <w:lang w:val="en-US" w:eastAsia="en-US" w:bidi="ar-SA"/>
              </w:rPr>
              <w:t>采购准备</w:t>
            </w:r>
          </w:p>
        </w:tc>
        <w:tc>
          <w:tcPr>
            <w:tcW w:w="790" w:type="dxa"/>
            <w:vAlign w:val="center"/>
          </w:tcPr>
          <w:p w14:paraId="20E5934F">
            <w:pPr>
              <w:pStyle w:val="22"/>
              <w:jc w:val="center"/>
              <w:rPr>
                <w:rFonts w:hint="eastAsia" w:ascii="宋体" w:hAnsi="Times New Roman" w:eastAsia="宋体" w:cs="Times New Roman"/>
                <w:color w:val="auto"/>
                <w:sz w:val="18"/>
                <w:szCs w:val="20"/>
                <w:lang w:val="en-US" w:eastAsia="en-US" w:bidi="ar-SA"/>
              </w:rPr>
            </w:pPr>
            <w:r>
              <w:rPr>
                <w:rFonts w:hint="eastAsia" w:ascii="宋体" w:hAnsi="Times New Roman" w:eastAsia="宋体" w:cs="Times New Roman"/>
                <w:color w:val="auto"/>
                <w:sz w:val="18"/>
                <w:szCs w:val="20"/>
                <w:lang w:val="en-US" w:eastAsia="en-US" w:bidi="ar-SA"/>
              </w:rPr>
              <w:t>3.1</w:t>
            </w:r>
          </w:p>
        </w:tc>
        <w:tc>
          <w:tcPr>
            <w:tcW w:w="2397" w:type="dxa"/>
            <w:vAlign w:val="center"/>
          </w:tcPr>
          <w:p w14:paraId="4EBD03B4">
            <w:pPr>
              <w:pStyle w:val="22"/>
              <w:jc w:val="center"/>
              <w:rPr>
                <w:rFonts w:hint="eastAsia" w:ascii="宋体" w:hAnsi="Times New Roman" w:eastAsia="宋体" w:cs="Times New Roman"/>
                <w:color w:val="auto"/>
                <w:sz w:val="18"/>
                <w:szCs w:val="20"/>
                <w:lang w:val="en-US" w:eastAsia="zh-CN" w:bidi="ar-SA"/>
              </w:rPr>
            </w:pPr>
            <w:r>
              <w:rPr>
                <w:rFonts w:hint="eastAsia" w:ascii="宋体" w:hAnsi="Times New Roman" w:eastAsia="宋体" w:cs="Times New Roman"/>
                <w:color w:val="auto"/>
                <w:sz w:val="18"/>
                <w:szCs w:val="20"/>
                <w:lang w:val="en-US" w:eastAsia="zh-CN" w:bidi="ar-SA"/>
              </w:rPr>
              <w:t>采购计划的原辅料与实际需要加工的物料不一致</w:t>
            </w:r>
          </w:p>
        </w:tc>
        <w:tc>
          <w:tcPr>
            <w:tcW w:w="930" w:type="dxa"/>
            <w:vAlign w:val="center"/>
          </w:tcPr>
          <w:p w14:paraId="49B19DEB">
            <w:pPr>
              <w:pStyle w:val="22"/>
              <w:jc w:val="center"/>
              <w:rPr>
                <w:rFonts w:hint="eastAsia" w:ascii="宋体" w:hAnsi="Times New Roman" w:eastAsia="宋体" w:cs="Times New Roman"/>
                <w:color w:val="auto"/>
                <w:sz w:val="18"/>
                <w:szCs w:val="20"/>
                <w:lang w:val="en-US" w:eastAsia="en-US" w:bidi="ar-SA"/>
              </w:rPr>
            </w:pPr>
            <w:r>
              <w:rPr>
                <w:rFonts w:hint="eastAsia" w:ascii="宋体" w:hAnsi="Times New Roman" w:eastAsia="宋体" w:cs="Times New Roman"/>
                <w:color w:val="auto"/>
                <w:sz w:val="18"/>
                <w:szCs w:val="20"/>
                <w:lang w:val="en-US" w:eastAsia="en-US" w:bidi="ar-SA"/>
              </w:rPr>
              <w:t>操作风险</w:t>
            </w:r>
          </w:p>
        </w:tc>
        <w:tc>
          <w:tcPr>
            <w:tcW w:w="963" w:type="dxa"/>
            <w:vAlign w:val="center"/>
          </w:tcPr>
          <w:p w14:paraId="1DDE0EFB">
            <w:pPr>
              <w:pStyle w:val="22"/>
              <w:jc w:val="center"/>
              <w:rPr>
                <w:rFonts w:hint="eastAsia" w:ascii="宋体" w:hAnsi="Times New Roman" w:eastAsia="宋体" w:cs="Times New Roman"/>
                <w:color w:val="auto"/>
                <w:sz w:val="18"/>
                <w:szCs w:val="20"/>
                <w:lang w:val="en-US" w:eastAsia="en-US" w:bidi="ar-SA"/>
              </w:rPr>
            </w:pPr>
            <w:r>
              <w:rPr>
                <w:rFonts w:hint="eastAsia" w:ascii="宋体" w:hAnsi="Times New Roman" w:eastAsia="宋体" w:cs="Times New Roman"/>
                <w:color w:val="auto"/>
                <w:sz w:val="18"/>
                <w:szCs w:val="20"/>
                <w:lang w:val="en-US" w:eastAsia="en-US" w:bidi="ar-SA"/>
              </w:rPr>
              <w:t>Ⅱ级</w:t>
            </w:r>
          </w:p>
        </w:tc>
        <w:tc>
          <w:tcPr>
            <w:tcW w:w="1400" w:type="dxa"/>
            <w:vMerge w:val="restart"/>
            <w:tcBorders>
              <w:bottom w:val="nil"/>
            </w:tcBorders>
            <w:vAlign w:val="center"/>
          </w:tcPr>
          <w:p w14:paraId="0F9A2779">
            <w:pPr>
              <w:pStyle w:val="22"/>
              <w:jc w:val="center"/>
              <w:rPr>
                <w:rFonts w:hint="eastAsia" w:ascii="宋体" w:hAnsi="Times New Roman" w:eastAsia="宋体" w:cs="Times New Roman"/>
                <w:color w:val="auto"/>
                <w:sz w:val="18"/>
                <w:szCs w:val="20"/>
                <w:lang w:val="en-US" w:eastAsia="zh-CN" w:bidi="ar-SA"/>
              </w:rPr>
            </w:pPr>
            <w:r>
              <w:rPr>
                <w:rFonts w:hint="eastAsia" w:ascii="宋体" w:hAnsi="Times New Roman" w:eastAsia="宋体" w:cs="Times New Roman"/>
                <w:color w:val="auto"/>
                <w:sz w:val="18"/>
                <w:szCs w:val="20"/>
                <w:lang w:val="en-US" w:eastAsia="zh-CN" w:bidi="ar-SA"/>
              </w:rPr>
              <w:t>品质管理部门参与采购合同评审</w:t>
            </w:r>
          </w:p>
        </w:tc>
      </w:tr>
      <w:tr w14:paraId="082649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545" w:type="dxa"/>
            <w:vMerge w:val="continue"/>
            <w:tcBorders>
              <w:top w:val="single" w:color="auto" w:sz="4" w:space="0"/>
              <w:bottom w:val="single" w:color="auto" w:sz="4" w:space="0"/>
            </w:tcBorders>
            <w:vAlign w:val="center"/>
          </w:tcPr>
          <w:p w14:paraId="0637DFCE">
            <w:pPr>
              <w:pStyle w:val="22"/>
              <w:jc w:val="center"/>
              <w:rPr>
                <w:rFonts w:hint="eastAsia" w:ascii="宋体" w:hAnsi="Times New Roman" w:eastAsia="宋体" w:cs="Times New Roman"/>
                <w:color w:val="auto"/>
                <w:sz w:val="18"/>
                <w:szCs w:val="20"/>
                <w:lang w:val="en-US" w:eastAsia="en-US" w:bidi="ar-SA"/>
              </w:rPr>
            </w:pPr>
          </w:p>
        </w:tc>
        <w:tc>
          <w:tcPr>
            <w:tcW w:w="1273" w:type="dxa"/>
            <w:vMerge w:val="continue"/>
            <w:tcBorders>
              <w:top w:val="single" w:color="auto" w:sz="4" w:space="0"/>
              <w:bottom w:val="single" w:color="auto" w:sz="4" w:space="0"/>
            </w:tcBorders>
            <w:vAlign w:val="center"/>
          </w:tcPr>
          <w:p w14:paraId="4E98AD63">
            <w:pPr>
              <w:pStyle w:val="22"/>
              <w:jc w:val="center"/>
              <w:rPr>
                <w:rFonts w:hint="eastAsia" w:ascii="宋体" w:hAnsi="Times New Roman" w:eastAsia="宋体" w:cs="Times New Roman"/>
                <w:color w:val="auto"/>
                <w:sz w:val="18"/>
                <w:szCs w:val="20"/>
                <w:lang w:val="en-US" w:eastAsia="en-US" w:bidi="ar-SA"/>
              </w:rPr>
            </w:pPr>
          </w:p>
        </w:tc>
        <w:tc>
          <w:tcPr>
            <w:tcW w:w="790" w:type="dxa"/>
            <w:vAlign w:val="center"/>
          </w:tcPr>
          <w:p w14:paraId="507DAC9A">
            <w:pPr>
              <w:pStyle w:val="22"/>
              <w:jc w:val="center"/>
              <w:rPr>
                <w:rFonts w:hint="eastAsia" w:ascii="宋体" w:hAnsi="Times New Roman" w:eastAsia="宋体" w:cs="Times New Roman"/>
                <w:color w:val="auto"/>
                <w:sz w:val="18"/>
                <w:szCs w:val="20"/>
                <w:lang w:val="en-US" w:eastAsia="en-US" w:bidi="ar-SA"/>
              </w:rPr>
            </w:pPr>
            <w:r>
              <w:rPr>
                <w:rFonts w:hint="eastAsia" w:ascii="宋体" w:hAnsi="Times New Roman" w:eastAsia="宋体" w:cs="Times New Roman"/>
                <w:color w:val="auto"/>
                <w:sz w:val="18"/>
                <w:szCs w:val="20"/>
                <w:lang w:val="en-US" w:eastAsia="en-US" w:bidi="ar-SA"/>
              </w:rPr>
              <w:t>3.2</w:t>
            </w:r>
          </w:p>
        </w:tc>
        <w:tc>
          <w:tcPr>
            <w:tcW w:w="2397" w:type="dxa"/>
            <w:vAlign w:val="center"/>
          </w:tcPr>
          <w:p w14:paraId="54CDC758">
            <w:pPr>
              <w:pStyle w:val="22"/>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Times New Roman" w:eastAsia="宋体" w:cs="Times New Roman"/>
                <w:color w:val="auto"/>
                <w:sz w:val="18"/>
                <w:szCs w:val="20"/>
                <w:lang w:val="en-US" w:eastAsia="zh-CN" w:bidi="ar-SA"/>
              </w:rPr>
            </w:pPr>
            <w:r>
              <w:rPr>
                <w:rFonts w:hint="eastAsia" w:ascii="宋体" w:hAnsi="Times New Roman" w:eastAsia="宋体" w:cs="Times New Roman"/>
                <w:color w:val="auto"/>
                <w:sz w:val="18"/>
                <w:szCs w:val="20"/>
                <w:lang w:val="en-US" w:eastAsia="zh-CN" w:bidi="ar-SA"/>
              </w:rPr>
              <w:t>采购合同中规定的产品标准不准确或不全面，与实际需求不相符</w:t>
            </w:r>
          </w:p>
        </w:tc>
        <w:tc>
          <w:tcPr>
            <w:tcW w:w="930" w:type="dxa"/>
            <w:vAlign w:val="center"/>
          </w:tcPr>
          <w:p w14:paraId="3AAD47F0">
            <w:pPr>
              <w:pStyle w:val="22"/>
              <w:jc w:val="center"/>
              <w:rPr>
                <w:rFonts w:hint="eastAsia" w:ascii="宋体" w:hAnsi="Times New Roman" w:eastAsia="宋体" w:cs="Times New Roman"/>
                <w:color w:val="auto"/>
                <w:sz w:val="18"/>
                <w:szCs w:val="20"/>
                <w:lang w:val="en-US" w:eastAsia="en-US" w:bidi="ar-SA"/>
              </w:rPr>
            </w:pPr>
            <w:r>
              <w:rPr>
                <w:rFonts w:hint="eastAsia" w:ascii="宋体" w:hAnsi="Times New Roman" w:eastAsia="宋体" w:cs="Times New Roman"/>
                <w:color w:val="auto"/>
                <w:sz w:val="18"/>
                <w:szCs w:val="20"/>
                <w:lang w:val="en-US" w:eastAsia="en-US" w:bidi="ar-SA"/>
              </w:rPr>
              <w:t>技术风险</w:t>
            </w:r>
          </w:p>
        </w:tc>
        <w:tc>
          <w:tcPr>
            <w:tcW w:w="963" w:type="dxa"/>
            <w:vAlign w:val="center"/>
          </w:tcPr>
          <w:p w14:paraId="709FDE10">
            <w:pPr>
              <w:pStyle w:val="22"/>
              <w:jc w:val="center"/>
              <w:rPr>
                <w:rFonts w:hint="eastAsia" w:ascii="宋体" w:hAnsi="Times New Roman" w:eastAsia="宋体" w:cs="Times New Roman"/>
                <w:color w:val="auto"/>
                <w:sz w:val="18"/>
                <w:szCs w:val="20"/>
                <w:lang w:val="en-US" w:eastAsia="en-US" w:bidi="ar-SA"/>
              </w:rPr>
            </w:pPr>
            <w:r>
              <w:rPr>
                <w:rFonts w:hint="eastAsia" w:ascii="宋体" w:hAnsi="Times New Roman" w:eastAsia="宋体" w:cs="Times New Roman"/>
                <w:color w:val="auto"/>
                <w:sz w:val="18"/>
                <w:szCs w:val="20"/>
                <w:lang w:val="en-US" w:eastAsia="en-US" w:bidi="ar-SA"/>
              </w:rPr>
              <w:t>Ⅱ级</w:t>
            </w:r>
          </w:p>
        </w:tc>
        <w:tc>
          <w:tcPr>
            <w:tcW w:w="1400" w:type="dxa"/>
            <w:vMerge w:val="continue"/>
            <w:tcBorders>
              <w:top w:val="nil"/>
              <w:bottom w:val="nil"/>
            </w:tcBorders>
            <w:vAlign w:val="center"/>
          </w:tcPr>
          <w:p w14:paraId="73A6E6BB">
            <w:pPr>
              <w:pStyle w:val="22"/>
              <w:jc w:val="center"/>
              <w:rPr>
                <w:rFonts w:hint="eastAsia" w:ascii="宋体" w:hAnsi="Times New Roman" w:eastAsia="宋体" w:cs="Times New Roman"/>
                <w:color w:val="auto"/>
                <w:sz w:val="18"/>
                <w:szCs w:val="20"/>
                <w:lang w:val="en-US" w:eastAsia="zh-CN" w:bidi="ar-SA"/>
              </w:rPr>
            </w:pPr>
          </w:p>
        </w:tc>
      </w:tr>
      <w:tr w14:paraId="1403BF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545" w:type="dxa"/>
            <w:vMerge w:val="continue"/>
            <w:tcBorders>
              <w:top w:val="single" w:color="auto" w:sz="4" w:space="0"/>
              <w:bottom w:val="single" w:color="auto" w:sz="4" w:space="0"/>
            </w:tcBorders>
            <w:vAlign w:val="center"/>
          </w:tcPr>
          <w:p w14:paraId="383DBDBC">
            <w:pPr>
              <w:pStyle w:val="22"/>
              <w:jc w:val="center"/>
              <w:rPr>
                <w:rFonts w:hint="eastAsia" w:ascii="宋体" w:hAnsi="Times New Roman" w:eastAsia="宋体" w:cs="Times New Roman"/>
                <w:color w:val="auto"/>
                <w:sz w:val="18"/>
                <w:szCs w:val="20"/>
                <w:lang w:val="en-US" w:eastAsia="en-US" w:bidi="ar-SA"/>
              </w:rPr>
            </w:pPr>
          </w:p>
        </w:tc>
        <w:tc>
          <w:tcPr>
            <w:tcW w:w="1273" w:type="dxa"/>
            <w:vMerge w:val="continue"/>
            <w:tcBorders>
              <w:top w:val="single" w:color="auto" w:sz="4" w:space="0"/>
              <w:bottom w:val="single" w:color="auto" w:sz="4" w:space="0"/>
            </w:tcBorders>
            <w:vAlign w:val="center"/>
          </w:tcPr>
          <w:p w14:paraId="6C476341">
            <w:pPr>
              <w:pStyle w:val="22"/>
              <w:jc w:val="center"/>
              <w:rPr>
                <w:rFonts w:hint="eastAsia" w:ascii="宋体" w:hAnsi="Times New Roman" w:eastAsia="宋体" w:cs="Times New Roman"/>
                <w:color w:val="auto"/>
                <w:sz w:val="18"/>
                <w:szCs w:val="20"/>
                <w:lang w:val="en-US" w:eastAsia="en-US" w:bidi="ar-SA"/>
              </w:rPr>
            </w:pPr>
          </w:p>
        </w:tc>
        <w:tc>
          <w:tcPr>
            <w:tcW w:w="790" w:type="dxa"/>
            <w:tcBorders>
              <w:bottom w:val="single" w:color="auto" w:sz="4" w:space="0"/>
            </w:tcBorders>
            <w:vAlign w:val="center"/>
          </w:tcPr>
          <w:p w14:paraId="2B0CFA71">
            <w:pPr>
              <w:pStyle w:val="22"/>
              <w:jc w:val="center"/>
              <w:rPr>
                <w:rFonts w:hint="eastAsia" w:ascii="宋体" w:hAnsi="Times New Roman" w:eastAsia="宋体" w:cs="Times New Roman"/>
                <w:color w:val="auto"/>
                <w:sz w:val="18"/>
                <w:szCs w:val="20"/>
                <w:lang w:val="en-US" w:eastAsia="en-US" w:bidi="ar-SA"/>
              </w:rPr>
            </w:pPr>
            <w:r>
              <w:rPr>
                <w:rFonts w:hint="eastAsia" w:ascii="宋体" w:hAnsi="Times New Roman" w:eastAsia="宋体" w:cs="Times New Roman"/>
                <w:color w:val="auto"/>
                <w:sz w:val="18"/>
                <w:szCs w:val="20"/>
                <w:lang w:val="en-US" w:eastAsia="en-US" w:bidi="ar-SA"/>
              </w:rPr>
              <w:t>3.3</w:t>
            </w:r>
          </w:p>
        </w:tc>
        <w:tc>
          <w:tcPr>
            <w:tcW w:w="2397" w:type="dxa"/>
            <w:vAlign w:val="center"/>
          </w:tcPr>
          <w:p w14:paraId="0D94D4BE">
            <w:pPr>
              <w:pStyle w:val="22"/>
              <w:jc w:val="center"/>
              <w:rPr>
                <w:rFonts w:hint="eastAsia" w:ascii="宋体" w:hAnsi="Times New Roman" w:eastAsia="宋体" w:cs="Times New Roman"/>
                <w:color w:val="auto"/>
                <w:sz w:val="18"/>
                <w:szCs w:val="20"/>
                <w:lang w:val="en-US" w:eastAsia="zh-CN" w:bidi="ar-SA"/>
              </w:rPr>
            </w:pPr>
            <w:r>
              <w:rPr>
                <w:rFonts w:hint="eastAsia" w:ascii="宋体" w:hAnsi="Times New Roman" w:eastAsia="宋体" w:cs="Times New Roman"/>
                <w:color w:val="auto"/>
                <w:sz w:val="18"/>
                <w:szCs w:val="20"/>
                <w:lang w:val="en-US" w:eastAsia="zh-CN" w:bidi="ar-SA"/>
              </w:rPr>
              <w:t>采购合同中规定的产品标准没有预计到政策、法规的变化，导致采购的产品未来可能</w:t>
            </w:r>
          </w:p>
        </w:tc>
        <w:tc>
          <w:tcPr>
            <w:tcW w:w="930" w:type="dxa"/>
            <w:vAlign w:val="center"/>
          </w:tcPr>
          <w:p w14:paraId="6931CC8A">
            <w:pPr>
              <w:pStyle w:val="22"/>
              <w:jc w:val="center"/>
              <w:rPr>
                <w:rFonts w:hint="eastAsia" w:ascii="宋体" w:hAnsi="Times New Roman" w:eastAsia="宋体" w:cs="Times New Roman"/>
                <w:color w:val="auto"/>
                <w:sz w:val="18"/>
                <w:szCs w:val="20"/>
                <w:lang w:val="en-US" w:eastAsia="en-US" w:bidi="ar-SA"/>
              </w:rPr>
            </w:pPr>
            <w:r>
              <w:rPr>
                <w:rFonts w:hint="eastAsia" w:ascii="宋体" w:hAnsi="Times New Roman" w:eastAsia="宋体" w:cs="Times New Roman"/>
                <w:color w:val="auto"/>
                <w:sz w:val="18"/>
                <w:szCs w:val="20"/>
                <w:lang w:val="en-US" w:eastAsia="en-US" w:bidi="ar-SA"/>
              </w:rPr>
              <w:t>管理风险</w:t>
            </w:r>
          </w:p>
        </w:tc>
        <w:tc>
          <w:tcPr>
            <w:tcW w:w="963" w:type="dxa"/>
            <w:tcBorders>
              <w:bottom w:val="single" w:color="auto" w:sz="4" w:space="0"/>
            </w:tcBorders>
            <w:vAlign w:val="center"/>
          </w:tcPr>
          <w:p w14:paraId="022F60C9">
            <w:pPr>
              <w:pStyle w:val="22"/>
              <w:jc w:val="center"/>
              <w:rPr>
                <w:rFonts w:hint="eastAsia" w:ascii="宋体" w:hAnsi="Times New Roman" w:eastAsia="宋体" w:cs="Times New Roman"/>
                <w:color w:val="auto"/>
                <w:sz w:val="18"/>
                <w:szCs w:val="20"/>
                <w:lang w:val="en-US" w:eastAsia="en-US" w:bidi="ar-SA"/>
              </w:rPr>
            </w:pPr>
            <w:r>
              <w:rPr>
                <w:rFonts w:hint="eastAsia" w:ascii="宋体" w:hAnsi="Times New Roman" w:eastAsia="宋体" w:cs="Times New Roman"/>
                <w:color w:val="auto"/>
                <w:sz w:val="18"/>
                <w:szCs w:val="20"/>
                <w:lang w:val="en-US" w:eastAsia="en-US" w:bidi="ar-SA"/>
              </w:rPr>
              <w:t>Ⅱ级</w:t>
            </w:r>
          </w:p>
        </w:tc>
        <w:tc>
          <w:tcPr>
            <w:tcW w:w="1400" w:type="dxa"/>
            <w:vMerge w:val="continue"/>
            <w:tcBorders>
              <w:top w:val="nil"/>
              <w:bottom w:val="single" w:color="auto" w:sz="4" w:space="0"/>
            </w:tcBorders>
            <w:vAlign w:val="center"/>
          </w:tcPr>
          <w:p w14:paraId="1C531F12">
            <w:pPr>
              <w:pStyle w:val="22"/>
              <w:jc w:val="center"/>
              <w:rPr>
                <w:rFonts w:hint="eastAsia" w:ascii="宋体" w:hAnsi="Times New Roman" w:eastAsia="宋体" w:cs="Times New Roman"/>
                <w:color w:val="auto"/>
                <w:sz w:val="18"/>
                <w:szCs w:val="20"/>
                <w:lang w:val="en-US" w:eastAsia="zh-CN" w:bidi="ar-SA"/>
              </w:rPr>
            </w:pPr>
          </w:p>
        </w:tc>
      </w:tr>
      <w:tr w14:paraId="5E66ED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545" w:type="dxa"/>
            <w:vMerge w:val="restart"/>
            <w:tcBorders>
              <w:top w:val="single" w:color="auto" w:sz="4" w:space="0"/>
            </w:tcBorders>
            <w:vAlign w:val="center"/>
          </w:tcPr>
          <w:p w14:paraId="20866D8E">
            <w:pPr>
              <w:pStyle w:val="22"/>
              <w:jc w:val="center"/>
              <w:rPr>
                <w:rFonts w:hint="eastAsia" w:ascii="宋体" w:hAnsi="Times New Roman" w:eastAsia="宋体" w:cs="Times New Roman"/>
                <w:color w:val="auto"/>
                <w:sz w:val="18"/>
                <w:szCs w:val="20"/>
                <w:lang w:val="en-US" w:eastAsia="zh-CN" w:bidi="ar-SA"/>
              </w:rPr>
            </w:pPr>
            <w:r>
              <w:rPr>
                <w:rFonts w:hint="eastAsia" w:ascii="宋体" w:hAnsi="Times New Roman" w:eastAsia="宋体" w:cs="Times New Roman"/>
                <w:color w:val="auto"/>
                <w:sz w:val="18"/>
                <w:szCs w:val="20"/>
                <w:lang w:val="en-US" w:eastAsia="zh-CN" w:bidi="ar-SA"/>
              </w:rPr>
              <w:t>4</w:t>
            </w:r>
          </w:p>
        </w:tc>
        <w:tc>
          <w:tcPr>
            <w:tcW w:w="1273" w:type="dxa"/>
            <w:vMerge w:val="restart"/>
            <w:tcBorders>
              <w:top w:val="single" w:color="auto" w:sz="4" w:space="0"/>
            </w:tcBorders>
            <w:vAlign w:val="center"/>
          </w:tcPr>
          <w:p w14:paraId="364A56C5">
            <w:pPr>
              <w:pStyle w:val="22"/>
              <w:jc w:val="center"/>
              <w:rPr>
                <w:rFonts w:hint="eastAsia" w:ascii="宋体" w:hAnsi="Times New Roman" w:eastAsia="宋体" w:cs="Times New Roman"/>
                <w:color w:val="auto"/>
                <w:sz w:val="18"/>
                <w:szCs w:val="20"/>
                <w:lang w:val="en-US" w:eastAsia="en-US" w:bidi="ar-SA"/>
              </w:rPr>
            </w:pPr>
            <w:r>
              <w:rPr>
                <w:rFonts w:hint="eastAsia" w:ascii="宋体" w:hAnsi="Times New Roman" w:eastAsia="宋体" w:cs="Times New Roman"/>
                <w:color w:val="auto"/>
                <w:sz w:val="18"/>
                <w:szCs w:val="20"/>
                <w:lang w:val="en-US" w:eastAsia="en-US" w:bidi="ar-SA"/>
              </w:rPr>
              <w:t>到货验收</w:t>
            </w:r>
          </w:p>
        </w:tc>
        <w:tc>
          <w:tcPr>
            <w:tcW w:w="790" w:type="dxa"/>
            <w:tcBorders>
              <w:top w:val="single" w:color="auto" w:sz="4" w:space="0"/>
              <w:bottom w:val="single" w:color="auto" w:sz="4" w:space="0"/>
            </w:tcBorders>
            <w:shd w:val="clear" w:color="auto" w:fill="auto"/>
            <w:vAlign w:val="center"/>
          </w:tcPr>
          <w:p w14:paraId="523E455F">
            <w:pPr>
              <w:pStyle w:val="22"/>
              <w:jc w:val="center"/>
              <w:rPr>
                <w:rFonts w:hint="eastAsia" w:ascii="宋体" w:hAnsi="Times New Roman" w:eastAsia="宋体" w:cs="Times New Roman"/>
                <w:color w:val="auto"/>
                <w:sz w:val="18"/>
                <w:szCs w:val="20"/>
                <w:lang w:val="en-US" w:eastAsia="en-US" w:bidi="ar-SA"/>
              </w:rPr>
            </w:pPr>
            <w:r>
              <w:rPr>
                <w:rFonts w:hint="eastAsia" w:ascii="宋体" w:hAnsi="Times New Roman" w:eastAsia="宋体" w:cs="Times New Roman"/>
                <w:color w:val="auto"/>
                <w:sz w:val="18"/>
                <w:szCs w:val="20"/>
                <w:lang w:val="en-US" w:eastAsia="en-US" w:bidi="ar-SA"/>
              </w:rPr>
              <w:t>4.1</w:t>
            </w:r>
          </w:p>
        </w:tc>
        <w:tc>
          <w:tcPr>
            <w:tcW w:w="2397" w:type="dxa"/>
            <w:shd w:val="clear" w:color="auto" w:fill="auto"/>
            <w:vAlign w:val="center"/>
          </w:tcPr>
          <w:p w14:paraId="66F98E31">
            <w:pPr>
              <w:pStyle w:val="22"/>
              <w:jc w:val="center"/>
              <w:rPr>
                <w:rFonts w:hint="eastAsia" w:ascii="宋体" w:hAnsi="Times New Roman" w:eastAsia="宋体" w:cs="Times New Roman"/>
                <w:color w:val="auto"/>
                <w:sz w:val="18"/>
                <w:szCs w:val="20"/>
                <w:lang w:val="en-US" w:eastAsia="en-US" w:bidi="ar-SA"/>
              </w:rPr>
            </w:pPr>
            <w:r>
              <w:rPr>
                <w:rFonts w:hint="eastAsia" w:ascii="宋体" w:hAnsi="Times New Roman" w:eastAsia="宋体" w:cs="Times New Roman"/>
                <w:color w:val="auto"/>
                <w:sz w:val="18"/>
                <w:szCs w:val="20"/>
                <w:lang w:val="en-US" w:eastAsia="zh-CN" w:bidi="ar-SA"/>
              </w:rPr>
              <w:t>原料、辅料外包装破损导致异物或有害污染物进入产品</w:t>
            </w:r>
          </w:p>
        </w:tc>
        <w:tc>
          <w:tcPr>
            <w:tcW w:w="930" w:type="dxa"/>
            <w:shd w:val="clear" w:color="auto" w:fill="auto"/>
            <w:vAlign w:val="center"/>
          </w:tcPr>
          <w:p w14:paraId="7985CD18">
            <w:pPr>
              <w:pStyle w:val="22"/>
              <w:jc w:val="center"/>
              <w:rPr>
                <w:rFonts w:hint="eastAsia" w:ascii="宋体" w:hAnsi="Times New Roman" w:eastAsia="宋体" w:cs="Times New Roman"/>
                <w:color w:val="auto"/>
                <w:sz w:val="18"/>
                <w:szCs w:val="20"/>
                <w:lang w:val="en-US" w:eastAsia="en-US" w:bidi="ar-SA"/>
              </w:rPr>
            </w:pPr>
            <w:r>
              <w:rPr>
                <w:rFonts w:hint="eastAsia" w:ascii="宋体" w:hAnsi="Times New Roman" w:eastAsia="宋体" w:cs="Times New Roman"/>
                <w:color w:val="auto"/>
                <w:sz w:val="18"/>
                <w:szCs w:val="20"/>
                <w:lang w:val="en-US" w:eastAsia="en-US" w:bidi="ar-SA"/>
              </w:rPr>
              <w:t>操作风险</w:t>
            </w:r>
          </w:p>
        </w:tc>
        <w:tc>
          <w:tcPr>
            <w:tcW w:w="963" w:type="dxa"/>
            <w:tcBorders>
              <w:top w:val="single" w:color="auto" w:sz="4" w:space="0"/>
              <w:bottom w:val="single" w:color="auto" w:sz="4" w:space="0"/>
            </w:tcBorders>
            <w:shd w:val="clear" w:color="auto" w:fill="auto"/>
            <w:vAlign w:val="center"/>
          </w:tcPr>
          <w:p w14:paraId="71F43ABE">
            <w:pPr>
              <w:pStyle w:val="22"/>
              <w:jc w:val="center"/>
              <w:rPr>
                <w:rFonts w:hint="eastAsia" w:ascii="宋体" w:hAnsi="Times New Roman" w:eastAsia="宋体" w:cs="Times New Roman"/>
                <w:color w:val="auto"/>
                <w:sz w:val="18"/>
                <w:szCs w:val="20"/>
                <w:lang w:val="en-US" w:eastAsia="en-US" w:bidi="ar-SA"/>
              </w:rPr>
            </w:pPr>
            <w:r>
              <w:rPr>
                <w:rFonts w:hint="eastAsia" w:ascii="宋体" w:hAnsi="Times New Roman" w:eastAsia="宋体" w:cs="Times New Roman"/>
                <w:color w:val="auto"/>
                <w:sz w:val="18"/>
                <w:szCs w:val="20"/>
                <w:lang w:val="en-US" w:eastAsia="en-US" w:bidi="ar-SA"/>
              </w:rPr>
              <w:t>Ⅲ级</w:t>
            </w:r>
          </w:p>
        </w:tc>
        <w:tc>
          <w:tcPr>
            <w:tcW w:w="1400" w:type="dxa"/>
            <w:vMerge w:val="restart"/>
            <w:tcBorders>
              <w:top w:val="single" w:color="auto" w:sz="4" w:space="0"/>
            </w:tcBorders>
            <w:vAlign w:val="center"/>
          </w:tcPr>
          <w:p w14:paraId="33472AC2">
            <w:pPr>
              <w:pStyle w:val="22"/>
              <w:jc w:val="center"/>
              <w:rPr>
                <w:rFonts w:hint="eastAsia" w:ascii="宋体" w:hAnsi="Times New Roman" w:eastAsia="宋体" w:cs="Times New Roman"/>
                <w:color w:val="auto"/>
                <w:sz w:val="18"/>
                <w:szCs w:val="20"/>
                <w:lang w:val="en-US" w:eastAsia="zh-CN" w:bidi="ar-SA"/>
              </w:rPr>
            </w:pPr>
            <w:r>
              <w:rPr>
                <w:rFonts w:hint="eastAsia" w:ascii="宋体" w:hAnsi="Times New Roman" w:eastAsia="宋体" w:cs="Times New Roman"/>
                <w:color w:val="auto"/>
                <w:sz w:val="18"/>
                <w:szCs w:val="20"/>
                <w:lang w:val="en-US" w:eastAsia="zh-CN" w:bidi="ar-SA"/>
              </w:rPr>
              <w:t>规定到货验收的内容、验收人员、复核人员</w:t>
            </w:r>
          </w:p>
        </w:tc>
      </w:tr>
      <w:tr w14:paraId="6A9D64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545" w:type="dxa"/>
            <w:vMerge w:val="continue"/>
            <w:vAlign w:val="center"/>
          </w:tcPr>
          <w:p w14:paraId="4E5E9AF7">
            <w:pPr>
              <w:pStyle w:val="22"/>
              <w:jc w:val="center"/>
              <w:rPr>
                <w:rFonts w:hint="eastAsia" w:ascii="宋体" w:hAnsi="Times New Roman" w:eastAsia="宋体" w:cs="Times New Roman"/>
                <w:color w:val="auto"/>
                <w:sz w:val="18"/>
                <w:szCs w:val="20"/>
                <w:lang w:val="en-US" w:eastAsia="zh-CN" w:bidi="ar-SA"/>
              </w:rPr>
            </w:pPr>
          </w:p>
        </w:tc>
        <w:tc>
          <w:tcPr>
            <w:tcW w:w="1273" w:type="dxa"/>
            <w:vMerge w:val="continue"/>
            <w:vAlign w:val="center"/>
          </w:tcPr>
          <w:p w14:paraId="457102EB">
            <w:pPr>
              <w:pStyle w:val="22"/>
              <w:jc w:val="center"/>
              <w:rPr>
                <w:rFonts w:hint="eastAsia" w:ascii="宋体" w:hAnsi="Times New Roman" w:eastAsia="宋体" w:cs="Times New Roman"/>
                <w:color w:val="auto"/>
                <w:sz w:val="18"/>
                <w:szCs w:val="20"/>
                <w:lang w:val="en-US" w:eastAsia="zh-CN" w:bidi="ar-SA"/>
              </w:rPr>
            </w:pPr>
          </w:p>
        </w:tc>
        <w:tc>
          <w:tcPr>
            <w:tcW w:w="790" w:type="dxa"/>
            <w:tcBorders>
              <w:top w:val="single" w:color="auto" w:sz="4" w:space="0"/>
              <w:bottom w:val="single" w:color="auto" w:sz="4" w:space="0"/>
            </w:tcBorders>
            <w:shd w:val="clear" w:color="auto" w:fill="auto"/>
            <w:vAlign w:val="center"/>
          </w:tcPr>
          <w:p w14:paraId="10026816">
            <w:pPr>
              <w:pStyle w:val="22"/>
              <w:jc w:val="center"/>
              <w:rPr>
                <w:rFonts w:hint="eastAsia" w:ascii="宋体" w:hAnsi="Times New Roman" w:eastAsia="宋体" w:cs="Times New Roman"/>
                <w:color w:val="auto"/>
                <w:sz w:val="18"/>
                <w:szCs w:val="20"/>
                <w:lang w:val="en-US" w:eastAsia="en-US" w:bidi="ar-SA"/>
              </w:rPr>
            </w:pPr>
            <w:r>
              <w:rPr>
                <w:rFonts w:hint="eastAsia" w:ascii="宋体" w:hAnsi="Times New Roman" w:eastAsia="宋体" w:cs="Times New Roman"/>
                <w:color w:val="auto"/>
                <w:sz w:val="18"/>
                <w:szCs w:val="20"/>
                <w:lang w:val="en-US" w:eastAsia="zh-CN" w:bidi="ar-SA"/>
              </w:rPr>
              <w:t>4.2</w:t>
            </w:r>
          </w:p>
        </w:tc>
        <w:tc>
          <w:tcPr>
            <w:tcW w:w="2397" w:type="dxa"/>
            <w:shd w:val="clear" w:color="auto" w:fill="auto"/>
            <w:vAlign w:val="center"/>
          </w:tcPr>
          <w:p w14:paraId="4805DF7F">
            <w:pPr>
              <w:pStyle w:val="22"/>
              <w:jc w:val="center"/>
              <w:rPr>
                <w:rFonts w:hint="eastAsia" w:ascii="宋体" w:hAnsi="Times New Roman" w:eastAsia="宋体" w:cs="Times New Roman"/>
                <w:color w:val="auto"/>
                <w:sz w:val="18"/>
                <w:szCs w:val="20"/>
                <w:lang w:val="en-US" w:eastAsia="en-US" w:bidi="ar-SA"/>
              </w:rPr>
            </w:pPr>
            <w:r>
              <w:rPr>
                <w:rFonts w:hint="eastAsia" w:ascii="宋体" w:hAnsi="Times New Roman" w:eastAsia="宋体" w:cs="Times New Roman"/>
                <w:color w:val="auto"/>
                <w:sz w:val="18"/>
                <w:szCs w:val="20"/>
                <w:lang w:val="en-US" w:eastAsia="zh-CN" w:bidi="ar-SA"/>
              </w:rPr>
              <w:t>原料、辅料未扦样检验或扦样数量、频次未达到标准要求的比例，导致漏检</w:t>
            </w:r>
          </w:p>
        </w:tc>
        <w:tc>
          <w:tcPr>
            <w:tcW w:w="930" w:type="dxa"/>
            <w:shd w:val="clear" w:color="auto" w:fill="auto"/>
            <w:vAlign w:val="center"/>
          </w:tcPr>
          <w:p w14:paraId="0861AB2B">
            <w:pPr>
              <w:pStyle w:val="22"/>
              <w:jc w:val="center"/>
              <w:rPr>
                <w:rFonts w:hint="eastAsia" w:ascii="宋体" w:hAnsi="Times New Roman" w:eastAsia="宋体" w:cs="Times New Roman"/>
                <w:color w:val="auto"/>
                <w:sz w:val="18"/>
                <w:szCs w:val="20"/>
                <w:lang w:val="en-US" w:eastAsia="en-US" w:bidi="ar-SA"/>
              </w:rPr>
            </w:pPr>
            <w:r>
              <w:rPr>
                <w:rFonts w:hint="eastAsia" w:ascii="宋体" w:hAnsi="Times New Roman" w:eastAsia="宋体" w:cs="Times New Roman"/>
                <w:color w:val="auto"/>
                <w:sz w:val="18"/>
                <w:szCs w:val="20"/>
                <w:lang w:val="en-US" w:eastAsia="zh-CN" w:bidi="ar-SA"/>
              </w:rPr>
              <w:t>操作风险</w:t>
            </w:r>
          </w:p>
        </w:tc>
        <w:tc>
          <w:tcPr>
            <w:tcW w:w="963" w:type="dxa"/>
            <w:tcBorders>
              <w:top w:val="single" w:color="auto" w:sz="4" w:space="0"/>
              <w:bottom w:val="single" w:color="auto" w:sz="4" w:space="0"/>
            </w:tcBorders>
            <w:shd w:val="clear" w:color="auto" w:fill="auto"/>
            <w:vAlign w:val="center"/>
          </w:tcPr>
          <w:p w14:paraId="659BF02C">
            <w:pPr>
              <w:pStyle w:val="22"/>
              <w:jc w:val="center"/>
              <w:rPr>
                <w:rFonts w:hint="eastAsia" w:ascii="宋体" w:hAnsi="Times New Roman" w:eastAsia="宋体" w:cs="Times New Roman"/>
                <w:color w:val="auto"/>
                <w:sz w:val="18"/>
                <w:szCs w:val="20"/>
                <w:lang w:val="en-US" w:eastAsia="en-US" w:bidi="ar-SA"/>
              </w:rPr>
            </w:pPr>
            <w:r>
              <w:rPr>
                <w:rFonts w:hint="eastAsia" w:ascii="宋体" w:hAnsi="Times New Roman" w:eastAsia="宋体" w:cs="Times New Roman"/>
                <w:color w:val="auto"/>
                <w:sz w:val="18"/>
                <w:szCs w:val="20"/>
                <w:lang w:val="en-US" w:eastAsia="zh-CN" w:bidi="ar-SA"/>
              </w:rPr>
              <w:t>Ⅱ级</w:t>
            </w:r>
          </w:p>
        </w:tc>
        <w:tc>
          <w:tcPr>
            <w:tcW w:w="1400" w:type="dxa"/>
            <w:vMerge w:val="continue"/>
            <w:vAlign w:val="center"/>
          </w:tcPr>
          <w:p w14:paraId="5CAB52C8">
            <w:pPr>
              <w:pStyle w:val="22"/>
              <w:jc w:val="center"/>
              <w:rPr>
                <w:rFonts w:hint="eastAsia" w:ascii="宋体" w:hAnsi="Times New Roman" w:eastAsia="宋体" w:cs="Times New Roman"/>
                <w:color w:val="auto"/>
                <w:sz w:val="18"/>
                <w:szCs w:val="20"/>
                <w:lang w:val="en-US" w:eastAsia="zh-CN" w:bidi="ar-SA"/>
              </w:rPr>
            </w:pPr>
          </w:p>
        </w:tc>
      </w:tr>
      <w:tr w14:paraId="76D422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545" w:type="dxa"/>
            <w:vMerge w:val="continue"/>
            <w:vAlign w:val="center"/>
          </w:tcPr>
          <w:p w14:paraId="1B046C2B">
            <w:pPr>
              <w:pStyle w:val="22"/>
              <w:jc w:val="center"/>
              <w:rPr>
                <w:rFonts w:hint="eastAsia" w:ascii="宋体" w:hAnsi="Times New Roman" w:eastAsia="宋体" w:cs="Times New Roman"/>
                <w:color w:val="auto"/>
                <w:sz w:val="18"/>
                <w:szCs w:val="20"/>
                <w:lang w:val="en-US" w:eastAsia="zh-CN" w:bidi="ar-SA"/>
              </w:rPr>
            </w:pPr>
          </w:p>
        </w:tc>
        <w:tc>
          <w:tcPr>
            <w:tcW w:w="1273" w:type="dxa"/>
            <w:vMerge w:val="continue"/>
            <w:vAlign w:val="center"/>
          </w:tcPr>
          <w:p w14:paraId="511F7F14">
            <w:pPr>
              <w:pStyle w:val="22"/>
              <w:jc w:val="center"/>
              <w:rPr>
                <w:rFonts w:hint="eastAsia" w:ascii="宋体" w:hAnsi="Times New Roman" w:eastAsia="宋体" w:cs="Times New Roman"/>
                <w:color w:val="auto"/>
                <w:sz w:val="18"/>
                <w:szCs w:val="20"/>
                <w:lang w:val="en-US" w:eastAsia="zh-CN" w:bidi="ar-SA"/>
              </w:rPr>
            </w:pPr>
          </w:p>
        </w:tc>
        <w:tc>
          <w:tcPr>
            <w:tcW w:w="790" w:type="dxa"/>
            <w:tcBorders>
              <w:top w:val="single" w:color="auto" w:sz="4" w:space="0"/>
              <w:bottom w:val="single" w:color="auto" w:sz="4" w:space="0"/>
            </w:tcBorders>
            <w:shd w:val="clear" w:color="auto" w:fill="auto"/>
            <w:vAlign w:val="center"/>
          </w:tcPr>
          <w:p w14:paraId="37C7C4FF">
            <w:pPr>
              <w:pStyle w:val="22"/>
              <w:jc w:val="center"/>
              <w:rPr>
                <w:rFonts w:hint="eastAsia" w:ascii="宋体" w:hAnsi="Times New Roman" w:eastAsia="宋体" w:cs="Times New Roman"/>
                <w:color w:val="auto"/>
                <w:sz w:val="18"/>
                <w:szCs w:val="20"/>
                <w:lang w:val="en-US" w:eastAsia="en-US" w:bidi="ar-SA"/>
              </w:rPr>
            </w:pPr>
            <w:r>
              <w:rPr>
                <w:rFonts w:hint="eastAsia" w:ascii="宋体" w:hAnsi="Times New Roman" w:eastAsia="宋体" w:cs="Times New Roman"/>
                <w:color w:val="auto"/>
                <w:sz w:val="18"/>
                <w:szCs w:val="20"/>
                <w:lang w:val="en-US" w:eastAsia="zh-CN" w:bidi="ar-SA"/>
              </w:rPr>
              <w:t>4.3</w:t>
            </w:r>
          </w:p>
        </w:tc>
        <w:tc>
          <w:tcPr>
            <w:tcW w:w="2397" w:type="dxa"/>
            <w:shd w:val="clear" w:color="auto" w:fill="auto"/>
            <w:vAlign w:val="center"/>
          </w:tcPr>
          <w:p w14:paraId="06041604">
            <w:pPr>
              <w:pStyle w:val="22"/>
              <w:jc w:val="center"/>
              <w:rPr>
                <w:rFonts w:hint="eastAsia" w:ascii="宋体" w:hAnsi="Times New Roman" w:eastAsia="宋体" w:cs="Times New Roman"/>
                <w:color w:val="auto"/>
                <w:sz w:val="18"/>
                <w:szCs w:val="20"/>
                <w:lang w:val="en-US" w:eastAsia="en-US" w:bidi="ar-SA"/>
              </w:rPr>
            </w:pPr>
            <w:r>
              <w:rPr>
                <w:rFonts w:hint="eastAsia" w:ascii="宋体" w:hAnsi="Times New Roman" w:eastAsia="宋体" w:cs="Times New Roman"/>
                <w:color w:val="auto"/>
                <w:sz w:val="18"/>
                <w:szCs w:val="20"/>
                <w:lang w:val="en-US" w:eastAsia="zh-CN" w:bidi="ar-SA"/>
              </w:rPr>
              <w:t>未扦样检验或扦样数量、频次未达到标准要求的比例，导致漏检</w:t>
            </w:r>
          </w:p>
        </w:tc>
        <w:tc>
          <w:tcPr>
            <w:tcW w:w="930" w:type="dxa"/>
            <w:shd w:val="clear" w:color="auto" w:fill="auto"/>
            <w:vAlign w:val="center"/>
          </w:tcPr>
          <w:p w14:paraId="6C4CE298">
            <w:pPr>
              <w:pStyle w:val="22"/>
              <w:jc w:val="center"/>
              <w:rPr>
                <w:rFonts w:hint="eastAsia" w:ascii="宋体" w:hAnsi="Times New Roman" w:eastAsia="宋体" w:cs="Times New Roman"/>
                <w:color w:val="auto"/>
                <w:sz w:val="18"/>
                <w:szCs w:val="20"/>
                <w:lang w:val="en-US" w:eastAsia="en-US" w:bidi="ar-SA"/>
              </w:rPr>
            </w:pPr>
            <w:r>
              <w:rPr>
                <w:rFonts w:hint="eastAsia" w:ascii="宋体" w:hAnsi="Times New Roman" w:eastAsia="宋体" w:cs="Times New Roman"/>
                <w:color w:val="auto"/>
                <w:sz w:val="18"/>
                <w:szCs w:val="20"/>
                <w:lang w:val="en-US" w:eastAsia="zh-CN" w:bidi="ar-SA"/>
              </w:rPr>
              <w:t>操作风险</w:t>
            </w:r>
          </w:p>
        </w:tc>
        <w:tc>
          <w:tcPr>
            <w:tcW w:w="963" w:type="dxa"/>
            <w:tcBorders>
              <w:top w:val="single" w:color="auto" w:sz="4" w:space="0"/>
              <w:bottom w:val="single" w:color="auto" w:sz="4" w:space="0"/>
            </w:tcBorders>
            <w:shd w:val="clear" w:color="auto" w:fill="auto"/>
            <w:vAlign w:val="center"/>
          </w:tcPr>
          <w:p w14:paraId="6A8E7E1A">
            <w:pPr>
              <w:pStyle w:val="22"/>
              <w:jc w:val="center"/>
              <w:rPr>
                <w:rFonts w:hint="eastAsia" w:ascii="宋体" w:hAnsi="Times New Roman" w:eastAsia="宋体" w:cs="Times New Roman"/>
                <w:color w:val="auto"/>
                <w:sz w:val="18"/>
                <w:szCs w:val="20"/>
                <w:lang w:val="en-US" w:eastAsia="en-US" w:bidi="ar-SA"/>
              </w:rPr>
            </w:pPr>
            <w:r>
              <w:rPr>
                <w:rFonts w:hint="eastAsia" w:ascii="宋体" w:hAnsi="Times New Roman" w:eastAsia="宋体" w:cs="Times New Roman"/>
                <w:color w:val="auto"/>
                <w:sz w:val="18"/>
                <w:szCs w:val="20"/>
                <w:lang w:val="en-US" w:eastAsia="zh-CN" w:bidi="ar-SA"/>
              </w:rPr>
              <w:t>Ⅲ级</w:t>
            </w:r>
          </w:p>
        </w:tc>
        <w:tc>
          <w:tcPr>
            <w:tcW w:w="1400" w:type="dxa"/>
            <w:vMerge w:val="continue"/>
            <w:vAlign w:val="center"/>
          </w:tcPr>
          <w:p w14:paraId="3C14EE2D">
            <w:pPr>
              <w:pStyle w:val="22"/>
              <w:jc w:val="center"/>
              <w:rPr>
                <w:rFonts w:hint="eastAsia" w:ascii="宋体" w:hAnsi="Times New Roman" w:eastAsia="宋体" w:cs="Times New Roman"/>
                <w:color w:val="auto"/>
                <w:sz w:val="18"/>
                <w:szCs w:val="20"/>
                <w:lang w:val="en-US" w:eastAsia="zh-CN" w:bidi="ar-SA"/>
              </w:rPr>
            </w:pPr>
          </w:p>
        </w:tc>
      </w:tr>
      <w:tr w14:paraId="1E6AC0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545" w:type="dxa"/>
            <w:vMerge w:val="continue"/>
            <w:vAlign w:val="center"/>
          </w:tcPr>
          <w:p w14:paraId="3574C016">
            <w:pPr>
              <w:pStyle w:val="22"/>
              <w:jc w:val="center"/>
              <w:rPr>
                <w:rFonts w:hint="eastAsia" w:ascii="宋体" w:hAnsi="Times New Roman" w:eastAsia="宋体" w:cs="Times New Roman"/>
                <w:color w:val="auto"/>
                <w:sz w:val="18"/>
                <w:szCs w:val="20"/>
                <w:lang w:val="en-US" w:eastAsia="zh-CN" w:bidi="ar-SA"/>
              </w:rPr>
            </w:pPr>
          </w:p>
        </w:tc>
        <w:tc>
          <w:tcPr>
            <w:tcW w:w="1273" w:type="dxa"/>
            <w:vMerge w:val="continue"/>
            <w:vAlign w:val="center"/>
          </w:tcPr>
          <w:p w14:paraId="5BBCF34F">
            <w:pPr>
              <w:pStyle w:val="22"/>
              <w:jc w:val="center"/>
              <w:rPr>
                <w:rFonts w:hint="eastAsia" w:ascii="宋体" w:hAnsi="Times New Roman" w:eastAsia="宋体" w:cs="Times New Roman"/>
                <w:color w:val="auto"/>
                <w:sz w:val="18"/>
                <w:szCs w:val="20"/>
                <w:lang w:val="en-US" w:eastAsia="zh-CN" w:bidi="ar-SA"/>
              </w:rPr>
            </w:pPr>
          </w:p>
        </w:tc>
        <w:tc>
          <w:tcPr>
            <w:tcW w:w="790" w:type="dxa"/>
            <w:tcBorders>
              <w:top w:val="single" w:color="auto" w:sz="4" w:space="0"/>
              <w:bottom w:val="single" w:color="auto" w:sz="4" w:space="0"/>
            </w:tcBorders>
            <w:shd w:val="clear" w:color="auto" w:fill="auto"/>
            <w:vAlign w:val="center"/>
          </w:tcPr>
          <w:p w14:paraId="70EE8372">
            <w:pPr>
              <w:pStyle w:val="22"/>
              <w:jc w:val="center"/>
              <w:rPr>
                <w:rFonts w:hint="eastAsia" w:ascii="宋体" w:hAnsi="Times New Roman" w:eastAsia="宋体" w:cs="Times New Roman"/>
                <w:color w:val="auto"/>
                <w:sz w:val="18"/>
                <w:szCs w:val="20"/>
                <w:lang w:val="en-US" w:eastAsia="en-US" w:bidi="ar-SA"/>
              </w:rPr>
            </w:pPr>
            <w:r>
              <w:rPr>
                <w:rFonts w:hint="eastAsia" w:ascii="宋体" w:hAnsi="Times New Roman" w:eastAsia="宋体" w:cs="Times New Roman"/>
                <w:color w:val="auto"/>
                <w:sz w:val="18"/>
                <w:szCs w:val="20"/>
                <w:lang w:val="en-US" w:eastAsia="zh-CN" w:bidi="ar-SA"/>
              </w:rPr>
              <w:t>4.4</w:t>
            </w:r>
          </w:p>
        </w:tc>
        <w:tc>
          <w:tcPr>
            <w:tcW w:w="2397" w:type="dxa"/>
            <w:shd w:val="clear" w:color="auto" w:fill="auto"/>
            <w:vAlign w:val="center"/>
          </w:tcPr>
          <w:p w14:paraId="48EAE864">
            <w:pPr>
              <w:pStyle w:val="22"/>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Times New Roman" w:eastAsia="宋体" w:cs="Times New Roman"/>
                <w:color w:val="auto"/>
                <w:sz w:val="18"/>
                <w:szCs w:val="20"/>
                <w:lang w:val="en-US" w:eastAsia="en-US" w:bidi="ar-SA"/>
              </w:rPr>
            </w:pPr>
            <w:r>
              <w:rPr>
                <w:rFonts w:hint="eastAsia" w:ascii="宋体" w:hAnsi="Times New Roman" w:eastAsia="宋体" w:cs="Times New Roman"/>
                <w:color w:val="auto"/>
                <w:sz w:val="18"/>
                <w:szCs w:val="20"/>
                <w:lang w:val="en-US" w:eastAsia="zh-CN" w:bidi="ar-SA"/>
              </w:rPr>
              <w:t>扦样过程由于未采取相应保护措施，器具使用、着装等不当，造成污染</w:t>
            </w:r>
          </w:p>
        </w:tc>
        <w:tc>
          <w:tcPr>
            <w:tcW w:w="930" w:type="dxa"/>
            <w:shd w:val="clear" w:color="auto" w:fill="auto"/>
            <w:vAlign w:val="center"/>
          </w:tcPr>
          <w:p w14:paraId="3ADA3696">
            <w:pPr>
              <w:pStyle w:val="22"/>
              <w:jc w:val="center"/>
              <w:rPr>
                <w:rFonts w:hint="eastAsia" w:ascii="宋体" w:hAnsi="Times New Roman" w:eastAsia="宋体" w:cs="Times New Roman"/>
                <w:color w:val="auto"/>
                <w:sz w:val="18"/>
                <w:szCs w:val="20"/>
                <w:lang w:val="en-US" w:eastAsia="en-US" w:bidi="ar-SA"/>
              </w:rPr>
            </w:pPr>
            <w:r>
              <w:rPr>
                <w:rFonts w:hint="eastAsia" w:ascii="宋体" w:hAnsi="Times New Roman" w:eastAsia="宋体" w:cs="Times New Roman"/>
                <w:color w:val="auto"/>
                <w:sz w:val="18"/>
                <w:szCs w:val="20"/>
                <w:lang w:val="en-US" w:eastAsia="zh-CN" w:bidi="ar-SA"/>
              </w:rPr>
              <w:t>操作风险</w:t>
            </w:r>
          </w:p>
        </w:tc>
        <w:tc>
          <w:tcPr>
            <w:tcW w:w="963" w:type="dxa"/>
            <w:tcBorders>
              <w:top w:val="single" w:color="auto" w:sz="4" w:space="0"/>
              <w:bottom w:val="single" w:color="auto" w:sz="4" w:space="0"/>
            </w:tcBorders>
            <w:shd w:val="clear" w:color="auto" w:fill="auto"/>
            <w:vAlign w:val="center"/>
          </w:tcPr>
          <w:p w14:paraId="681D15BE">
            <w:pPr>
              <w:pStyle w:val="22"/>
              <w:jc w:val="center"/>
              <w:rPr>
                <w:rFonts w:hint="eastAsia" w:ascii="宋体" w:hAnsi="Times New Roman" w:eastAsia="宋体" w:cs="Times New Roman"/>
                <w:color w:val="auto"/>
                <w:sz w:val="18"/>
                <w:szCs w:val="20"/>
                <w:lang w:val="en-US" w:eastAsia="en-US" w:bidi="ar-SA"/>
              </w:rPr>
            </w:pPr>
            <w:r>
              <w:rPr>
                <w:rFonts w:hint="eastAsia" w:ascii="宋体" w:hAnsi="Times New Roman" w:eastAsia="宋体" w:cs="Times New Roman"/>
                <w:color w:val="auto"/>
                <w:sz w:val="18"/>
                <w:szCs w:val="20"/>
                <w:lang w:val="en-US" w:eastAsia="zh-CN" w:bidi="ar-SA"/>
              </w:rPr>
              <w:t>Ⅱ级</w:t>
            </w:r>
          </w:p>
        </w:tc>
        <w:tc>
          <w:tcPr>
            <w:tcW w:w="1400" w:type="dxa"/>
            <w:vMerge w:val="continue"/>
            <w:vAlign w:val="center"/>
          </w:tcPr>
          <w:p w14:paraId="0345BF09">
            <w:pPr>
              <w:pStyle w:val="22"/>
              <w:jc w:val="center"/>
              <w:rPr>
                <w:rFonts w:hint="eastAsia" w:ascii="宋体" w:hAnsi="Times New Roman" w:eastAsia="宋体" w:cs="Times New Roman"/>
                <w:color w:val="auto"/>
                <w:sz w:val="18"/>
                <w:szCs w:val="20"/>
                <w:lang w:val="en-US" w:eastAsia="zh-CN" w:bidi="ar-SA"/>
              </w:rPr>
            </w:pPr>
          </w:p>
        </w:tc>
      </w:tr>
      <w:tr w14:paraId="1474E5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545" w:type="dxa"/>
            <w:vMerge w:val="continue"/>
            <w:vAlign w:val="center"/>
          </w:tcPr>
          <w:p w14:paraId="697EB387">
            <w:pPr>
              <w:pStyle w:val="22"/>
              <w:jc w:val="center"/>
              <w:rPr>
                <w:rFonts w:hint="eastAsia" w:ascii="宋体" w:hAnsi="Times New Roman" w:eastAsia="宋体" w:cs="Times New Roman"/>
                <w:color w:val="auto"/>
                <w:sz w:val="18"/>
                <w:szCs w:val="20"/>
                <w:lang w:val="en-US" w:eastAsia="zh-CN" w:bidi="ar-SA"/>
              </w:rPr>
            </w:pPr>
          </w:p>
        </w:tc>
        <w:tc>
          <w:tcPr>
            <w:tcW w:w="1273" w:type="dxa"/>
            <w:vMerge w:val="continue"/>
            <w:vAlign w:val="center"/>
          </w:tcPr>
          <w:p w14:paraId="13B395DF">
            <w:pPr>
              <w:pStyle w:val="22"/>
              <w:jc w:val="center"/>
              <w:rPr>
                <w:rFonts w:hint="eastAsia" w:ascii="宋体" w:hAnsi="Times New Roman" w:eastAsia="宋体" w:cs="Times New Roman"/>
                <w:color w:val="auto"/>
                <w:sz w:val="18"/>
                <w:szCs w:val="20"/>
                <w:lang w:val="en-US" w:eastAsia="zh-CN" w:bidi="ar-SA"/>
              </w:rPr>
            </w:pPr>
          </w:p>
        </w:tc>
        <w:tc>
          <w:tcPr>
            <w:tcW w:w="790" w:type="dxa"/>
            <w:tcBorders>
              <w:top w:val="single" w:color="auto" w:sz="4" w:space="0"/>
              <w:bottom w:val="single" w:color="auto" w:sz="4" w:space="0"/>
            </w:tcBorders>
            <w:shd w:val="clear" w:color="auto" w:fill="auto"/>
            <w:vAlign w:val="center"/>
          </w:tcPr>
          <w:p w14:paraId="1473FA34">
            <w:pPr>
              <w:pStyle w:val="22"/>
              <w:jc w:val="center"/>
              <w:rPr>
                <w:rFonts w:hint="eastAsia" w:ascii="宋体" w:hAnsi="Times New Roman" w:eastAsia="宋体" w:cs="Times New Roman"/>
                <w:color w:val="auto"/>
                <w:sz w:val="18"/>
                <w:szCs w:val="20"/>
                <w:lang w:val="en-US" w:eastAsia="en-US" w:bidi="ar-SA"/>
              </w:rPr>
            </w:pPr>
            <w:r>
              <w:rPr>
                <w:rFonts w:hint="eastAsia" w:ascii="宋体" w:hAnsi="Times New Roman" w:eastAsia="宋体" w:cs="Times New Roman"/>
                <w:color w:val="auto"/>
                <w:sz w:val="18"/>
                <w:szCs w:val="20"/>
                <w:lang w:val="en-US" w:eastAsia="zh-CN" w:bidi="ar-SA"/>
              </w:rPr>
              <w:t>4.5</w:t>
            </w:r>
          </w:p>
        </w:tc>
        <w:tc>
          <w:tcPr>
            <w:tcW w:w="2397" w:type="dxa"/>
            <w:shd w:val="clear" w:color="auto" w:fill="auto"/>
            <w:vAlign w:val="center"/>
          </w:tcPr>
          <w:p w14:paraId="3FE9B7DA">
            <w:pPr>
              <w:pStyle w:val="22"/>
              <w:jc w:val="center"/>
              <w:rPr>
                <w:rFonts w:hint="eastAsia" w:ascii="宋体" w:hAnsi="Times New Roman" w:eastAsia="宋体" w:cs="Times New Roman"/>
                <w:color w:val="auto"/>
                <w:sz w:val="18"/>
                <w:szCs w:val="20"/>
                <w:lang w:val="en-US" w:eastAsia="en-US" w:bidi="ar-SA"/>
              </w:rPr>
            </w:pPr>
            <w:r>
              <w:rPr>
                <w:rFonts w:hint="eastAsia" w:ascii="宋体" w:hAnsi="Times New Roman" w:eastAsia="宋体" w:cs="Times New Roman"/>
                <w:color w:val="auto"/>
                <w:sz w:val="18"/>
                <w:szCs w:val="20"/>
                <w:lang w:val="en-US" w:eastAsia="zh-CN" w:bidi="ar-SA"/>
              </w:rPr>
              <w:t>未按合同规定检验项目检验，无法正常退货或索赔</w:t>
            </w:r>
          </w:p>
        </w:tc>
        <w:tc>
          <w:tcPr>
            <w:tcW w:w="930" w:type="dxa"/>
            <w:shd w:val="clear" w:color="auto" w:fill="auto"/>
            <w:vAlign w:val="center"/>
          </w:tcPr>
          <w:p w14:paraId="53B0124D">
            <w:pPr>
              <w:pStyle w:val="22"/>
              <w:jc w:val="center"/>
              <w:rPr>
                <w:rFonts w:hint="eastAsia" w:ascii="宋体" w:hAnsi="Times New Roman" w:eastAsia="宋体" w:cs="Times New Roman"/>
                <w:color w:val="auto"/>
                <w:sz w:val="18"/>
                <w:szCs w:val="20"/>
                <w:lang w:val="en-US" w:eastAsia="en-US" w:bidi="ar-SA"/>
              </w:rPr>
            </w:pPr>
            <w:r>
              <w:rPr>
                <w:rFonts w:hint="eastAsia" w:ascii="宋体" w:hAnsi="Times New Roman" w:eastAsia="宋体" w:cs="Times New Roman"/>
                <w:color w:val="auto"/>
                <w:sz w:val="18"/>
                <w:szCs w:val="20"/>
                <w:lang w:val="en-US" w:eastAsia="zh-CN" w:bidi="ar-SA"/>
              </w:rPr>
              <w:t>操作风险</w:t>
            </w:r>
          </w:p>
        </w:tc>
        <w:tc>
          <w:tcPr>
            <w:tcW w:w="963" w:type="dxa"/>
            <w:tcBorders>
              <w:top w:val="single" w:color="auto" w:sz="4" w:space="0"/>
              <w:bottom w:val="single" w:color="auto" w:sz="4" w:space="0"/>
            </w:tcBorders>
            <w:shd w:val="clear" w:color="auto" w:fill="auto"/>
            <w:vAlign w:val="center"/>
          </w:tcPr>
          <w:p w14:paraId="48E586F0">
            <w:pPr>
              <w:pStyle w:val="22"/>
              <w:jc w:val="center"/>
              <w:rPr>
                <w:rFonts w:hint="eastAsia" w:ascii="宋体" w:hAnsi="Times New Roman" w:eastAsia="宋体" w:cs="Times New Roman"/>
                <w:color w:val="auto"/>
                <w:sz w:val="18"/>
                <w:szCs w:val="20"/>
                <w:lang w:val="en-US" w:eastAsia="en-US" w:bidi="ar-SA"/>
              </w:rPr>
            </w:pPr>
            <w:r>
              <w:rPr>
                <w:rFonts w:hint="eastAsia" w:ascii="宋体" w:hAnsi="Times New Roman" w:eastAsia="宋体" w:cs="Times New Roman"/>
                <w:color w:val="auto"/>
                <w:sz w:val="18"/>
                <w:szCs w:val="20"/>
                <w:lang w:val="en-US" w:eastAsia="zh-CN" w:bidi="ar-SA"/>
              </w:rPr>
              <w:t>Ⅲ级</w:t>
            </w:r>
          </w:p>
        </w:tc>
        <w:tc>
          <w:tcPr>
            <w:tcW w:w="1400" w:type="dxa"/>
            <w:vMerge w:val="continue"/>
            <w:vAlign w:val="center"/>
          </w:tcPr>
          <w:p w14:paraId="4C392CD2">
            <w:pPr>
              <w:pStyle w:val="22"/>
              <w:jc w:val="center"/>
              <w:rPr>
                <w:rFonts w:hint="eastAsia" w:ascii="宋体" w:hAnsi="Times New Roman" w:eastAsia="宋体" w:cs="Times New Roman"/>
                <w:color w:val="auto"/>
                <w:sz w:val="18"/>
                <w:szCs w:val="20"/>
                <w:lang w:val="en-US" w:eastAsia="zh-CN" w:bidi="ar-SA"/>
              </w:rPr>
            </w:pPr>
          </w:p>
        </w:tc>
      </w:tr>
      <w:tr w14:paraId="42FA0E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545" w:type="dxa"/>
            <w:vMerge w:val="continue"/>
            <w:vAlign w:val="center"/>
          </w:tcPr>
          <w:p w14:paraId="0BB741F1">
            <w:pPr>
              <w:pStyle w:val="22"/>
              <w:jc w:val="center"/>
              <w:rPr>
                <w:rFonts w:hint="eastAsia" w:ascii="宋体" w:hAnsi="Times New Roman" w:eastAsia="宋体" w:cs="Times New Roman"/>
                <w:color w:val="auto"/>
                <w:sz w:val="18"/>
                <w:szCs w:val="20"/>
                <w:lang w:val="en-US" w:eastAsia="zh-CN" w:bidi="ar-SA"/>
              </w:rPr>
            </w:pPr>
          </w:p>
        </w:tc>
        <w:tc>
          <w:tcPr>
            <w:tcW w:w="1273" w:type="dxa"/>
            <w:vMerge w:val="continue"/>
            <w:vAlign w:val="center"/>
          </w:tcPr>
          <w:p w14:paraId="164CC87E">
            <w:pPr>
              <w:pStyle w:val="22"/>
              <w:jc w:val="center"/>
              <w:rPr>
                <w:rFonts w:hint="eastAsia" w:ascii="宋体" w:hAnsi="Times New Roman" w:eastAsia="宋体" w:cs="Times New Roman"/>
                <w:color w:val="auto"/>
                <w:sz w:val="18"/>
                <w:szCs w:val="20"/>
                <w:lang w:val="en-US" w:eastAsia="zh-CN" w:bidi="ar-SA"/>
              </w:rPr>
            </w:pPr>
          </w:p>
        </w:tc>
        <w:tc>
          <w:tcPr>
            <w:tcW w:w="790" w:type="dxa"/>
            <w:tcBorders>
              <w:top w:val="single" w:color="auto" w:sz="4" w:space="0"/>
              <w:bottom w:val="single" w:color="auto" w:sz="4" w:space="0"/>
            </w:tcBorders>
            <w:shd w:val="clear" w:color="auto" w:fill="auto"/>
            <w:vAlign w:val="center"/>
          </w:tcPr>
          <w:p w14:paraId="44D9DDA7">
            <w:pPr>
              <w:pStyle w:val="22"/>
              <w:jc w:val="center"/>
              <w:rPr>
                <w:rFonts w:hint="eastAsia" w:ascii="宋体" w:hAnsi="Times New Roman" w:eastAsia="宋体" w:cs="Times New Roman"/>
                <w:color w:val="auto"/>
                <w:sz w:val="18"/>
                <w:szCs w:val="20"/>
                <w:lang w:val="en-US" w:eastAsia="zh-CN" w:bidi="ar-SA"/>
              </w:rPr>
            </w:pPr>
            <w:r>
              <w:rPr>
                <w:rFonts w:hint="eastAsia" w:ascii="宋体" w:hAnsi="Times New Roman" w:eastAsia="宋体" w:cs="Times New Roman"/>
                <w:color w:val="auto"/>
                <w:sz w:val="18"/>
                <w:szCs w:val="20"/>
                <w:lang w:val="en-US" w:eastAsia="zh-CN" w:bidi="ar-SA"/>
              </w:rPr>
              <w:t>4.6</w:t>
            </w:r>
          </w:p>
        </w:tc>
        <w:tc>
          <w:tcPr>
            <w:tcW w:w="2397" w:type="dxa"/>
            <w:shd w:val="clear" w:color="auto" w:fill="auto"/>
            <w:vAlign w:val="center"/>
          </w:tcPr>
          <w:p w14:paraId="1635456D">
            <w:pPr>
              <w:pStyle w:val="22"/>
              <w:jc w:val="center"/>
              <w:rPr>
                <w:rFonts w:hint="eastAsia" w:ascii="宋体" w:hAnsi="Times New Roman" w:eastAsia="宋体" w:cs="Times New Roman"/>
                <w:color w:val="auto"/>
                <w:sz w:val="18"/>
                <w:szCs w:val="20"/>
                <w:lang w:val="en-US" w:eastAsia="zh-CN" w:bidi="ar-SA"/>
              </w:rPr>
            </w:pPr>
            <w:r>
              <w:rPr>
                <w:rFonts w:hint="eastAsia" w:ascii="宋体" w:hAnsi="Times New Roman" w:eastAsia="宋体" w:cs="Times New Roman"/>
                <w:color w:val="auto"/>
                <w:sz w:val="18"/>
                <w:szCs w:val="20"/>
                <w:lang w:val="en-US" w:eastAsia="zh-CN" w:bidi="ar-SA"/>
              </w:rPr>
              <w:t>原料感官、理化指标不符合标准要求</w:t>
            </w:r>
          </w:p>
        </w:tc>
        <w:tc>
          <w:tcPr>
            <w:tcW w:w="930" w:type="dxa"/>
            <w:shd w:val="clear" w:color="auto" w:fill="auto"/>
            <w:vAlign w:val="center"/>
          </w:tcPr>
          <w:p w14:paraId="7FFEA4F9">
            <w:pPr>
              <w:pStyle w:val="22"/>
              <w:jc w:val="center"/>
              <w:rPr>
                <w:rFonts w:hint="eastAsia" w:ascii="宋体" w:hAnsi="Times New Roman" w:eastAsia="宋体" w:cs="Times New Roman"/>
                <w:color w:val="auto"/>
                <w:sz w:val="18"/>
                <w:szCs w:val="20"/>
                <w:lang w:val="en-US" w:eastAsia="zh-CN" w:bidi="ar-SA"/>
              </w:rPr>
            </w:pPr>
            <w:r>
              <w:rPr>
                <w:rFonts w:hint="eastAsia" w:ascii="宋体" w:hAnsi="Times New Roman" w:eastAsia="宋体" w:cs="Times New Roman"/>
                <w:color w:val="auto"/>
                <w:sz w:val="18"/>
                <w:szCs w:val="20"/>
                <w:lang w:val="en-US" w:eastAsia="zh-CN" w:bidi="ar-SA"/>
              </w:rPr>
              <w:t>操作风险</w:t>
            </w:r>
          </w:p>
        </w:tc>
        <w:tc>
          <w:tcPr>
            <w:tcW w:w="963" w:type="dxa"/>
            <w:tcBorders>
              <w:top w:val="single" w:color="auto" w:sz="4" w:space="0"/>
              <w:bottom w:val="single" w:color="auto" w:sz="4" w:space="0"/>
            </w:tcBorders>
            <w:shd w:val="clear" w:color="auto" w:fill="auto"/>
            <w:vAlign w:val="center"/>
          </w:tcPr>
          <w:p w14:paraId="5AF07A8A">
            <w:pPr>
              <w:pStyle w:val="22"/>
              <w:jc w:val="center"/>
              <w:rPr>
                <w:rFonts w:hint="eastAsia" w:ascii="宋体" w:hAnsi="Times New Roman" w:eastAsia="宋体" w:cs="Times New Roman"/>
                <w:color w:val="auto"/>
                <w:sz w:val="18"/>
                <w:szCs w:val="20"/>
                <w:lang w:val="en-US" w:eastAsia="zh-CN" w:bidi="ar-SA"/>
              </w:rPr>
            </w:pPr>
            <w:r>
              <w:rPr>
                <w:rFonts w:hint="eastAsia" w:ascii="宋体" w:hAnsi="Times New Roman" w:eastAsia="宋体" w:cs="Times New Roman"/>
                <w:color w:val="auto"/>
                <w:sz w:val="18"/>
                <w:szCs w:val="20"/>
                <w:lang w:val="en-US" w:eastAsia="zh-CN" w:bidi="ar-SA"/>
              </w:rPr>
              <w:t>Ⅱ级</w:t>
            </w:r>
          </w:p>
        </w:tc>
        <w:tc>
          <w:tcPr>
            <w:tcW w:w="1400" w:type="dxa"/>
            <w:vMerge w:val="continue"/>
            <w:vAlign w:val="center"/>
          </w:tcPr>
          <w:p w14:paraId="5737D46A">
            <w:pPr>
              <w:pStyle w:val="22"/>
              <w:jc w:val="center"/>
              <w:rPr>
                <w:rFonts w:hint="eastAsia" w:ascii="宋体" w:hAnsi="Times New Roman" w:eastAsia="宋体" w:cs="Times New Roman"/>
                <w:color w:val="auto"/>
                <w:sz w:val="18"/>
                <w:szCs w:val="20"/>
                <w:lang w:val="en-US" w:eastAsia="zh-CN" w:bidi="ar-SA"/>
              </w:rPr>
            </w:pPr>
          </w:p>
        </w:tc>
      </w:tr>
      <w:tr w14:paraId="4D0C07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545" w:type="dxa"/>
            <w:vMerge w:val="continue"/>
            <w:vAlign w:val="center"/>
          </w:tcPr>
          <w:p w14:paraId="3819B1DA">
            <w:pPr>
              <w:pStyle w:val="22"/>
              <w:jc w:val="center"/>
              <w:rPr>
                <w:rFonts w:hint="eastAsia" w:ascii="宋体" w:hAnsi="Times New Roman" w:eastAsia="宋体" w:cs="Times New Roman"/>
                <w:color w:val="auto"/>
                <w:sz w:val="18"/>
                <w:szCs w:val="20"/>
                <w:lang w:val="en-US" w:eastAsia="zh-CN" w:bidi="ar-SA"/>
              </w:rPr>
            </w:pPr>
          </w:p>
        </w:tc>
        <w:tc>
          <w:tcPr>
            <w:tcW w:w="1273" w:type="dxa"/>
            <w:vMerge w:val="continue"/>
            <w:vAlign w:val="center"/>
          </w:tcPr>
          <w:p w14:paraId="088C2DF6">
            <w:pPr>
              <w:pStyle w:val="22"/>
              <w:jc w:val="center"/>
              <w:rPr>
                <w:rFonts w:hint="eastAsia" w:ascii="宋体" w:hAnsi="Times New Roman" w:eastAsia="宋体" w:cs="Times New Roman"/>
                <w:color w:val="auto"/>
                <w:sz w:val="18"/>
                <w:szCs w:val="20"/>
                <w:lang w:val="en-US" w:eastAsia="zh-CN" w:bidi="ar-SA"/>
              </w:rPr>
            </w:pPr>
          </w:p>
        </w:tc>
        <w:tc>
          <w:tcPr>
            <w:tcW w:w="790" w:type="dxa"/>
            <w:tcBorders>
              <w:top w:val="single" w:color="auto" w:sz="4" w:space="0"/>
              <w:bottom w:val="single" w:color="auto" w:sz="4" w:space="0"/>
            </w:tcBorders>
            <w:shd w:val="clear" w:color="auto" w:fill="auto"/>
            <w:vAlign w:val="center"/>
          </w:tcPr>
          <w:p w14:paraId="44DD941D">
            <w:pPr>
              <w:pStyle w:val="22"/>
              <w:jc w:val="center"/>
              <w:rPr>
                <w:rFonts w:hint="eastAsia" w:ascii="宋体" w:hAnsi="Times New Roman" w:eastAsia="宋体" w:cs="Times New Roman"/>
                <w:color w:val="auto"/>
                <w:sz w:val="18"/>
                <w:szCs w:val="20"/>
                <w:lang w:val="en-US" w:eastAsia="zh-CN" w:bidi="ar-SA"/>
              </w:rPr>
            </w:pPr>
            <w:r>
              <w:rPr>
                <w:rFonts w:hint="eastAsia" w:ascii="宋体" w:hAnsi="Times New Roman" w:eastAsia="宋体" w:cs="Times New Roman"/>
                <w:color w:val="auto"/>
                <w:sz w:val="18"/>
                <w:szCs w:val="20"/>
                <w:lang w:val="en-US" w:eastAsia="zh-CN" w:bidi="ar-SA"/>
              </w:rPr>
              <w:t>4.7</w:t>
            </w:r>
          </w:p>
        </w:tc>
        <w:tc>
          <w:tcPr>
            <w:tcW w:w="2397" w:type="dxa"/>
            <w:shd w:val="clear" w:color="auto" w:fill="auto"/>
            <w:vAlign w:val="center"/>
          </w:tcPr>
          <w:p w14:paraId="24F3A3E4">
            <w:pPr>
              <w:pStyle w:val="22"/>
              <w:jc w:val="center"/>
              <w:rPr>
                <w:rFonts w:hint="eastAsia" w:ascii="宋体" w:hAnsi="Times New Roman" w:eastAsia="宋体" w:cs="Times New Roman"/>
                <w:color w:val="auto"/>
                <w:sz w:val="18"/>
                <w:szCs w:val="20"/>
                <w:lang w:val="en-US" w:eastAsia="zh-CN" w:bidi="ar-SA"/>
              </w:rPr>
            </w:pPr>
            <w:r>
              <w:rPr>
                <w:rFonts w:hint="eastAsia" w:ascii="宋体" w:hAnsi="Times New Roman" w:eastAsia="宋体" w:cs="Times New Roman"/>
                <w:color w:val="auto"/>
                <w:sz w:val="18"/>
                <w:szCs w:val="20"/>
                <w:lang w:val="en-US" w:eastAsia="zh-CN" w:bidi="ar-SA"/>
              </w:rPr>
              <w:t>原料微生物、农残及重金属指标不符合标准要求，含有致</w:t>
            </w:r>
          </w:p>
          <w:p w14:paraId="6A70A9B8">
            <w:pPr>
              <w:pStyle w:val="22"/>
              <w:jc w:val="center"/>
              <w:rPr>
                <w:rFonts w:hint="eastAsia" w:ascii="宋体" w:hAnsi="Times New Roman" w:eastAsia="宋体" w:cs="Times New Roman"/>
                <w:color w:val="auto"/>
                <w:sz w:val="18"/>
                <w:szCs w:val="20"/>
                <w:lang w:val="en-US" w:eastAsia="zh-CN" w:bidi="ar-SA"/>
              </w:rPr>
            </w:pPr>
            <w:r>
              <w:rPr>
                <w:rFonts w:hint="eastAsia" w:ascii="宋体" w:hAnsi="Times New Roman" w:eastAsia="宋体" w:cs="Times New Roman"/>
                <w:color w:val="auto"/>
                <w:sz w:val="18"/>
                <w:szCs w:val="20"/>
                <w:lang w:val="en-US" w:eastAsia="zh-CN" w:bidi="ar-SA"/>
              </w:rPr>
              <w:t>病菌</w:t>
            </w:r>
          </w:p>
        </w:tc>
        <w:tc>
          <w:tcPr>
            <w:tcW w:w="930" w:type="dxa"/>
            <w:shd w:val="clear" w:color="auto" w:fill="auto"/>
            <w:vAlign w:val="center"/>
          </w:tcPr>
          <w:p w14:paraId="79006D24">
            <w:pPr>
              <w:pStyle w:val="22"/>
              <w:jc w:val="center"/>
              <w:rPr>
                <w:rFonts w:hint="eastAsia" w:ascii="宋体" w:hAnsi="Times New Roman" w:eastAsia="宋体" w:cs="Times New Roman"/>
                <w:color w:val="auto"/>
                <w:sz w:val="18"/>
                <w:szCs w:val="20"/>
                <w:lang w:val="en-US" w:eastAsia="zh-CN" w:bidi="ar-SA"/>
              </w:rPr>
            </w:pPr>
            <w:r>
              <w:rPr>
                <w:rFonts w:hint="eastAsia" w:ascii="宋体" w:hAnsi="Times New Roman" w:eastAsia="宋体" w:cs="Times New Roman"/>
                <w:color w:val="auto"/>
                <w:sz w:val="18"/>
                <w:szCs w:val="20"/>
                <w:lang w:val="en-US" w:eastAsia="zh-CN" w:bidi="ar-SA"/>
              </w:rPr>
              <w:t>操作风险</w:t>
            </w:r>
          </w:p>
        </w:tc>
        <w:tc>
          <w:tcPr>
            <w:tcW w:w="963" w:type="dxa"/>
            <w:tcBorders>
              <w:top w:val="single" w:color="auto" w:sz="4" w:space="0"/>
              <w:bottom w:val="single" w:color="auto" w:sz="4" w:space="0"/>
            </w:tcBorders>
            <w:shd w:val="clear" w:color="auto" w:fill="auto"/>
            <w:vAlign w:val="center"/>
          </w:tcPr>
          <w:p w14:paraId="37827165">
            <w:pPr>
              <w:pStyle w:val="22"/>
              <w:jc w:val="center"/>
              <w:rPr>
                <w:rFonts w:hint="eastAsia" w:ascii="宋体" w:hAnsi="Times New Roman" w:eastAsia="宋体" w:cs="Times New Roman"/>
                <w:color w:val="auto"/>
                <w:sz w:val="18"/>
                <w:szCs w:val="20"/>
                <w:lang w:val="en-US" w:eastAsia="zh-CN" w:bidi="ar-SA"/>
              </w:rPr>
            </w:pPr>
            <w:r>
              <w:rPr>
                <w:rFonts w:hint="eastAsia" w:ascii="宋体" w:hAnsi="Times New Roman" w:eastAsia="宋体" w:cs="Times New Roman"/>
                <w:color w:val="auto"/>
                <w:sz w:val="18"/>
                <w:szCs w:val="20"/>
                <w:lang w:val="en-US" w:eastAsia="zh-CN" w:bidi="ar-SA"/>
              </w:rPr>
              <w:t>Ⅱ级</w:t>
            </w:r>
          </w:p>
        </w:tc>
        <w:tc>
          <w:tcPr>
            <w:tcW w:w="1400" w:type="dxa"/>
            <w:vMerge w:val="continue"/>
            <w:vAlign w:val="center"/>
          </w:tcPr>
          <w:p w14:paraId="5F616C2A">
            <w:pPr>
              <w:pStyle w:val="22"/>
              <w:jc w:val="center"/>
              <w:rPr>
                <w:rFonts w:hint="eastAsia" w:ascii="宋体" w:hAnsi="Times New Roman" w:eastAsia="宋体" w:cs="Times New Roman"/>
                <w:color w:val="auto"/>
                <w:sz w:val="18"/>
                <w:szCs w:val="20"/>
                <w:lang w:val="en-US" w:eastAsia="zh-CN" w:bidi="ar-SA"/>
              </w:rPr>
            </w:pPr>
          </w:p>
        </w:tc>
      </w:tr>
      <w:tr w14:paraId="53C17B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545" w:type="dxa"/>
            <w:vMerge w:val="continue"/>
            <w:vAlign w:val="center"/>
          </w:tcPr>
          <w:p w14:paraId="35E30B74">
            <w:pPr>
              <w:pStyle w:val="22"/>
              <w:jc w:val="center"/>
              <w:rPr>
                <w:rFonts w:hint="eastAsia" w:ascii="宋体" w:hAnsi="Times New Roman" w:eastAsia="宋体" w:cs="Times New Roman"/>
                <w:color w:val="auto"/>
                <w:sz w:val="18"/>
                <w:szCs w:val="20"/>
                <w:lang w:val="en-US" w:eastAsia="zh-CN" w:bidi="ar-SA"/>
              </w:rPr>
            </w:pPr>
          </w:p>
        </w:tc>
        <w:tc>
          <w:tcPr>
            <w:tcW w:w="1273" w:type="dxa"/>
            <w:vMerge w:val="continue"/>
            <w:vAlign w:val="center"/>
          </w:tcPr>
          <w:p w14:paraId="0B68DF52">
            <w:pPr>
              <w:pStyle w:val="22"/>
              <w:jc w:val="center"/>
              <w:rPr>
                <w:rFonts w:hint="eastAsia" w:ascii="宋体" w:hAnsi="Times New Roman" w:eastAsia="宋体" w:cs="Times New Roman"/>
                <w:color w:val="auto"/>
                <w:sz w:val="18"/>
                <w:szCs w:val="20"/>
                <w:lang w:val="en-US" w:eastAsia="zh-CN" w:bidi="ar-SA"/>
              </w:rPr>
            </w:pPr>
          </w:p>
        </w:tc>
        <w:tc>
          <w:tcPr>
            <w:tcW w:w="790" w:type="dxa"/>
            <w:tcBorders>
              <w:top w:val="single" w:color="auto" w:sz="4" w:space="0"/>
              <w:bottom w:val="single" w:color="auto" w:sz="4" w:space="0"/>
            </w:tcBorders>
            <w:shd w:val="clear" w:color="auto" w:fill="auto"/>
            <w:vAlign w:val="center"/>
          </w:tcPr>
          <w:p w14:paraId="0D8F0BA0">
            <w:pPr>
              <w:pStyle w:val="22"/>
              <w:jc w:val="center"/>
              <w:rPr>
                <w:rFonts w:hint="eastAsia" w:ascii="宋体" w:hAnsi="Times New Roman" w:eastAsia="宋体" w:cs="Times New Roman"/>
                <w:color w:val="auto"/>
                <w:sz w:val="18"/>
                <w:szCs w:val="20"/>
                <w:lang w:val="en-US" w:eastAsia="zh-CN" w:bidi="ar-SA"/>
              </w:rPr>
            </w:pPr>
            <w:r>
              <w:rPr>
                <w:rFonts w:hint="eastAsia" w:ascii="宋体" w:hAnsi="Times New Roman" w:eastAsia="宋体" w:cs="Times New Roman"/>
                <w:color w:val="auto"/>
                <w:sz w:val="18"/>
                <w:szCs w:val="20"/>
                <w:lang w:val="en-US" w:eastAsia="zh-CN" w:bidi="ar-SA"/>
              </w:rPr>
              <w:t>4.8</w:t>
            </w:r>
          </w:p>
        </w:tc>
        <w:tc>
          <w:tcPr>
            <w:tcW w:w="2397" w:type="dxa"/>
            <w:shd w:val="clear" w:color="auto" w:fill="auto"/>
            <w:vAlign w:val="center"/>
          </w:tcPr>
          <w:p w14:paraId="63037594">
            <w:pPr>
              <w:pStyle w:val="22"/>
              <w:jc w:val="center"/>
              <w:rPr>
                <w:rFonts w:hint="eastAsia" w:ascii="宋体" w:hAnsi="Times New Roman" w:eastAsia="宋体" w:cs="Times New Roman"/>
                <w:color w:val="auto"/>
                <w:sz w:val="18"/>
                <w:szCs w:val="20"/>
                <w:lang w:val="en-US" w:eastAsia="zh-CN" w:bidi="ar-SA"/>
              </w:rPr>
            </w:pPr>
            <w:r>
              <w:rPr>
                <w:rFonts w:hint="eastAsia" w:ascii="宋体" w:hAnsi="Times New Roman" w:eastAsia="宋体" w:cs="Times New Roman"/>
                <w:color w:val="auto"/>
                <w:sz w:val="18"/>
                <w:szCs w:val="20"/>
                <w:lang w:val="en-US" w:eastAsia="zh-CN" w:bidi="ar-SA"/>
              </w:rPr>
              <w:t>辅料中含有有毒有害物质</w:t>
            </w:r>
          </w:p>
        </w:tc>
        <w:tc>
          <w:tcPr>
            <w:tcW w:w="930" w:type="dxa"/>
            <w:shd w:val="clear" w:color="auto" w:fill="auto"/>
            <w:vAlign w:val="center"/>
          </w:tcPr>
          <w:p w14:paraId="128E3CC8">
            <w:pPr>
              <w:pStyle w:val="22"/>
              <w:jc w:val="center"/>
              <w:rPr>
                <w:rFonts w:hint="eastAsia" w:ascii="宋体" w:hAnsi="Times New Roman" w:eastAsia="宋体" w:cs="Times New Roman"/>
                <w:color w:val="auto"/>
                <w:sz w:val="18"/>
                <w:szCs w:val="20"/>
                <w:lang w:val="en-US" w:eastAsia="zh-CN" w:bidi="ar-SA"/>
              </w:rPr>
            </w:pPr>
            <w:r>
              <w:rPr>
                <w:rFonts w:hint="eastAsia" w:ascii="宋体" w:hAnsi="Times New Roman" w:eastAsia="宋体" w:cs="Times New Roman"/>
                <w:color w:val="auto"/>
                <w:sz w:val="18"/>
                <w:szCs w:val="20"/>
                <w:lang w:val="en-US" w:eastAsia="zh-CN" w:bidi="ar-SA"/>
              </w:rPr>
              <w:t>操作风险</w:t>
            </w:r>
          </w:p>
        </w:tc>
        <w:tc>
          <w:tcPr>
            <w:tcW w:w="963" w:type="dxa"/>
            <w:tcBorders>
              <w:top w:val="single" w:color="auto" w:sz="4" w:space="0"/>
              <w:bottom w:val="single" w:color="auto" w:sz="4" w:space="0"/>
            </w:tcBorders>
            <w:shd w:val="clear" w:color="auto" w:fill="auto"/>
            <w:vAlign w:val="center"/>
          </w:tcPr>
          <w:p w14:paraId="35F3690D">
            <w:pPr>
              <w:pStyle w:val="22"/>
              <w:jc w:val="center"/>
              <w:rPr>
                <w:rFonts w:hint="eastAsia" w:ascii="宋体" w:hAnsi="Times New Roman" w:eastAsia="宋体" w:cs="Times New Roman"/>
                <w:color w:val="auto"/>
                <w:sz w:val="18"/>
                <w:szCs w:val="20"/>
                <w:lang w:val="en-US" w:eastAsia="zh-CN" w:bidi="ar-SA"/>
              </w:rPr>
            </w:pPr>
            <w:r>
              <w:rPr>
                <w:rFonts w:hint="eastAsia" w:ascii="宋体" w:hAnsi="Times New Roman" w:eastAsia="宋体" w:cs="Times New Roman"/>
                <w:color w:val="auto"/>
                <w:sz w:val="18"/>
                <w:szCs w:val="20"/>
                <w:lang w:val="en-US" w:eastAsia="zh-CN" w:bidi="ar-SA"/>
              </w:rPr>
              <w:t>I级</w:t>
            </w:r>
          </w:p>
        </w:tc>
        <w:tc>
          <w:tcPr>
            <w:tcW w:w="1400" w:type="dxa"/>
            <w:vMerge w:val="continue"/>
            <w:vAlign w:val="center"/>
          </w:tcPr>
          <w:p w14:paraId="6D8C7414">
            <w:pPr>
              <w:pStyle w:val="22"/>
              <w:jc w:val="center"/>
              <w:rPr>
                <w:rFonts w:hint="eastAsia" w:ascii="宋体" w:hAnsi="Times New Roman" w:eastAsia="宋体" w:cs="Times New Roman"/>
                <w:color w:val="auto"/>
                <w:sz w:val="18"/>
                <w:szCs w:val="20"/>
                <w:lang w:val="en-US" w:eastAsia="zh-CN" w:bidi="ar-SA"/>
              </w:rPr>
            </w:pPr>
          </w:p>
        </w:tc>
      </w:tr>
      <w:tr w14:paraId="5070EC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545" w:type="dxa"/>
            <w:vMerge w:val="restart"/>
            <w:shd w:val="clear" w:color="auto" w:fill="auto"/>
            <w:vAlign w:val="center"/>
          </w:tcPr>
          <w:p w14:paraId="695D3C35">
            <w:pPr>
              <w:pStyle w:val="22"/>
              <w:jc w:val="center"/>
              <w:rPr>
                <w:rFonts w:hint="eastAsia" w:ascii="宋体" w:hAnsi="Times New Roman" w:eastAsia="宋体" w:cs="Times New Roman"/>
                <w:color w:val="auto"/>
                <w:sz w:val="18"/>
                <w:szCs w:val="20"/>
                <w:lang w:val="en-US" w:eastAsia="zh-CN" w:bidi="ar-SA"/>
              </w:rPr>
            </w:pPr>
            <w:r>
              <w:rPr>
                <w:rFonts w:hint="eastAsia" w:ascii="宋体" w:hAnsi="Times New Roman" w:eastAsia="宋体" w:cs="Times New Roman"/>
                <w:color w:val="auto"/>
                <w:sz w:val="18"/>
                <w:szCs w:val="20"/>
                <w:lang w:val="en-US" w:eastAsia="zh-CN" w:bidi="ar-SA"/>
              </w:rPr>
              <w:t>5</w:t>
            </w:r>
          </w:p>
        </w:tc>
        <w:tc>
          <w:tcPr>
            <w:tcW w:w="1273" w:type="dxa"/>
            <w:vMerge w:val="restart"/>
            <w:shd w:val="clear" w:color="auto" w:fill="auto"/>
            <w:vAlign w:val="center"/>
          </w:tcPr>
          <w:p w14:paraId="0C671A88">
            <w:pPr>
              <w:pStyle w:val="22"/>
              <w:jc w:val="center"/>
              <w:rPr>
                <w:rFonts w:hint="eastAsia" w:ascii="宋体" w:hAnsi="Times New Roman" w:eastAsia="宋体" w:cs="Times New Roman"/>
                <w:color w:val="auto"/>
                <w:sz w:val="18"/>
                <w:szCs w:val="20"/>
                <w:lang w:val="en-US" w:eastAsia="zh-CN" w:bidi="ar-SA"/>
              </w:rPr>
            </w:pPr>
            <w:r>
              <w:rPr>
                <w:rFonts w:hint="eastAsia" w:ascii="宋体" w:hAnsi="Times New Roman" w:eastAsia="宋体" w:cs="Times New Roman"/>
                <w:color w:val="auto"/>
                <w:sz w:val="18"/>
                <w:szCs w:val="20"/>
                <w:lang w:val="en-US" w:eastAsia="zh-CN" w:bidi="ar-SA"/>
              </w:rPr>
              <w:t>不合格品退货</w:t>
            </w:r>
          </w:p>
        </w:tc>
        <w:tc>
          <w:tcPr>
            <w:tcW w:w="790" w:type="dxa"/>
            <w:tcBorders>
              <w:top w:val="single" w:color="auto" w:sz="4" w:space="0"/>
              <w:bottom w:val="single" w:color="auto" w:sz="4" w:space="0"/>
            </w:tcBorders>
            <w:shd w:val="clear" w:color="auto" w:fill="auto"/>
            <w:vAlign w:val="center"/>
          </w:tcPr>
          <w:p w14:paraId="32871D2A">
            <w:pPr>
              <w:pStyle w:val="22"/>
              <w:jc w:val="center"/>
              <w:rPr>
                <w:rFonts w:hint="eastAsia" w:ascii="宋体" w:hAnsi="Times New Roman" w:eastAsia="宋体" w:cs="Times New Roman"/>
                <w:color w:val="auto"/>
                <w:sz w:val="18"/>
                <w:szCs w:val="20"/>
                <w:lang w:val="en-US" w:eastAsia="zh-CN" w:bidi="ar-SA"/>
              </w:rPr>
            </w:pPr>
            <w:r>
              <w:rPr>
                <w:rFonts w:hint="eastAsia" w:ascii="宋体" w:hAnsi="Times New Roman" w:eastAsia="宋体" w:cs="Times New Roman"/>
                <w:color w:val="auto"/>
                <w:sz w:val="18"/>
                <w:szCs w:val="20"/>
                <w:lang w:val="en-US" w:eastAsia="zh-CN" w:bidi="ar-SA"/>
              </w:rPr>
              <w:t>5.1</w:t>
            </w:r>
          </w:p>
        </w:tc>
        <w:tc>
          <w:tcPr>
            <w:tcW w:w="2397" w:type="dxa"/>
            <w:shd w:val="clear" w:color="auto" w:fill="auto"/>
            <w:vAlign w:val="center"/>
          </w:tcPr>
          <w:p w14:paraId="29A26CEA">
            <w:pPr>
              <w:pStyle w:val="22"/>
              <w:jc w:val="center"/>
              <w:rPr>
                <w:rFonts w:hint="eastAsia" w:ascii="宋体" w:hAnsi="Times New Roman" w:eastAsia="宋体" w:cs="Times New Roman"/>
                <w:color w:val="auto"/>
                <w:sz w:val="18"/>
                <w:szCs w:val="20"/>
                <w:lang w:val="en-US" w:eastAsia="zh-CN" w:bidi="ar-SA"/>
              </w:rPr>
            </w:pPr>
            <w:r>
              <w:rPr>
                <w:rFonts w:hint="eastAsia" w:ascii="宋体" w:hAnsi="Times New Roman" w:eastAsia="宋体" w:cs="Times New Roman"/>
                <w:color w:val="auto"/>
                <w:sz w:val="18"/>
                <w:szCs w:val="20"/>
                <w:lang w:val="en-US" w:eastAsia="zh-CN" w:bidi="ar-SA"/>
              </w:rPr>
              <w:t>不合格品与合格品没有分区码放，互相混淆</w:t>
            </w:r>
          </w:p>
        </w:tc>
        <w:tc>
          <w:tcPr>
            <w:tcW w:w="930" w:type="dxa"/>
            <w:shd w:val="clear" w:color="auto" w:fill="auto"/>
            <w:vAlign w:val="center"/>
          </w:tcPr>
          <w:p w14:paraId="13242191">
            <w:pPr>
              <w:pStyle w:val="22"/>
              <w:jc w:val="center"/>
              <w:rPr>
                <w:rFonts w:hint="eastAsia" w:ascii="宋体" w:hAnsi="Times New Roman" w:eastAsia="宋体" w:cs="Times New Roman"/>
                <w:color w:val="auto"/>
                <w:sz w:val="18"/>
                <w:szCs w:val="20"/>
                <w:lang w:val="en-US" w:eastAsia="zh-CN" w:bidi="ar-SA"/>
              </w:rPr>
            </w:pPr>
            <w:r>
              <w:rPr>
                <w:rFonts w:hint="eastAsia" w:ascii="宋体" w:hAnsi="Times New Roman" w:eastAsia="宋体" w:cs="Times New Roman"/>
                <w:color w:val="auto"/>
                <w:sz w:val="18"/>
                <w:szCs w:val="20"/>
                <w:lang w:val="en-US" w:eastAsia="zh-CN" w:bidi="ar-SA"/>
              </w:rPr>
              <w:t>操作风险</w:t>
            </w:r>
          </w:p>
        </w:tc>
        <w:tc>
          <w:tcPr>
            <w:tcW w:w="963" w:type="dxa"/>
            <w:tcBorders>
              <w:top w:val="single" w:color="auto" w:sz="4" w:space="0"/>
              <w:bottom w:val="single" w:color="auto" w:sz="4" w:space="0"/>
            </w:tcBorders>
            <w:shd w:val="clear" w:color="auto" w:fill="auto"/>
            <w:vAlign w:val="center"/>
          </w:tcPr>
          <w:p w14:paraId="13EF8184">
            <w:pPr>
              <w:pStyle w:val="22"/>
              <w:jc w:val="center"/>
              <w:rPr>
                <w:rFonts w:hint="eastAsia" w:ascii="宋体" w:hAnsi="Times New Roman" w:eastAsia="宋体" w:cs="Times New Roman"/>
                <w:color w:val="auto"/>
                <w:sz w:val="18"/>
                <w:szCs w:val="20"/>
                <w:lang w:val="en-US" w:eastAsia="zh-CN" w:bidi="ar-SA"/>
              </w:rPr>
            </w:pPr>
            <w:r>
              <w:rPr>
                <w:rFonts w:hint="eastAsia" w:ascii="宋体" w:hAnsi="Times New Roman" w:eastAsia="宋体" w:cs="Times New Roman"/>
                <w:color w:val="auto"/>
                <w:sz w:val="18"/>
                <w:szCs w:val="20"/>
                <w:lang w:val="en-US" w:eastAsia="zh-CN" w:bidi="ar-SA"/>
              </w:rPr>
              <w:t>Ⅲ级</w:t>
            </w:r>
          </w:p>
        </w:tc>
        <w:tc>
          <w:tcPr>
            <w:tcW w:w="1400" w:type="dxa"/>
            <w:shd w:val="clear" w:color="auto" w:fill="auto"/>
            <w:vAlign w:val="center"/>
          </w:tcPr>
          <w:p w14:paraId="2450C4FD">
            <w:pPr>
              <w:pStyle w:val="22"/>
              <w:jc w:val="center"/>
              <w:rPr>
                <w:rFonts w:hint="eastAsia" w:ascii="宋体" w:hAnsi="Times New Roman" w:eastAsia="宋体" w:cs="Times New Roman"/>
                <w:color w:val="auto"/>
                <w:sz w:val="18"/>
                <w:szCs w:val="20"/>
                <w:lang w:val="en-US" w:eastAsia="zh-CN" w:bidi="ar-SA"/>
              </w:rPr>
            </w:pPr>
            <w:r>
              <w:rPr>
                <w:rFonts w:hint="eastAsia" w:ascii="宋体" w:hAnsi="Times New Roman" w:eastAsia="宋体" w:cs="Times New Roman"/>
                <w:color w:val="auto"/>
                <w:sz w:val="18"/>
                <w:szCs w:val="20"/>
                <w:lang w:val="en-US" w:eastAsia="zh-CN" w:bidi="ar-SA"/>
              </w:rPr>
              <w:t>定期检查、反馈</w:t>
            </w:r>
          </w:p>
        </w:tc>
      </w:tr>
      <w:tr w14:paraId="2B4038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545" w:type="dxa"/>
            <w:vMerge w:val="continue"/>
            <w:vAlign w:val="center"/>
          </w:tcPr>
          <w:p w14:paraId="12370114">
            <w:pPr>
              <w:pStyle w:val="22"/>
              <w:jc w:val="center"/>
              <w:rPr>
                <w:rFonts w:hint="eastAsia" w:ascii="宋体" w:hAnsi="Times New Roman" w:eastAsia="宋体" w:cs="Times New Roman"/>
                <w:color w:val="auto"/>
                <w:sz w:val="18"/>
                <w:szCs w:val="20"/>
                <w:lang w:val="en-US" w:eastAsia="zh-CN" w:bidi="ar-SA"/>
              </w:rPr>
            </w:pPr>
          </w:p>
        </w:tc>
        <w:tc>
          <w:tcPr>
            <w:tcW w:w="1273" w:type="dxa"/>
            <w:vMerge w:val="continue"/>
            <w:vAlign w:val="center"/>
          </w:tcPr>
          <w:p w14:paraId="1358F8B3">
            <w:pPr>
              <w:pStyle w:val="22"/>
              <w:jc w:val="center"/>
              <w:rPr>
                <w:rFonts w:hint="eastAsia" w:ascii="宋体" w:hAnsi="Times New Roman" w:eastAsia="宋体" w:cs="Times New Roman"/>
                <w:color w:val="auto"/>
                <w:sz w:val="18"/>
                <w:szCs w:val="20"/>
                <w:lang w:val="en-US" w:eastAsia="zh-CN" w:bidi="ar-SA"/>
              </w:rPr>
            </w:pPr>
          </w:p>
        </w:tc>
        <w:tc>
          <w:tcPr>
            <w:tcW w:w="790" w:type="dxa"/>
            <w:tcBorders>
              <w:top w:val="single" w:color="auto" w:sz="4" w:space="0"/>
              <w:bottom w:val="single" w:color="auto" w:sz="4" w:space="0"/>
            </w:tcBorders>
            <w:shd w:val="clear" w:color="auto" w:fill="auto"/>
            <w:vAlign w:val="center"/>
          </w:tcPr>
          <w:p w14:paraId="58A8EA46">
            <w:pPr>
              <w:pStyle w:val="22"/>
              <w:jc w:val="center"/>
              <w:rPr>
                <w:rFonts w:hint="eastAsia" w:ascii="宋体" w:hAnsi="Times New Roman" w:eastAsia="宋体" w:cs="Times New Roman"/>
                <w:color w:val="auto"/>
                <w:sz w:val="18"/>
                <w:szCs w:val="20"/>
                <w:lang w:val="en-US" w:eastAsia="zh-CN" w:bidi="ar-SA"/>
              </w:rPr>
            </w:pPr>
            <w:r>
              <w:rPr>
                <w:rFonts w:hint="eastAsia" w:ascii="宋体" w:hAnsi="Times New Roman" w:eastAsia="宋体" w:cs="Times New Roman"/>
                <w:color w:val="auto"/>
                <w:sz w:val="18"/>
                <w:szCs w:val="20"/>
                <w:lang w:val="en-US" w:eastAsia="zh-CN" w:bidi="ar-SA"/>
              </w:rPr>
              <w:t>5.2</w:t>
            </w:r>
          </w:p>
        </w:tc>
        <w:tc>
          <w:tcPr>
            <w:tcW w:w="2397" w:type="dxa"/>
            <w:shd w:val="clear" w:color="auto" w:fill="auto"/>
            <w:vAlign w:val="center"/>
          </w:tcPr>
          <w:p w14:paraId="688F023D">
            <w:pPr>
              <w:pStyle w:val="22"/>
              <w:jc w:val="center"/>
              <w:rPr>
                <w:rFonts w:hint="eastAsia" w:ascii="宋体" w:hAnsi="Times New Roman" w:eastAsia="宋体" w:cs="Times New Roman"/>
                <w:color w:val="auto"/>
                <w:sz w:val="18"/>
                <w:szCs w:val="20"/>
                <w:lang w:val="en-US" w:eastAsia="zh-CN" w:bidi="ar-SA"/>
              </w:rPr>
            </w:pPr>
            <w:r>
              <w:rPr>
                <w:rFonts w:hint="eastAsia" w:ascii="宋体" w:hAnsi="Times New Roman" w:eastAsia="宋体" w:cs="Times New Roman"/>
                <w:color w:val="auto"/>
                <w:sz w:val="18"/>
                <w:szCs w:val="20"/>
                <w:lang w:val="en-US" w:eastAsia="zh-CN" w:bidi="ar-SA"/>
              </w:rPr>
              <w:t>不合格品未及时退货，生产时错误使用</w:t>
            </w:r>
          </w:p>
        </w:tc>
        <w:tc>
          <w:tcPr>
            <w:tcW w:w="930" w:type="dxa"/>
            <w:shd w:val="clear" w:color="auto" w:fill="auto"/>
            <w:vAlign w:val="center"/>
          </w:tcPr>
          <w:p w14:paraId="73B9855E">
            <w:pPr>
              <w:pStyle w:val="22"/>
              <w:jc w:val="center"/>
              <w:rPr>
                <w:rFonts w:hint="eastAsia" w:ascii="宋体" w:hAnsi="Times New Roman" w:eastAsia="宋体" w:cs="Times New Roman"/>
                <w:color w:val="auto"/>
                <w:sz w:val="18"/>
                <w:szCs w:val="20"/>
                <w:lang w:val="en-US" w:eastAsia="zh-CN" w:bidi="ar-SA"/>
              </w:rPr>
            </w:pPr>
            <w:r>
              <w:rPr>
                <w:rFonts w:hint="eastAsia" w:ascii="宋体" w:hAnsi="Times New Roman" w:eastAsia="宋体" w:cs="Times New Roman"/>
                <w:color w:val="auto"/>
                <w:sz w:val="18"/>
                <w:szCs w:val="20"/>
                <w:lang w:val="en-US" w:eastAsia="zh-CN" w:bidi="ar-SA"/>
              </w:rPr>
              <w:t>操作风险</w:t>
            </w:r>
          </w:p>
        </w:tc>
        <w:tc>
          <w:tcPr>
            <w:tcW w:w="963" w:type="dxa"/>
            <w:tcBorders>
              <w:top w:val="single" w:color="auto" w:sz="4" w:space="0"/>
              <w:bottom w:val="single" w:color="auto" w:sz="4" w:space="0"/>
            </w:tcBorders>
            <w:shd w:val="clear" w:color="auto" w:fill="auto"/>
            <w:vAlign w:val="center"/>
          </w:tcPr>
          <w:p w14:paraId="7886D57F">
            <w:pPr>
              <w:pStyle w:val="22"/>
              <w:jc w:val="center"/>
              <w:rPr>
                <w:rFonts w:hint="eastAsia" w:ascii="宋体" w:hAnsi="Times New Roman" w:eastAsia="宋体" w:cs="Times New Roman"/>
                <w:color w:val="auto"/>
                <w:sz w:val="18"/>
                <w:szCs w:val="20"/>
                <w:lang w:val="en-US" w:eastAsia="zh-CN" w:bidi="ar-SA"/>
              </w:rPr>
            </w:pPr>
            <w:r>
              <w:rPr>
                <w:rFonts w:hint="eastAsia" w:ascii="宋体" w:hAnsi="Times New Roman" w:eastAsia="宋体" w:cs="Times New Roman"/>
                <w:color w:val="auto"/>
                <w:sz w:val="18"/>
                <w:szCs w:val="20"/>
                <w:lang w:val="en-US" w:eastAsia="zh-CN" w:bidi="ar-SA"/>
              </w:rPr>
              <w:t>Ⅲ级</w:t>
            </w:r>
          </w:p>
        </w:tc>
        <w:tc>
          <w:tcPr>
            <w:tcW w:w="1400" w:type="dxa"/>
            <w:shd w:val="clear" w:color="auto" w:fill="auto"/>
            <w:vAlign w:val="center"/>
          </w:tcPr>
          <w:p w14:paraId="4C1424E1">
            <w:pPr>
              <w:pStyle w:val="22"/>
              <w:jc w:val="center"/>
              <w:rPr>
                <w:rFonts w:hint="eastAsia" w:ascii="宋体" w:hAnsi="Times New Roman" w:eastAsia="宋体" w:cs="Times New Roman"/>
                <w:color w:val="auto"/>
                <w:sz w:val="18"/>
                <w:szCs w:val="20"/>
                <w:lang w:val="en-US" w:eastAsia="zh-CN" w:bidi="ar-SA"/>
              </w:rPr>
            </w:pPr>
            <w:r>
              <w:rPr>
                <w:rFonts w:hint="eastAsia" w:ascii="宋体" w:hAnsi="Times New Roman" w:eastAsia="宋体" w:cs="Times New Roman"/>
                <w:color w:val="auto"/>
                <w:sz w:val="18"/>
                <w:szCs w:val="20"/>
                <w:lang w:val="en-US" w:eastAsia="zh-CN" w:bidi="ar-SA"/>
              </w:rPr>
              <w:t>不合格品隔离存放、标识清晰</w:t>
            </w:r>
          </w:p>
        </w:tc>
      </w:tr>
      <w:tr w14:paraId="4E8EB8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trPr>
        <w:tc>
          <w:tcPr>
            <w:tcW w:w="545" w:type="dxa"/>
            <w:vMerge w:val="restart"/>
            <w:shd w:val="clear" w:color="auto" w:fill="auto"/>
            <w:vAlign w:val="center"/>
          </w:tcPr>
          <w:p w14:paraId="76D1E7DD">
            <w:pPr>
              <w:pStyle w:val="22"/>
              <w:jc w:val="center"/>
              <w:rPr>
                <w:rFonts w:hint="eastAsia" w:ascii="宋体" w:hAnsi="Times New Roman" w:eastAsia="宋体" w:cs="Times New Roman"/>
                <w:color w:val="auto"/>
                <w:sz w:val="18"/>
                <w:szCs w:val="20"/>
                <w:lang w:val="en-US" w:eastAsia="zh-CN" w:bidi="ar-SA"/>
              </w:rPr>
            </w:pPr>
            <w:r>
              <w:rPr>
                <w:rFonts w:hint="eastAsia" w:ascii="宋体" w:hAnsi="Times New Roman" w:eastAsia="宋体" w:cs="Times New Roman"/>
                <w:color w:val="auto"/>
                <w:sz w:val="18"/>
                <w:szCs w:val="20"/>
                <w:lang w:val="en-US" w:eastAsia="en-US" w:bidi="ar-SA"/>
              </w:rPr>
              <w:t>6</w:t>
            </w:r>
          </w:p>
        </w:tc>
        <w:tc>
          <w:tcPr>
            <w:tcW w:w="1273" w:type="dxa"/>
            <w:vMerge w:val="restart"/>
            <w:shd w:val="clear" w:color="auto" w:fill="auto"/>
            <w:vAlign w:val="center"/>
          </w:tcPr>
          <w:p w14:paraId="4E3AC193">
            <w:pPr>
              <w:pStyle w:val="22"/>
              <w:jc w:val="center"/>
              <w:rPr>
                <w:rFonts w:hint="eastAsia" w:ascii="宋体" w:hAnsi="Times New Roman" w:eastAsia="宋体" w:cs="Times New Roman"/>
                <w:color w:val="auto"/>
                <w:sz w:val="18"/>
                <w:szCs w:val="20"/>
                <w:lang w:val="en-US" w:eastAsia="en-US" w:bidi="ar-SA"/>
              </w:rPr>
            </w:pPr>
            <w:r>
              <w:rPr>
                <w:rFonts w:hint="eastAsia" w:ascii="宋体" w:hAnsi="Times New Roman" w:eastAsia="宋体" w:cs="Times New Roman"/>
                <w:color w:val="auto"/>
                <w:sz w:val="18"/>
                <w:szCs w:val="20"/>
                <w:lang w:val="en-US" w:eastAsia="en-US" w:bidi="ar-SA"/>
              </w:rPr>
              <w:t>供应商评价与</w:t>
            </w:r>
          </w:p>
          <w:p w14:paraId="3A04EADA">
            <w:pPr>
              <w:pStyle w:val="22"/>
              <w:jc w:val="center"/>
              <w:rPr>
                <w:rFonts w:hint="eastAsia" w:ascii="宋体" w:hAnsi="Times New Roman" w:eastAsia="宋体" w:cs="Times New Roman"/>
                <w:color w:val="auto"/>
                <w:sz w:val="18"/>
                <w:szCs w:val="20"/>
                <w:lang w:val="en-US" w:eastAsia="zh-CN" w:bidi="ar-SA"/>
              </w:rPr>
            </w:pPr>
            <w:r>
              <w:rPr>
                <w:rFonts w:hint="eastAsia" w:ascii="宋体" w:hAnsi="Times New Roman" w:eastAsia="宋体" w:cs="Times New Roman"/>
                <w:color w:val="auto"/>
                <w:sz w:val="18"/>
                <w:szCs w:val="20"/>
                <w:lang w:val="en-US" w:eastAsia="en-US" w:bidi="ar-SA"/>
              </w:rPr>
              <w:t>处置</w:t>
            </w:r>
          </w:p>
        </w:tc>
        <w:tc>
          <w:tcPr>
            <w:tcW w:w="790" w:type="dxa"/>
            <w:tcBorders>
              <w:top w:val="single" w:color="auto" w:sz="4" w:space="0"/>
              <w:bottom w:val="single" w:color="auto" w:sz="4" w:space="0"/>
            </w:tcBorders>
            <w:shd w:val="clear" w:color="auto" w:fill="auto"/>
            <w:vAlign w:val="center"/>
          </w:tcPr>
          <w:p w14:paraId="28EA26F9">
            <w:pPr>
              <w:pStyle w:val="22"/>
              <w:jc w:val="center"/>
              <w:rPr>
                <w:rFonts w:hint="eastAsia" w:ascii="宋体" w:hAnsi="Times New Roman" w:eastAsia="宋体" w:cs="Times New Roman"/>
                <w:color w:val="auto"/>
                <w:sz w:val="18"/>
                <w:szCs w:val="20"/>
                <w:lang w:val="en-US" w:eastAsia="zh-CN" w:bidi="ar-SA"/>
              </w:rPr>
            </w:pPr>
            <w:r>
              <w:rPr>
                <w:rFonts w:hint="eastAsia" w:ascii="宋体" w:hAnsi="Times New Roman" w:eastAsia="宋体" w:cs="Times New Roman"/>
                <w:color w:val="auto"/>
                <w:sz w:val="18"/>
                <w:szCs w:val="20"/>
                <w:lang w:val="en-US" w:eastAsia="en-US" w:bidi="ar-SA"/>
              </w:rPr>
              <w:t>6.1</w:t>
            </w:r>
          </w:p>
        </w:tc>
        <w:tc>
          <w:tcPr>
            <w:tcW w:w="2397" w:type="dxa"/>
            <w:shd w:val="clear" w:color="auto" w:fill="auto"/>
            <w:vAlign w:val="center"/>
          </w:tcPr>
          <w:p w14:paraId="332C28E9">
            <w:pPr>
              <w:pStyle w:val="22"/>
              <w:jc w:val="center"/>
              <w:rPr>
                <w:rFonts w:hint="eastAsia" w:ascii="宋体" w:hAnsi="Times New Roman" w:eastAsia="宋体" w:cs="Times New Roman"/>
                <w:color w:val="auto"/>
                <w:sz w:val="18"/>
                <w:szCs w:val="20"/>
                <w:lang w:val="en-US" w:eastAsia="zh-CN" w:bidi="ar-SA"/>
              </w:rPr>
            </w:pPr>
            <w:r>
              <w:rPr>
                <w:rFonts w:hint="eastAsia" w:ascii="宋体" w:hAnsi="Times New Roman" w:eastAsia="宋体" w:cs="Times New Roman"/>
                <w:color w:val="auto"/>
                <w:sz w:val="18"/>
                <w:szCs w:val="20"/>
                <w:lang w:val="en-US" w:eastAsia="zh-CN" w:bidi="ar-SA"/>
              </w:rPr>
              <w:t>供应商出现过供货质量或有欺诈行为</w:t>
            </w:r>
          </w:p>
        </w:tc>
        <w:tc>
          <w:tcPr>
            <w:tcW w:w="930" w:type="dxa"/>
            <w:shd w:val="clear" w:color="auto" w:fill="auto"/>
            <w:vAlign w:val="center"/>
          </w:tcPr>
          <w:p w14:paraId="3543A23E">
            <w:pPr>
              <w:pStyle w:val="22"/>
              <w:jc w:val="center"/>
              <w:rPr>
                <w:rFonts w:hint="eastAsia" w:ascii="宋体" w:hAnsi="Times New Roman" w:eastAsia="宋体" w:cs="Times New Roman"/>
                <w:color w:val="auto"/>
                <w:sz w:val="18"/>
                <w:szCs w:val="20"/>
                <w:lang w:val="en-US" w:eastAsia="zh-CN" w:bidi="ar-SA"/>
              </w:rPr>
            </w:pPr>
            <w:r>
              <w:rPr>
                <w:rFonts w:hint="eastAsia" w:ascii="宋体" w:hAnsi="Times New Roman" w:eastAsia="宋体" w:cs="Times New Roman"/>
                <w:color w:val="auto"/>
                <w:sz w:val="18"/>
                <w:szCs w:val="20"/>
                <w:lang w:val="en-US" w:eastAsia="en-US" w:bidi="ar-SA"/>
              </w:rPr>
              <w:t>管理风险</w:t>
            </w:r>
          </w:p>
        </w:tc>
        <w:tc>
          <w:tcPr>
            <w:tcW w:w="963" w:type="dxa"/>
            <w:tcBorders>
              <w:top w:val="single" w:color="auto" w:sz="4" w:space="0"/>
              <w:bottom w:val="single" w:color="auto" w:sz="4" w:space="0"/>
            </w:tcBorders>
            <w:shd w:val="clear" w:color="auto" w:fill="auto"/>
            <w:vAlign w:val="center"/>
          </w:tcPr>
          <w:p w14:paraId="6461672F">
            <w:pPr>
              <w:pStyle w:val="22"/>
              <w:jc w:val="center"/>
              <w:rPr>
                <w:rFonts w:hint="eastAsia" w:ascii="宋体" w:hAnsi="Times New Roman" w:eastAsia="宋体" w:cs="Times New Roman"/>
                <w:color w:val="auto"/>
                <w:sz w:val="18"/>
                <w:szCs w:val="20"/>
                <w:lang w:val="en-US" w:eastAsia="zh-CN" w:bidi="ar-SA"/>
              </w:rPr>
            </w:pPr>
            <w:r>
              <w:rPr>
                <w:rFonts w:hint="eastAsia" w:ascii="宋体" w:hAnsi="Times New Roman" w:eastAsia="宋体" w:cs="Times New Roman"/>
                <w:color w:val="auto"/>
                <w:sz w:val="18"/>
                <w:szCs w:val="20"/>
                <w:lang w:val="en-US" w:eastAsia="en-US" w:bidi="ar-SA"/>
              </w:rPr>
              <w:t>Ⅲ级</w:t>
            </w:r>
          </w:p>
        </w:tc>
        <w:tc>
          <w:tcPr>
            <w:tcW w:w="1400" w:type="dxa"/>
            <w:shd w:val="clear" w:color="auto" w:fill="auto"/>
            <w:vAlign w:val="center"/>
          </w:tcPr>
          <w:p w14:paraId="6360CF01">
            <w:pPr>
              <w:pStyle w:val="22"/>
              <w:jc w:val="center"/>
              <w:rPr>
                <w:rFonts w:hint="eastAsia" w:ascii="宋体" w:hAnsi="Times New Roman" w:eastAsia="宋体" w:cs="Times New Roman"/>
                <w:color w:val="auto"/>
                <w:sz w:val="18"/>
                <w:szCs w:val="20"/>
                <w:lang w:val="en-US" w:eastAsia="zh-CN" w:bidi="ar-SA"/>
              </w:rPr>
            </w:pPr>
            <w:r>
              <w:rPr>
                <w:rFonts w:hint="eastAsia" w:ascii="宋体" w:hAnsi="Times New Roman" w:eastAsia="宋体" w:cs="Times New Roman"/>
                <w:color w:val="auto"/>
                <w:sz w:val="18"/>
                <w:szCs w:val="20"/>
                <w:lang w:val="en-US" w:eastAsia="zh-CN" w:bidi="ar-SA"/>
              </w:rPr>
              <w:t>重新评估供应商，必要时停止合作</w:t>
            </w:r>
          </w:p>
        </w:tc>
      </w:tr>
      <w:tr w14:paraId="21DB53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545" w:type="dxa"/>
            <w:vMerge w:val="continue"/>
            <w:tcBorders>
              <w:bottom w:val="single" w:color="auto" w:sz="4" w:space="0"/>
            </w:tcBorders>
            <w:vAlign w:val="center"/>
          </w:tcPr>
          <w:p w14:paraId="458457DC">
            <w:pPr>
              <w:pStyle w:val="22"/>
              <w:jc w:val="center"/>
              <w:rPr>
                <w:rFonts w:hint="eastAsia" w:ascii="宋体" w:hAnsi="Times New Roman" w:eastAsia="宋体" w:cs="Times New Roman"/>
                <w:color w:val="auto"/>
                <w:sz w:val="18"/>
                <w:szCs w:val="20"/>
                <w:lang w:val="en-US" w:eastAsia="zh-CN" w:bidi="ar-SA"/>
              </w:rPr>
            </w:pPr>
          </w:p>
        </w:tc>
        <w:tc>
          <w:tcPr>
            <w:tcW w:w="1273" w:type="dxa"/>
            <w:vMerge w:val="continue"/>
            <w:tcBorders>
              <w:bottom w:val="single" w:color="auto" w:sz="4" w:space="0"/>
            </w:tcBorders>
            <w:vAlign w:val="center"/>
          </w:tcPr>
          <w:p w14:paraId="0664C749">
            <w:pPr>
              <w:pStyle w:val="22"/>
              <w:jc w:val="center"/>
              <w:rPr>
                <w:rFonts w:hint="eastAsia" w:ascii="宋体" w:hAnsi="Times New Roman" w:eastAsia="宋体" w:cs="Times New Roman"/>
                <w:color w:val="auto"/>
                <w:sz w:val="18"/>
                <w:szCs w:val="20"/>
                <w:lang w:val="en-US" w:eastAsia="zh-CN" w:bidi="ar-SA"/>
              </w:rPr>
            </w:pPr>
          </w:p>
        </w:tc>
        <w:tc>
          <w:tcPr>
            <w:tcW w:w="790" w:type="dxa"/>
            <w:tcBorders>
              <w:top w:val="single" w:color="auto" w:sz="4" w:space="0"/>
            </w:tcBorders>
            <w:shd w:val="clear" w:color="auto" w:fill="auto"/>
            <w:vAlign w:val="center"/>
          </w:tcPr>
          <w:p w14:paraId="14222BFA">
            <w:pPr>
              <w:pStyle w:val="22"/>
              <w:jc w:val="center"/>
              <w:rPr>
                <w:rFonts w:hint="eastAsia" w:ascii="宋体" w:hAnsi="Times New Roman" w:eastAsia="宋体" w:cs="Times New Roman"/>
                <w:color w:val="auto"/>
                <w:sz w:val="18"/>
                <w:szCs w:val="20"/>
                <w:lang w:val="en-US" w:eastAsia="zh-CN" w:bidi="ar-SA"/>
              </w:rPr>
            </w:pPr>
            <w:r>
              <w:rPr>
                <w:rFonts w:hint="eastAsia" w:ascii="宋体" w:hAnsi="Times New Roman" w:eastAsia="宋体" w:cs="Times New Roman"/>
                <w:color w:val="auto"/>
                <w:sz w:val="18"/>
                <w:szCs w:val="20"/>
                <w:lang w:val="en-US" w:eastAsia="en-US" w:bidi="ar-SA"/>
              </w:rPr>
              <w:t>6.2</w:t>
            </w:r>
          </w:p>
        </w:tc>
        <w:tc>
          <w:tcPr>
            <w:tcW w:w="2397" w:type="dxa"/>
            <w:shd w:val="clear" w:color="auto" w:fill="auto"/>
            <w:vAlign w:val="center"/>
          </w:tcPr>
          <w:p w14:paraId="29FB2EC3">
            <w:pPr>
              <w:pStyle w:val="22"/>
              <w:jc w:val="center"/>
              <w:rPr>
                <w:rFonts w:hint="eastAsia" w:ascii="宋体" w:hAnsi="Times New Roman" w:eastAsia="宋体" w:cs="Times New Roman"/>
                <w:color w:val="auto"/>
                <w:sz w:val="18"/>
                <w:szCs w:val="20"/>
                <w:lang w:val="en-US" w:eastAsia="zh-CN" w:bidi="ar-SA"/>
              </w:rPr>
            </w:pPr>
            <w:r>
              <w:rPr>
                <w:rFonts w:hint="eastAsia" w:ascii="宋体" w:hAnsi="Times New Roman" w:eastAsia="宋体" w:cs="Times New Roman"/>
                <w:color w:val="auto"/>
                <w:sz w:val="18"/>
                <w:szCs w:val="20"/>
                <w:lang w:val="en-US" w:eastAsia="en-US" w:bidi="ar-SA"/>
              </w:rPr>
              <w:t>扦样不正确</w:t>
            </w:r>
          </w:p>
        </w:tc>
        <w:tc>
          <w:tcPr>
            <w:tcW w:w="930" w:type="dxa"/>
            <w:shd w:val="clear" w:color="auto" w:fill="auto"/>
            <w:vAlign w:val="center"/>
          </w:tcPr>
          <w:p w14:paraId="71962167">
            <w:pPr>
              <w:pStyle w:val="22"/>
              <w:jc w:val="center"/>
              <w:rPr>
                <w:rFonts w:hint="eastAsia" w:ascii="宋体" w:hAnsi="Times New Roman" w:eastAsia="宋体" w:cs="Times New Roman"/>
                <w:color w:val="auto"/>
                <w:sz w:val="18"/>
                <w:szCs w:val="20"/>
                <w:lang w:val="en-US" w:eastAsia="zh-CN" w:bidi="ar-SA"/>
              </w:rPr>
            </w:pPr>
            <w:r>
              <w:rPr>
                <w:rFonts w:hint="eastAsia" w:ascii="宋体" w:hAnsi="Times New Roman" w:eastAsia="宋体" w:cs="Times New Roman"/>
                <w:color w:val="auto"/>
                <w:sz w:val="18"/>
                <w:szCs w:val="20"/>
                <w:lang w:val="en-US" w:eastAsia="en-US" w:bidi="ar-SA"/>
              </w:rPr>
              <w:t>操作风险</w:t>
            </w:r>
          </w:p>
        </w:tc>
        <w:tc>
          <w:tcPr>
            <w:tcW w:w="963" w:type="dxa"/>
            <w:tcBorders>
              <w:top w:val="single" w:color="auto" w:sz="4" w:space="0"/>
            </w:tcBorders>
            <w:shd w:val="clear" w:color="auto" w:fill="auto"/>
            <w:vAlign w:val="center"/>
          </w:tcPr>
          <w:p w14:paraId="3B06FA19">
            <w:pPr>
              <w:pStyle w:val="22"/>
              <w:jc w:val="center"/>
              <w:rPr>
                <w:rFonts w:hint="eastAsia" w:ascii="宋体" w:hAnsi="Times New Roman" w:eastAsia="宋体" w:cs="Times New Roman"/>
                <w:color w:val="auto"/>
                <w:sz w:val="18"/>
                <w:szCs w:val="20"/>
                <w:lang w:val="en-US" w:eastAsia="zh-CN" w:bidi="ar-SA"/>
              </w:rPr>
            </w:pPr>
            <w:r>
              <w:rPr>
                <w:rFonts w:hint="eastAsia" w:ascii="宋体" w:hAnsi="Times New Roman" w:eastAsia="宋体" w:cs="Times New Roman"/>
                <w:color w:val="auto"/>
                <w:sz w:val="18"/>
                <w:szCs w:val="20"/>
                <w:lang w:val="en-US" w:eastAsia="en-US" w:bidi="ar-SA"/>
              </w:rPr>
              <w:t>Ⅲ级</w:t>
            </w:r>
          </w:p>
        </w:tc>
        <w:tc>
          <w:tcPr>
            <w:tcW w:w="1400" w:type="dxa"/>
            <w:shd w:val="clear" w:color="auto" w:fill="auto"/>
            <w:vAlign w:val="center"/>
          </w:tcPr>
          <w:p w14:paraId="3DB1EDE9">
            <w:pPr>
              <w:pStyle w:val="22"/>
              <w:jc w:val="center"/>
              <w:rPr>
                <w:rFonts w:hint="eastAsia" w:ascii="宋体" w:hAnsi="Times New Roman" w:eastAsia="宋体" w:cs="Times New Roman"/>
                <w:color w:val="auto"/>
                <w:sz w:val="18"/>
                <w:szCs w:val="20"/>
                <w:lang w:val="en-US" w:eastAsia="zh-CN" w:bidi="ar-SA"/>
              </w:rPr>
            </w:pPr>
            <w:r>
              <w:rPr>
                <w:rFonts w:hint="eastAsia" w:ascii="宋体" w:hAnsi="Times New Roman" w:eastAsia="宋体" w:cs="Times New Roman"/>
                <w:color w:val="auto"/>
                <w:sz w:val="18"/>
                <w:szCs w:val="20"/>
                <w:lang w:val="en-US" w:eastAsia="zh-CN" w:bidi="ar-SA"/>
              </w:rPr>
              <w:t>重新扦样、评审</w:t>
            </w:r>
          </w:p>
        </w:tc>
      </w:tr>
    </w:tbl>
    <w:p w14:paraId="6F8A06A7">
      <w:pPr>
        <w:rPr>
          <w:color w:val="auto"/>
        </w:rPr>
        <w:sectPr>
          <w:footerReference r:id="rId10" w:type="default"/>
          <w:pgSz w:w="11906" w:h="16838"/>
          <w:pgMar w:top="1440" w:right="1803" w:bottom="1440" w:left="1803" w:header="850" w:footer="992" w:gutter="0"/>
          <w:pgBorders>
            <w:top w:val="none" w:sz="0" w:space="0"/>
            <w:left w:val="none" w:sz="0" w:space="0"/>
            <w:bottom w:val="none" w:sz="0" w:space="0"/>
            <w:right w:val="none" w:sz="0" w:space="0"/>
          </w:pgBorders>
          <w:pgNumType w:fmt="decimal"/>
          <w:cols w:space="0" w:num="1"/>
          <w:rtlGutter w:val="0"/>
          <w:docGrid w:linePitch="0" w:charSpace="0"/>
        </w:sectPr>
      </w:pPr>
    </w:p>
    <w:p w14:paraId="3CC1EEB9">
      <w:pPr>
        <w:pStyle w:val="18"/>
        <w:numPr>
          <w:ilvl w:val="3"/>
          <w:numId w:val="0"/>
        </w:numPr>
        <w:spacing w:before="120" w:after="120"/>
        <w:ind w:left="0" w:leftChars="0" w:firstLine="0" w:firstLineChars="0"/>
        <w:outlineLvl w:val="1"/>
        <w:rPr>
          <w:rFonts w:hint="eastAsia" w:ascii="宋体" w:hAnsi="Times New Roman" w:eastAsia="宋体" w:cs="Times New Roman"/>
          <w:color w:val="auto"/>
          <w:sz w:val="21"/>
          <w:lang w:val="en-US" w:eastAsia="zh-CN" w:bidi="ar-SA"/>
        </w:rPr>
      </w:pPr>
      <w:bookmarkStart w:id="27" w:name="_Toc1750305854"/>
      <w:r>
        <w:rPr>
          <w:rFonts w:hint="eastAsia" w:ascii="宋体" w:hAnsi="Times New Roman" w:eastAsia="宋体" w:cs="Times New Roman"/>
          <w:color w:val="auto"/>
          <w:sz w:val="21"/>
          <w:lang w:val="en-US" w:eastAsia="zh-CN" w:bidi="ar-SA"/>
        </w:rPr>
        <w:t>A.1.3  原辅料库存管理</w:t>
      </w:r>
      <w:bookmarkEnd w:id="27"/>
    </w:p>
    <w:tbl>
      <w:tblPr>
        <w:tblStyle w:val="21"/>
        <w:tblW w:w="829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45"/>
        <w:gridCol w:w="1273"/>
        <w:gridCol w:w="790"/>
        <w:gridCol w:w="2399"/>
        <w:gridCol w:w="928"/>
        <w:gridCol w:w="963"/>
        <w:gridCol w:w="1400"/>
      </w:tblGrid>
      <w:tr w14:paraId="7C0BF6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1" w:hRule="atLeast"/>
        </w:trPr>
        <w:tc>
          <w:tcPr>
            <w:tcW w:w="545" w:type="dxa"/>
            <w:shd w:val="clear" w:color="auto" w:fill="auto"/>
            <w:vAlign w:val="center"/>
          </w:tcPr>
          <w:p w14:paraId="2256E755">
            <w:pPr>
              <w:pStyle w:val="23"/>
              <w:ind w:firstLine="0" w:firstLineChars="0"/>
              <w:jc w:val="center"/>
              <w:rPr>
                <w:rFonts w:hint="eastAsia" w:ascii="宋体" w:hAnsi="Times New Roman" w:eastAsia="宋体" w:cs="Times New Roman"/>
                <w:color w:val="auto"/>
                <w:sz w:val="18"/>
                <w:lang w:val="en-US" w:eastAsia="zh-CN" w:bidi="ar-SA"/>
              </w:rPr>
            </w:pPr>
            <w:r>
              <w:rPr>
                <w:rFonts w:hint="eastAsia"/>
                <w:color w:val="auto"/>
              </w:rPr>
              <w:t>序号</w:t>
            </w:r>
          </w:p>
        </w:tc>
        <w:tc>
          <w:tcPr>
            <w:tcW w:w="1273" w:type="dxa"/>
            <w:shd w:val="clear" w:color="auto" w:fill="auto"/>
            <w:vAlign w:val="center"/>
          </w:tcPr>
          <w:p w14:paraId="74BE99A1">
            <w:pPr>
              <w:pStyle w:val="23"/>
              <w:ind w:firstLine="0" w:firstLineChars="0"/>
              <w:jc w:val="center"/>
              <w:rPr>
                <w:rFonts w:hint="eastAsia" w:ascii="宋体" w:hAnsi="Times New Roman" w:eastAsia="宋体" w:cs="Times New Roman"/>
                <w:color w:val="auto"/>
                <w:sz w:val="18"/>
                <w:lang w:val="en-US" w:eastAsia="zh-CN" w:bidi="ar-SA"/>
              </w:rPr>
            </w:pPr>
            <w:r>
              <w:rPr>
                <w:rFonts w:hint="eastAsia"/>
                <w:color w:val="auto"/>
              </w:rPr>
              <w:t>环节</w:t>
            </w:r>
          </w:p>
        </w:tc>
        <w:tc>
          <w:tcPr>
            <w:tcW w:w="790" w:type="dxa"/>
            <w:shd w:val="clear" w:color="auto" w:fill="auto"/>
            <w:vAlign w:val="center"/>
          </w:tcPr>
          <w:p w14:paraId="2589B021">
            <w:pPr>
              <w:pStyle w:val="23"/>
              <w:ind w:firstLine="0" w:firstLineChars="0"/>
              <w:jc w:val="center"/>
              <w:rPr>
                <w:rFonts w:hint="eastAsia" w:ascii="宋体" w:hAnsi="Times New Roman" w:eastAsia="宋体" w:cs="Times New Roman"/>
                <w:color w:val="auto"/>
                <w:sz w:val="18"/>
                <w:lang w:val="en-US" w:eastAsia="zh-CN" w:bidi="ar-SA"/>
              </w:rPr>
            </w:pPr>
            <w:r>
              <w:rPr>
                <w:rFonts w:hint="eastAsia"/>
                <w:color w:val="auto"/>
                <w:lang w:val="en-US" w:eastAsia="zh-CN"/>
              </w:rPr>
              <w:t>风险</w:t>
            </w:r>
            <w:r>
              <w:rPr>
                <w:rFonts w:hint="eastAsia" w:ascii="宋体" w:eastAsia="宋体"/>
                <w:color w:val="auto"/>
                <w:lang w:val="en-US" w:eastAsia="zh-CN"/>
              </w:rPr>
              <w:t>编号</w:t>
            </w:r>
          </w:p>
        </w:tc>
        <w:tc>
          <w:tcPr>
            <w:tcW w:w="2399" w:type="dxa"/>
            <w:shd w:val="clear" w:color="auto" w:fill="auto"/>
            <w:vAlign w:val="center"/>
          </w:tcPr>
          <w:p w14:paraId="6DD97EE4">
            <w:pPr>
              <w:pStyle w:val="23"/>
              <w:ind w:firstLine="0" w:firstLineChars="0"/>
              <w:jc w:val="center"/>
              <w:rPr>
                <w:rFonts w:hint="eastAsia" w:ascii="宋体" w:hAnsi="Times New Roman" w:eastAsia="宋体" w:cs="Times New Roman"/>
                <w:color w:val="auto"/>
                <w:sz w:val="18"/>
                <w:lang w:val="en-US" w:eastAsia="zh-CN" w:bidi="ar-SA"/>
              </w:rPr>
            </w:pPr>
            <w:r>
              <w:rPr>
                <w:rFonts w:hint="eastAsia" w:ascii="宋体" w:eastAsia="宋体"/>
                <w:color w:val="auto"/>
                <w:lang w:val="en-US" w:eastAsia="zh-CN"/>
              </w:rPr>
              <w:t>风险描述</w:t>
            </w:r>
          </w:p>
        </w:tc>
        <w:tc>
          <w:tcPr>
            <w:tcW w:w="928" w:type="dxa"/>
            <w:shd w:val="clear" w:color="auto" w:fill="auto"/>
            <w:vAlign w:val="center"/>
          </w:tcPr>
          <w:p w14:paraId="7F0CF7A6">
            <w:pPr>
              <w:pStyle w:val="23"/>
              <w:ind w:firstLine="0" w:firstLineChars="0"/>
              <w:jc w:val="center"/>
              <w:rPr>
                <w:rFonts w:hint="eastAsia" w:ascii="宋体" w:hAnsi="Times New Roman" w:eastAsia="宋体" w:cs="Times New Roman"/>
                <w:color w:val="auto"/>
                <w:sz w:val="18"/>
                <w:lang w:val="en-US" w:eastAsia="zh-CN" w:bidi="ar-SA"/>
              </w:rPr>
            </w:pPr>
            <w:r>
              <w:rPr>
                <w:rFonts w:hint="eastAsia" w:ascii="宋体" w:eastAsia="宋体"/>
                <w:color w:val="auto"/>
                <w:lang w:val="en-US" w:eastAsia="zh-CN"/>
              </w:rPr>
              <w:t>风险类型</w:t>
            </w:r>
          </w:p>
        </w:tc>
        <w:tc>
          <w:tcPr>
            <w:tcW w:w="963" w:type="dxa"/>
            <w:shd w:val="clear" w:color="auto" w:fill="auto"/>
            <w:vAlign w:val="center"/>
          </w:tcPr>
          <w:p w14:paraId="33848C15">
            <w:pPr>
              <w:pStyle w:val="23"/>
              <w:ind w:firstLine="0" w:firstLineChars="0"/>
              <w:jc w:val="center"/>
              <w:rPr>
                <w:rFonts w:hint="eastAsia" w:ascii="宋体" w:hAnsi="Times New Roman" w:eastAsia="宋体" w:cs="Times New Roman"/>
                <w:color w:val="auto"/>
                <w:sz w:val="18"/>
                <w:lang w:val="en-US" w:eastAsia="zh-CN" w:bidi="ar-SA"/>
              </w:rPr>
            </w:pPr>
            <w:r>
              <w:rPr>
                <w:rFonts w:hint="eastAsia" w:ascii="宋体" w:eastAsia="宋体"/>
                <w:color w:val="auto"/>
                <w:lang w:val="en-US" w:eastAsia="zh-CN"/>
              </w:rPr>
              <w:t>风险等级</w:t>
            </w:r>
          </w:p>
        </w:tc>
        <w:tc>
          <w:tcPr>
            <w:tcW w:w="1400" w:type="dxa"/>
            <w:shd w:val="clear" w:color="auto" w:fill="auto"/>
            <w:vAlign w:val="center"/>
          </w:tcPr>
          <w:p w14:paraId="7079C876">
            <w:pPr>
              <w:pStyle w:val="23"/>
              <w:ind w:firstLine="0" w:firstLineChars="0"/>
              <w:jc w:val="center"/>
              <w:rPr>
                <w:rFonts w:hint="eastAsia" w:ascii="宋体" w:hAnsi="Times New Roman" w:eastAsia="宋体" w:cs="Times New Roman"/>
                <w:color w:val="auto"/>
                <w:sz w:val="18"/>
                <w:lang w:val="en-US" w:eastAsia="zh-CN" w:bidi="ar-SA"/>
              </w:rPr>
            </w:pPr>
            <w:r>
              <w:rPr>
                <w:rFonts w:hint="eastAsia" w:ascii="宋体" w:eastAsia="宋体"/>
                <w:color w:val="auto"/>
                <w:lang w:val="en-US" w:eastAsia="zh-CN"/>
              </w:rPr>
              <w:t>主要控制措施</w:t>
            </w:r>
          </w:p>
        </w:tc>
      </w:tr>
      <w:tr w14:paraId="642B04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545" w:type="dxa"/>
            <w:vAlign w:val="center"/>
          </w:tcPr>
          <w:p w14:paraId="1A59EFD7">
            <w:pPr>
              <w:spacing w:before="78" w:line="337" w:lineRule="exact"/>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1</w:t>
            </w:r>
          </w:p>
        </w:tc>
        <w:tc>
          <w:tcPr>
            <w:tcW w:w="1273" w:type="dxa"/>
            <w:vAlign w:val="center"/>
          </w:tcPr>
          <w:p w14:paraId="34A80E07">
            <w:pPr>
              <w:spacing w:before="65" w:line="269" w:lineRule="exact"/>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入库管理</w:t>
            </w:r>
          </w:p>
        </w:tc>
        <w:tc>
          <w:tcPr>
            <w:tcW w:w="790" w:type="dxa"/>
            <w:vAlign w:val="center"/>
          </w:tcPr>
          <w:p w14:paraId="7B633D4E">
            <w:pPr>
              <w:spacing w:before="65" w:line="285" w:lineRule="exact"/>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1.1</w:t>
            </w:r>
          </w:p>
        </w:tc>
        <w:tc>
          <w:tcPr>
            <w:tcW w:w="2399" w:type="dxa"/>
            <w:vAlign w:val="center"/>
          </w:tcPr>
          <w:p w14:paraId="6390E002">
            <w:pPr>
              <w:spacing w:before="65" w:line="285" w:lineRule="exact"/>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原辅料无标识、内容不准确或标识卡与入库单信息不一致</w:t>
            </w:r>
          </w:p>
        </w:tc>
        <w:tc>
          <w:tcPr>
            <w:tcW w:w="928" w:type="dxa"/>
            <w:vAlign w:val="center"/>
          </w:tcPr>
          <w:p w14:paraId="546D2ED7">
            <w:pPr>
              <w:spacing w:before="65" w:line="285" w:lineRule="exact"/>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操作风险</w:t>
            </w:r>
          </w:p>
        </w:tc>
        <w:tc>
          <w:tcPr>
            <w:tcW w:w="963" w:type="dxa"/>
            <w:vAlign w:val="center"/>
          </w:tcPr>
          <w:p w14:paraId="735D2BB4">
            <w:pPr>
              <w:spacing w:before="65" w:line="285" w:lineRule="exact"/>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Ⅱ级</w:t>
            </w:r>
          </w:p>
        </w:tc>
        <w:tc>
          <w:tcPr>
            <w:tcW w:w="1400" w:type="dxa"/>
            <w:vAlign w:val="center"/>
          </w:tcPr>
          <w:p w14:paraId="4AA3B4E2">
            <w:pPr>
              <w:spacing w:before="65" w:line="285" w:lineRule="exact"/>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入库原辅料及时制作标识，定期对标识进行检查</w:t>
            </w:r>
          </w:p>
        </w:tc>
      </w:tr>
      <w:tr w14:paraId="3F7397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545" w:type="dxa"/>
            <w:vMerge w:val="restart"/>
            <w:vAlign w:val="center"/>
          </w:tcPr>
          <w:p w14:paraId="606D84D7">
            <w:pPr>
              <w:spacing w:before="65" w:line="285" w:lineRule="exact"/>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2</w:t>
            </w:r>
          </w:p>
        </w:tc>
        <w:tc>
          <w:tcPr>
            <w:tcW w:w="1273" w:type="dxa"/>
            <w:vMerge w:val="restart"/>
            <w:vAlign w:val="center"/>
          </w:tcPr>
          <w:p w14:paraId="6313C468">
            <w:pPr>
              <w:spacing w:before="65" w:line="285" w:lineRule="exact"/>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在库管理</w:t>
            </w:r>
          </w:p>
        </w:tc>
        <w:tc>
          <w:tcPr>
            <w:tcW w:w="790" w:type="dxa"/>
            <w:vAlign w:val="center"/>
          </w:tcPr>
          <w:p w14:paraId="28843381">
            <w:pPr>
              <w:spacing w:before="65" w:line="285" w:lineRule="exact"/>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2.1</w:t>
            </w:r>
          </w:p>
        </w:tc>
        <w:tc>
          <w:tcPr>
            <w:tcW w:w="2399" w:type="dxa"/>
            <w:vAlign w:val="center"/>
          </w:tcPr>
          <w:p w14:paraId="1C34FF97">
            <w:pPr>
              <w:spacing w:before="65" w:line="285" w:lineRule="exact"/>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原辅料未及时入库或未妥善保管，有人为破坏的风险</w:t>
            </w:r>
          </w:p>
        </w:tc>
        <w:tc>
          <w:tcPr>
            <w:tcW w:w="928" w:type="dxa"/>
            <w:vAlign w:val="center"/>
          </w:tcPr>
          <w:p w14:paraId="3DD42C4A">
            <w:pPr>
              <w:spacing w:before="65" w:line="285" w:lineRule="exact"/>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操作风险</w:t>
            </w:r>
          </w:p>
        </w:tc>
        <w:tc>
          <w:tcPr>
            <w:tcW w:w="963" w:type="dxa"/>
            <w:vAlign w:val="center"/>
          </w:tcPr>
          <w:p w14:paraId="33E5F53A">
            <w:pPr>
              <w:spacing w:before="65" w:line="285" w:lineRule="exact"/>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Ⅲ级</w:t>
            </w:r>
          </w:p>
        </w:tc>
        <w:tc>
          <w:tcPr>
            <w:tcW w:w="1400" w:type="dxa"/>
            <w:vAlign w:val="center"/>
          </w:tcPr>
          <w:p w14:paraId="7050A8B2">
            <w:pPr>
              <w:spacing w:before="65" w:line="285" w:lineRule="exact"/>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加强巡检、定期检查</w:t>
            </w:r>
          </w:p>
        </w:tc>
      </w:tr>
      <w:tr w14:paraId="242443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545" w:type="dxa"/>
            <w:vMerge w:val="continue"/>
            <w:vAlign w:val="center"/>
          </w:tcPr>
          <w:p w14:paraId="604FCEE4">
            <w:pPr>
              <w:spacing w:before="65" w:line="285" w:lineRule="exact"/>
              <w:jc w:val="center"/>
              <w:rPr>
                <w:rFonts w:hint="eastAsia" w:ascii="宋体" w:hAnsi="Times New Roman" w:eastAsia="宋体" w:cs="Times New Roman"/>
                <w:color w:val="auto"/>
                <w:kern w:val="2"/>
                <w:sz w:val="18"/>
                <w:szCs w:val="20"/>
                <w:lang w:val="en-US" w:eastAsia="zh-CN" w:bidi="ar-SA"/>
              </w:rPr>
            </w:pPr>
          </w:p>
        </w:tc>
        <w:tc>
          <w:tcPr>
            <w:tcW w:w="1273" w:type="dxa"/>
            <w:vMerge w:val="continue"/>
            <w:vAlign w:val="center"/>
          </w:tcPr>
          <w:p w14:paraId="569D149F">
            <w:pPr>
              <w:spacing w:before="65" w:line="285" w:lineRule="exact"/>
              <w:jc w:val="center"/>
              <w:rPr>
                <w:rFonts w:hint="eastAsia" w:ascii="宋体" w:hAnsi="Times New Roman" w:eastAsia="宋体" w:cs="Times New Roman"/>
                <w:color w:val="auto"/>
                <w:kern w:val="2"/>
                <w:sz w:val="18"/>
                <w:szCs w:val="20"/>
                <w:lang w:val="en-US" w:eastAsia="zh-CN" w:bidi="ar-SA"/>
              </w:rPr>
            </w:pPr>
          </w:p>
        </w:tc>
        <w:tc>
          <w:tcPr>
            <w:tcW w:w="790" w:type="dxa"/>
            <w:vAlign w:val="center"/>
          </w:tcPr>
          <w:p w14:paraId="48864F0C">
            <w:pPr>
              <w:spacing w:before="65" w:line="285" w:lineRule="exact"/>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2.2</w:t>
            </w:r>
          </w:p>
        </w:tc>
        <w:tc>
          <w:tcPr>
            <w:tcW w:w="2399" w:type="dxa"/>
            <w:vAlign w:val="center"/>
          </w:tcPr>
          <w:p w14:paraId="367B67E4">
            <w:pPr>
              <w:spacing w:before="65" w:line="285" w:lineRule="exact"/>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原辅料在库时间过长甚至超过保质期</w:t>
            </w:r>
          </w:p>
        </w:tc>
        <w:tc>
          <w:tcPr>
            <w:tcW w:w="928" w:type="dxa"/>
            <w:vAlign w:val="center"/>
          </w:tcPr>
          <w:p w14:paraId="53906AAB">
            <w:pPr>
              <w:spacing w:before="65" w:line="285" w:lineRule="exact"/>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操作风险</w:t>
            </w:r>
          </w:p>
        </w:tc>
        <w:tc>
          <w:tcPr>
            <w:tcW w:w="963" w:type="dxa"/>
            <w:vAlign w:val="center"/>
          </w:tcPr>
          <w:p w14:paraId="611DB378">
            <w:pPr>
              <w:spacing w:before="65" w:line="285" w:lineRule="exact"/>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Ⅱ级</w:t>
            </w:r>
          </w:p>
        </w:tc>
        <w:tc>
          <w:tcPr>
            <w:tcW w:w="1400" w:type="dxa"/>
            <w:vAlign w:val="center"/>
          </w:tcPr>
          <w:p w14:paraId="63AAA4F2">
            <w:pPr>
              <w:spacing w:before="65" w:line="285" w:lineRule="exact"/>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出入库按照先进先出原则</w:t>
            </w:r>
          </w:p>
        </w:tc>
      </w:tr>
      <w:tr w14:paraId="7D3B81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545" w:type="dxa"/>
            <w:vMerge w:val="continue"/>
            <w:vAlign w:val="center"/>
          </w:tcPr>
          <w:p w14:paraId="362C7C6B">
            <w:pPr>
              <w:spacing w:before="65" w:line="285" w:lineRule="exact"/>
              <w:jc w:val="center"/>
              <w:rPr>
                <w:rFonts w:hint="eastAsia" w:ascii="宋体" w:hAnsi="Times New Roman" w:eastAsia="宋体" w:cs="Times New Roman"/>
                <w:color w:val="auto"/>
                <w:kern w:val="2"/>
                <w:sz w:val="18"/>
                <w:szCs w:val="20"/>
                <w:lang w:val="en-US" w:eastAsia="zh-CN" w:bidi="ar-SA"/>
              </w:rPr>
            </w:pPr>
          </w:p>
        </w:tc>
        <w:tc>
          <w:tcPr>
            <w:tcW w:w="1273" w:type="dxa"/>
            <w:vMerge w:val="continue"/>
            <w:vAlign w:val="center"/>
          </w:tcPr>
          <w:p w14:paraId="66665749">
            <w:pPr>
              <w:spacing w:before="65" w:line="285" w:lineRule="exact"/>
              <w:jc w:val="center"/>
              <w:rPr>
                <w:rFonts w:hint="eastAsia" w:ascii="宋体" w:hAnsi="Times New Roman" w:eastAsia="宋体" w:cs="Times New Roman"/>
                <w:color w:val="auto"/>
                <w:kern w:val="2"/>
                <w:sz w:val="18"/>
                <w:szCs w:val="20"/>
                <w:lang w:val="en-US" w:eastAsia="zh-CN" w:bidi="ar-SA"/>
              </w:rPr>
            </w:pPr>
          </w:p>
        </w:tc>
        <w:tc>
          <w:tcPr>
            <w:tcW w:w="790" w:type="dxa"/>
            <w:vAlign w:val="center"/>
          </w:tcPr>
          <w:p w14:paraId="2AD9F798">
            <w:pPr>
              <w:spacing w:before="65" w:line="285" w:lineRule="exact"/>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2.3</w:t>
            </w:r>
          </w:p>
        </w:tc>
        <w:tc>
          <w:tcPr>
            <w:tcW w:w="2399" w:type="dxa"/>
            <w:vAlign w:val="center"/>
          </w:tcPr>
          <w:p w14:paraId="0EBBD1FB">
            <w:pPr>
              <w:spacing w:before="65" w:line="285" w:lineRule="exact"/>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未按照离地、离墙、离顶的要求码放，会使原辅料受到暴晒、受潮</w:t>
            </w:r>
          </w:p>
        </w:tc>
        <w:tc>
          <w:tcPr>
            <w:tcW w:w="928" w:type="dxa"/>
            <w:vAlign w:val="center"/>
          </w:tcPr>
          <w:p w14:paraId="27BF184E">
            <w:pPr>
              <w:spacing w:before="65" w:line="285" w:lineRule="exact"/>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操作风险</w:t>
            </w:r>
          </w:p>
        </w:tc>
        <w:tc>
          <w:tcPr>
            <w:tcW w:w="963" w:type="dxa"/>
            <w:vAlign w:val="center"/>
          </w:tcPr>
          <w:p w14:paraId="207F8977">
            <w:pPr>
              <w:spacing w:before="65" w:line="285" w:lineRule="exact"/>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Ⅱ级</w:t>
            </w:r>
          </w:p>
        </w:tc>
        <w:tc>
          <w:tcPr>
            <w:tcW w:w="1400" w:type="dxa"/>
            <w:vAlign w:val="center"/>
          </w:tcPr>
          <w:p w14:paraId="3B33DA86">
            <w:pPr>
              <w:spacing w:before="65" w:line="285" w:lineRule="exact"/>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出入库按照先进先出原则</w:t>
            </w:r>
          </w:p>
        </w:tc>
      </w:tr>
      <w:tr w14:paraId="2667A9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545" w:type="dxa"/>
            <w:vMerge w:val="continue"/>
            <w:vAlign w:val="center"/>
          </w:tcPr>
          <w:p w14:paraId="69F9E764">
            <w:pPr>
              <w:spacing w:before="65" w:line="285" w:lineRule="exact"/>
              <w:jc w:val="center"/>
              <w:rPr>
                <w:rFonts w:hint="eastAsia" w:ascii="宋体" w:hAnsi="Times New Roman" w:eastAsia="宋体" w:cs="Times New Roman"/>
                <w:color w:val="auto"/>
                <w:kern w:val="2"/>
                <w:sz w:val="18"/>
                <w:szCs w:val="20"/>
                <w:lang w:val="en-US" w:eastAsia="zh-CN" w:bidi="ar-SA"/>
              </w:rPr>
            </w:pPr>
          </w:p>
        </w:tc>
        <w:tc>
          <w:tcPr>
            <w:tcW w:w="1273" w:type="dxa"/>
            <w:vMerge w:val="continue"/>
            <w:vAlign w:val="center"/>
          </w:tcPr>
          <w:p w14:paraId="534C05C9">
            <w:pPr>
              <w:spacing w:before="65" w:line="285" w:lineRule="exact"/>
              <w:jc w:val="center"/>
              <w:rPr>
                <w:rFonts w:hint="eastAsia" w:ascii="宋体" w:hAnsi="Times New Roman" w:eastAsia="宋体" w:cs="Times New Roman"/>
                <w:color w:val="auto"/>
                <w:kern w:val="2"/>
                <w:sz w:val="18"/>
                <w:szCs w:val="20"/>
                <w:lang w:val="en-US" w:eastAsia="zh-CN" w:bidi="ar-SA"/>
              </w:rPr>
            </w:pPr>
          </w:p>
        </w:tc>
        <w:tc>
          <w:tcPr>
            <w:tcW w:w="790" w:type="dxa"/>
            <w:vAlign w:val="center"/>
          </w:tcPr>
          <w:p w14:paraId="00BE5E0B">
            <w:pPr>
              <w:spacing w:before="65" w:line="285" w:lineRule="exact"/>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2.4</w:t>
            </w:r>
          </w:p>
        </w:tc>
        <w:tc>
          <w:tcPr>
            <w:tcW w:w="2399" w:type="dxa"/>
            <w:vAlign w:val="center"/>
          </w:tcPr>
          <w:p w14:paraId="3ACCADDB">
            <w:pPr>
              <w:spacing w:before="65" w:line="285" w:lineRule="exact"/>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未做防虫害处理或处理不到位</w:t>
            </w:r>
          </w:p>
        </w:tc>
        <w:tc>
          <w:tcPr>
            <w:tcW w:w="928" w:type="dxa"/>
            <w:vAlign w:val="center"/>
          </w:tcPr>
          <w:p w14:paraId="7B9A4BD2">
            <w:pPr>
              <w:spacing w:before="65" w:line="285" w:lineRule="exact"/>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操作风险</w:t>
            </w:r>
          </w:p>
        </w:tc>
        <w:tc>
          <w:tcPr>
            <w:tcW w:w="963" w:type="dxa"/>
            <w:vAlign w:val="center"/>
          </w:tcPr>
          <w:p w14:paraId="15E16BB2">
            <w:pPr>
              <w:spacing w:before="65" w:line="285" w:lineRule="exact"/>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Ⅲ级</w:t>
            </w:r>
          </w:p>
        </w:tc>
        <w:tc>
          <w:tcPr>
            <w:tcW w:w="1400" w:type="dxa"/>
            <w:vAlign w:val="center"/>
          </w:tcPr>
          <w:p w14:paraId="22AA18DB">
            <w:pPr>
              <w:spacing w:before="65" w:line="285" w:lineRule="exact"/>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加强巡检、定期检查</w:t>
            </w:r>
          </w:p>
        </w:tc>
      </w:tr>
      <w:tr w14:paraId="693D90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545" w:type="dxa"/>
            <w:vMerge w:val="continue"/>
            <w:shd w:val="clear" w:color="auto" w:fill="auto"/>
            <w:vAlign w:val="center"/>
          </w:tcPr>
          <w:p w14:paraId="4EC0BEB6">
            <w:pPr>
              <w:spacing w:before="79" w:line="336" w:lineRule="exact"/>
              <w:jc w:val="center"/>
              <w:rPr>
                <w:rFonts w:hint="eastAsia" w:ascii="宋体" w:hAnsi="Times New Roman" w:eastAsia="宋体" w:cs="Times New Roman"/>
                <w:color w:val="auto"/>
                <w:kern w:val="2"/>
                <w:sz w:val="18"/>
                <w:szCs w:val="20"/>
                <w:lang w:val="en-US" w:eastAsia="en-US" w:bidi="ar-SA"/>
              </w:rPr>
            </w:pPr>
          </w:p>
        </w:tc>
        <w:tc>
          <w:tcPr>
            <w:tcW w:w="1273" w:type="dxa"/>
            <w:vMerge w:val="continue"/>
            <w:shd w:val="clear" w:color="auto" w:fill="auto"/>
            <w:vAlign w:val="center"/>
          </w:tcPr>
          <w:p w14:paraId="51EB879A">
            <w:pPr>
              <w:spacing w:before="65" w:line="269" w:lineRule="exact"/>
              <w:jc w:val="center"/>
              <w:rPr>
                <w:rFonts w:hint="eastAsia" w:ascii="宋体" w:hAnsi="Times New Roman" w:eastAsia="宋体" w:cs="Times New Roman"/>
                <w:color w:val="auto"/>
                <w:kern w:val="2"/>
                <w:sz w:val="18"/>
                <w:szCs w:val="20"/>
                <w:lang w:val="en-US" w:eastAsia="en-US" w:bidi="ar-SA"/>
              </w:rPr>
            </w:pPr>
          </w:p>
        </w:tc>
        <w:tc>
          <w:tcPr>
            <w:tcW w:w="790" w:type="dxa"/>
            <w:shd w:val="clear" w:color="auto" w:fill="auto"/>
            <w:vAlign w:val="center"/>
          </w:tcPr>
          <w:p w14:paraId="6AA7EE71">
            <w:pPr>
              <w:spacing w:before="65" w:line="269" w:lineRule="exact"/>
              <w:jc w:val="center"/>
              <w:rPr>
                <w:rFonts w:hint="eastAsia" w:ascii="宋体" w:hAnsi="Times New Roman" w:eastAsia="宋体" w:cs="Times New Roman"/>
                <w:color w:val="auto"/>
                <w:kern w:val="2"/>
                <w:sz w:val="18"/>
                <w:szCs w:val="20"/>
                <w:lang w:val="en-US" w:eastAsia="en-US" w:bidi="ar-SA"/>
              </w:rPr>
            </w:pPr>
            <w:r>
              <w:rPr>
                <w:rFonts w:hint="eastAsia" w:ascii="宋体" w:hAnsi="Times New Roman" w:eastAsia="宋体" w:cs="Times New Roman"/>
                <w:color w:val="auto"/>
                <w:kern w:val="2"/>
                <w:sz w:val="18"/>
                <w:szCs w:val="20"/>
                <w:lang w:val="en-US" w:eastAsia="zh-CN" w:bidi="ar-SA"/>
              </w:rPr>
              <w:t>2.5</w:t>
            </w:r>
          </w:p>
        </w:tc>
        <w:tc>
          <w:tcPr>
            <w:tcW w:w="2399" w:type="dxa"/>
            <w:shd w:val="clear" w:color="auto" w:fill="auto"/>
            <w:vAlign w:val="center"/>
          </w:tcPr>
          <w:p w14:paraId="3CDA2D57">
            <w:pPr>
              <w:spacing w:before="65" w:line="269" w:lineRule="exact"/>
              <w:jc w:val="center"/>
              <w:rPr>
                <w:rFonts w:hint="eastAsia" w:ascii="宋体" w:hAnsi="Times New Roman" w:eastAsia="宋体" w:cs="Times New Roman"/>
                <w:color w:val="auto"/>
                <w:kern w:val="2"/>
                <w:sz w:val="18"/>
                <w:szCs w:val="20"/>
                <w:lang w:val="en-US" w:eastAsia="en-US" w:bidi="ar-SA"/>
              </w:rPr>
            </w:pPr>
            <w:r>
              <w:rPr>
                <w:rFonts w:hint="eastAsia" w:ascii="宋体" w:hAnsi="Times New Roman" w:eastAsia="宋体" w:cs="Times New Roman"/>
                <w:color w:val="auto"/>
                <w:kern w:val="2"/>
                <w:sz w:val="18"/>
                <w:szCs w:val="20"/>
                <w:lang w:val="en-US" w:eastAsia="zh-CN" w:bidi="ar-SA"/>
              </w:rPr>
              <w:t>叉车搬运不当，破坏产品包装，使原辅料受污染或受潮</w:t>
            </w:r>
          </w:p>
        </w:tc>
        <w:tc>
          <w:tcPr>
            <w:tcW w:w="928" w:type="dxa"/>
            <w:shd w:val="clear" w:color="auto" w:fill="auto"/>
            <w:vAlign w:val="center"/>
          </w:tcPr>
          <w:p w14:paraId="11594D60">
            <w:pPr>
              <w:spacing w:before="65" w:line="269" w:lineRule="exact"/>
              <w:jc w:val="center"/>
              <w:rPr>
                <w:rFonts w:hint="eastAsia" w:ascii="宋体" w:hAnsi="Times New Roman" w:eastAsia="宋体" w:cs="Times New Roman"/>
                <w:color w:val="auto"/>
                <w:kern w:val="2"/>
                <w:sz w:val="18"/>
                <w:szCs w:val="20"/>
                <w:lang w:val="en-US" w:eastAsia="en-US" w:bidi="ar-SA"/>
              </w:rPr>
            </w:pPr>
            <w:r>
              <w:rPr>
                <w:rFonts w:hint="eastAsia" w:ascii="宋体" w:hAnsi="Times New Roman" w:eastAsia="宋体" w:cs="Times New Roman"/>
                <w:color w:val="auto"/>
                <w:kern w:val="2"/>
                <w:sz w:val="18"/>
                <w:szCs w:val="20"/>
                <w:lang w:val="en-US" w:eastAsia="zh-CN" w:bidi="ar-SA"/>
              </w:rPr>
              <w:t>操作风险</w:t>
            </w:r>
          </w:p>
        </w:tc>
        <w:tc>
          <w:tcPr>
            <w:tcW w:w="963" w:type="dxa"/>
            <w:shd w:val="clear" w:color="auto" w:fill="auto"/>
            <w:vAlign w:val="center"/>
          </w:tcPr>
          <w:p w14:paraId="1C61B403">
            <w:pPr>
              <w:spacing w:before="65" w:line="269" w:lineRule="exact"/>
              <w:jc w:val="center"/>
              <w:rPr>
                <w:rFonts w:hint="eastAsia" w:ascii="宋体" w:hAnsi="Times New Roman" w:eastAsia="宋体" w:cs="Times New Roman"/>
                <w:color w:val="auto"/>
                <w:kern w:val="2"/>
                <w:sz w:val="18"/>
                <w:szCs w:val="20"/>
                <w:lang w:val="en-US" w:eastAsia="en-US" w:bidi="ar-SA"/>
              </w:rPr>
            </w:pPr>
            <w:r>
              <w:rPr>
                <w:rFonts w:hint="eastAsia" w:ascii="宋体" w:hAnsi="Times New Roman" w:eastAsia="宋体" w:cs="Times New Roman"/>
                <w:color w:val="auto"/>
                <w:kern w:val="2"/>
                <w:sz w:val="18"/>
                <w:szCs w:val="20"/>
                <w:lang w:val="en-US" w:eastAsia="zh-CN" w:bidi="ar-SA"/>
              </w:rPr>
              <w:t>Ⅲ级</w:t>
            </w:r>
          </w:p>
        </w:tc>
        <w:tc>
          <w:tcPr>
            <w:tcW w:w="1400" w:type="dxa"/>
            <w:shd w:val="clear" w:color="auto" w:fill="auto"/>
            <w:vAlign w:val="center"/>
          </w:tcPr>
          <w:p w14:paraId="6C11C6BB">
            <w:pPr>
              <w:spacing w:before="65" w:line="269" w:lineRule="exact"/>
              <w:jc w:val="center"/>
              <w:rPr>
                <w:rFonts w:hint="eastAsia" w:ascii="宋体" w:hAnsi="Times New Roman" w:eastAsia="宋体" w:cs="Times New Roman"/>
                <w:color w:val="auto"/>
                <w:kern w:val="2"/>
                <w:sz w:val="18"/>
                <w:szCs w:val="20"/>
                <w:lang w:val="en-US" w:eastAsia="en-US" w:bidi="ar-SA"/>
              </w:rPr>
            </w:pPr>
            <w:r>
              <w:rPr>
                <w:rFonts w:hint="eastAsia" w:ascii="宋体" w:hAnsi="Times New Roman" w:eastAsia="宋体" w:cs="Times New Roman"/>
                <w:color w:val="auto"/>
                <w:kern w:val="2"/>
                <w:sz w:val="18"/>
                <w:szCs w:val="20"/>
                <w:lang w:val="en-US" w:eastAsia="zh-CN" w:bidi="ar-SA"/>
              </w:rPr>
              <w:t>加强巡检、定期检查</w:t>
            </w:r>
          </w:p>
        </w:tc>
      </w:tr>
      <w:tr w14:paraId="3A2A0E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545" w:type="dxa"/>
            <w:vMerge w:val="restart"/>
            <w:shd w:val="clear" w:color="auto" w:fill="auto"/>
            <w:vAlign w:val="center"/>
          </w:tcPr>
          <w:p w14:paraId="7274E50D">
            <w:pPr>
              <w:spacing w:before="78" w:line="335" w:lineRule="exact"/>
              <w:jc w:val="center"/>
              <w:rPr>
                <w:rFonts w:hint="eastAsia" w:ascii="宋体" w:hAnsi="Times New Roman" w:eastAsia="宋体" w:cs="Times New Roman"/>
                <w:color w:val="auto"/>
                <w:kern w:val="2"/>
                <w:sz w:val="18"/>
                <w:szCs w:val="20"/>
                <w:lang w:val="en-US" w:eastAsia="en-US" w:bidi="ar-SA"/>
              </w:rPr>
            </w:pPr>
            <w:r>
              <w:rPr>
                <w:rFonts w:hint="eastAsia" w:ascii="宋体" w:hAnsi="Times New Roman" w:eastAsia="宋体" w:cs="Times New Roman"/>
                <w:color w:val="auto"/>
                <w:kern w:val="2"/>
                <w:sz w:val="18"/>
                <w:szCs w:val="20"/>
                <w:lang w:val="en-US" w:eastAsia="zh-CN" w:bidi="ar-SA"/>
              </w:rPr>
              <w:t>3</w:t>
            </w:r>
          </w:p>
        </w:tc>
        <w:tc>
          <w:tcPr>
            <w:tcW w:w="1273" w:type="dxa"/>
            <w:vMerge w:val="restart"/>
            <w:shd w:val="clear" w:color="auto" w:fill="auto"/>
            <w:vAlign w:val="center"/>
          </w:tcPr>
          <w:p w14:paraId="0AB28905">
            <w:pPr>
              <w:spacing w:before="65" w:line="269" w:lineRule="exact"/>
              <w:jc w:val="center"/>
              <w:rPr>
                <w:rFonts w:hint="eastAsia" w:ascii="宋体" w:hAnsi="Times New Roman" w:eastAsia="宋体" w:cs="Times New Roman"/>
                <w:color w:val="auto"/>
                <w:kern w:val="2"/>
                <w:sz w:val="18"/>
                <w:szCs w:val="20"/>
                <w:lang w:val="en-US" w:eastAsia="en-US" w:bidi="ar-SA"/>
              </w:rPr>
            </w:pPr>
            <w:r>
              <w:rPr>
                <w:rFonts w:hint="eastAsia" w:ascii="宋体" w:hAnsi="Times New Roman" w:eastAsia="宋体" w:cs="Times New Roman"/>
                <w:color w:val="auto"/>
                <w:kern w:val="2"/>
                <w:sz w:val="18"/>
                <w:szCs w:val="20"/>
                <w:lang w:val="en-US" w:eastAsia="zh-CN" w:bidi="ar-SA"/>
              </w:rPr>
              <w:t>出库管理</w:t>
            </w:r>
          </w:p>
        </w:tc>
        <w:tc>
          <w:tcPr>
            <w:tcW w:w="790" w:type="dxa"/>
            <w:shd w:val="clear" w:color="auto" w:fill="auto"/>
            <w:vAlign w:val="center"/>
          </w:tcPr>
          <w:p w14:paraId="4BDE552B">
            <w:pPr>
              <w:spacing w:before="65" w:line="269" w:lineRule="exact"/>
              <w:jc w:val="center"/>
              <w:rPr>
                <w:rFonts w:hint="eastAsia" w:ascii="宋体" w:hAnsi="Times New Roman" w:eastAsia="宋体" w:cs="Times New Roman"/>
                <w:color w:val="auto"/>
                <w:kern w:val="2"/>
                <w:sz w:val="18"/>
                <w:szCs w:val="20"/>
                <w:lang w:val="en-US" w:eastAsia="en-US" w:bidi="ar-SA"/>
              </w:rPr>
            </w:pPr>
            <w:r>
              <w:rPr>
                <w:rFonts w:hint="eastAsia" w:ascii="宋体" w:hAnsi="Times New Roman" w:eastAsia="宋体" w:cs="Times New Roman"/>
                <w:color w:val="auto"/>
                <w:kern w:val="2"/>
                <w:sz w:val="18"/>
                <w:szCs w:val="20"/>
                <w:lang w:val="en-US" w:eastAsia="zh-CN" w:bidi="ar-SA"/>
              </w:rPr>
              <w:t>3.1</w:t>
            </w:r>
          </w:p>
        </w:tc>
        <w:tc>
          <w:tcPr>
            <w:tcW w:w="2399" w:type="dxa"/>
            <w:shd w:val="clear" w:color="auto" w:fill="auto"/>
            <w:vAlign w:val="center"/>
          </w:tcPr>
          <w:p w14:paraId="679D3F81">
            <w:pPr>
              <w:spacing w:before="65" w:line="269" w:lineRule="exact"/>
              <w:jc w:val="center"/>
              <w:rPr>
                <w:rFonts w:hint="eastAsia" w:ascii="宋体" w:hAnsi="Times New Roman" w:eastAsia="宋体" w:cs="Times New Roman"/>
                <w:color w:val="auto"/>
                <w:kern w:val="2"/>
                <w:sz w:val="18"/>
                <w:szCs w:val="20"/>
                <w:lang w:val="en-US" w:eastAsia="en-US" w:bidi="ar-SA"/>
              </w:rPr>
            </w:pPr>
            <w:r>
              <w:rPr>
                <w:rFonts w:hint="eastAsia" w:ascii="宋体" w:hAnsi="Times New Roman" w:eastAsia="宋体" w:cs="Times New Roman"/>
                <w:color w:val="auto"/>
                <w:kern w:val="2"/>
                <w:sz w:val="18"/>
                <w:szCs w:val="20"/>
                <w:lang w:val="en-US" w:eastAsia="zh-CN" w:bidi="ar-SA"/>
              </w:rPr>
              <w:t>出库未进行抽检或检验不到位，使不合格产品进入车间</w:t>
            </w:r>
          </w:p>
        </w:tc>
        <w:tc>
          <w:tcPr>
            <w:tcW w:w="928" w:type="dxa"/>
            <w:shd w:val="clear" w:color="auto" w:fill="auto"/>
            <w:vAlign w:val="center"/>
          </w:tcPr>
          <w:p w14:paraId="654B3F67">
            <w:pPr>
              <w:spacing w:before="65" w:line="269" w:lineRule="exact"/>
              <w:jc w:val="center"/>
              <w:rPr>
                <w:rFonts w:hint="eastAsia" w:ascii="宋体" w:hAnsi="Times New Roman" w:eastAsia="宋体" w:cs="Times New Roman"/>
                <w:color w:val="auto"/>
                <w:kern w:val="2"/>
                <w:sz w:val="18"/>
                <w:szCs w:val="20"/>
                <w:lang w:val="en-US" w:eastAsia="en-US" w:bidi="ar-SA"/>
              </w:rPr>
            </w:pPr>
            <w:r>
              <w:rPr>
                <w:rFonts w:hint="eastAsia" w:ascii="宋体" w:hAnsi="Times New Roman" w:eastAsia="宋体" w:cs="Times New Roman"/>
                <w:color w:val="auto"/>
                <w:kern w:val="2"/>
                <w:sz w:val="18"/>
                <w:szCs w:val="20"/>
                <w:lang w:val="en-US" w:eastAsia="zh-CN" w:bidi="ar-SA"/>
              </w:rPr>
              <w:t>操作风险</w:t>
            </w:r>
          </w:p>
        </w:tc>
        <w:tc>
          <w:tcPr>
            <w:tcW w:w="963" w:type="dxa"/>
            <w:shd w:val="clear" w:color="auto" w:fill="auto"/>
            <w:vAlign w:val="center"/>
          </w:tcPr>
          <w:p w14:paraId="1AD57647">
            <w:pPr>
              <w:spacing w:before="65" w:line="269" w:lineRule="exact"/>
              <w:jc w:val="center"/>
              <w:rPr>
                <w:rFonts w:hint="eastAsia" w:ascii="宋体" w:hAnsi="Times New Roman" w:eastAsia="宋体" w:cs="Times New Roman"/>
                <w:color w:val="auto"/>
                <w:kern w:val="2"/>
                <w:sz w:val="18"/>
                <w:szCs w:val="20"/>
                <w:lang w:val="en-US" w:eastAsia="en-US" w:bidi="ar-SA"/>
              </w:rPr>
            </w:pPr>
            <w:r>
              <w:rPr>
                <w:rFonts w:hint="eastAsia" w:ascii="宋体" w:hAnsi="Times New Roman" w:eastAsia="宋体" w:cs="Times New Roman"/>
                <w:color w:val="auto"/>
                <w:kern w:val="2"/>
                <w:sz w:val="18"/>
                <w:szCs w:val="20"/>
                <w:lang w:val="en-US" w:eastAsia="zh-CN" w:bidi="ar-SA"/>
              </w:rPr>
              <w:t>Ⅱ级</w:t>
            </w:r>
          </w:p>
        </w:tc>
        <w:tc>
          <w:tcPr>
            <w:tcW w:w="1400" w:type="dxa"/>
            <w:vMerge w:val="restart"/>
            <w:shd w:val="clear" w:color="auto" w:fill="auto"/>
            <w:vAlign w:val="center"/>
          </w:tcPr>
          <w:p w14:paraId="44B1AFD0">
            <w:pPr>
              <w:spacing w:before="65" w:line="269" w:lineRule="exact"/>
              <w:jc w:val="center"/>
              <w:rPr>
                <w:rFonts w:hint="eastAsia" w:ascii="宋体" w:hAnsi="Times New Roman" w:eastAsia="宋体" w:cs="Times New Roman"/>
                <w:color w:val="auto"/>
                <w:kern w:val="2"/>
                <w:sz w:val="18"/>
                <w:szCs w:val="20"/>
                <w:lang w:val="en-US" w:eastAsia="en-US" w:bidi="ar-SA"/>
              </w:rPr>
            </w:pPr>
            <w:r>
              <w:rPr>
                <w:rFonts w:hint="eastAsia" w:ascii="宋体" w:hAnsi="Times New Roman" w:eastAsia="宋体" w:cs="Times New Roman"/>
                <w:color w:val="auto"/>
                <w:kern w:val="2"/>
                <w:sz w:val="18"/>
                <w:szCs w:val="20"/>
                <w:lang w:val="en-US" w:eastAsia="zh-CN" w:bidi="ar-SA"/>
              </w:rPr>
              <w:t>不合格品隔离存放，标识清晰</w:t>
            </w:r>
          </w:p>
        </w:tc>
      </w:tr>
      <w:tr w14:paraId="4CE5F1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545" w:type="dxa"/>
            <w:vMerge w:val="continue"/>
            <w:tcBorders>
              <w:bottom w:val="single" w:color="auto" w:sz="4" w:space="0"/>
            </w:tcBorders>
            <w:vAlign w:val="center"/>
          </w:tcPr>
          <w:p w14:paraId="41B97426">
            <w:pPr>
              <w:spacing w:before="78" w:line="337" w:lineRule="exact"/>
              <w:ind w:left="239"/>
              <w:jc w:val="center"/>
              <w:rPr>
                <w:rFonts w:ascii="仿宋" w:hAnsi="仿宋" w:eastAsia="仿宋" w:cs="仿宋"/>
                <w:color w:val="auto"/>
                <w:position w:val="2"/>
                <w:sz w:val="24"/>
                <w:szCs w:val="24"/>
              </w:rPr>
            </w:pPr>
          </w:p>
        </w:tc>
        <w:tc>
          <w:tcPr>
            <w:tcW w:w="1273" w:type="dxa"/>
            <w:vMerge w:val="continue"/>
            <w:tcBorders>
              <w:bottom w:val="single" w:color="auto" w:sz="4" w:space="0"/>
            </w:tcBorders>
            <w:vAlign w:val="center"/>
          </w:tcPr>
          <w:p w14:paraId="5BB0B28C">
            <w:pPr>
              <w:spacing w:before="65" w:line="269" w:lineRule="exact"/>
              <w:jc w:val="center"/>
              <w:rPr>
                <w:rFonts w:hint="eastAsia" w:ascii="仿宋" w:hAnsi="仿宋" w:eastAsia="仿宋" w:cs="仿宋"/>
                <w:color w:val="auto"/>
                <w:spacing w:val="6"/>
                <w:position w:val="1"/>
                <w:sz w:val="20"/>
                <w:szCs w:val="20"/>
                <w:lang w:val="en-US" w:eastAsia="zh-CN"/>
              </w:rPr>
            </w:pPr>
          </w:p>
        </w:tc>
        <w:tc>
          <w:tcPr>
            <w:tcW w:w="790" w:type="dxa"/>
            <w:shd w:val="clear" w:color="auto" w:fill="auto"/>
            <w:vAlign w:val="center"/>
          </w:tcPr>
          <w:p w14:paraId="38E81723">
            <w:pPr>
              <w:spacing w:before="65" w:line="269" w:lineRule="exact"/>
              <w:jc w:val="center"/>
              <w:rPr>
                <w:rFonts w:hint="eastAsia" w:ascii="宋体" w:hAnsi="Times New Roman" w:eastAsia="宋体" w:cs="Times New Roman"/>
                <w:color w:val="auto"/>
                <w:kern w:val="2"/>
                <w:sz w:val="18"/>
                <w:szCs w:val="20"/>
                <w:lang w:val="en-US" w:eastAsia="en-US" w:bidi="ar-SA"/>
              </w:rPr>
            </w:pPr>
            <w:r>
              <w:rPr>
                <w:rFonts w:hint="eastAsia" w:ascii="宋体" w:hAnsi="Times New Roman" w:eastAsia="宋体" w:cs="Times New Roman"/>
                <w:color w:val="auto"/>
                <w:kern w:val="2"/>
                <w:sz w:val="18"/>
                <w:szCs w:val="20"/>
                <w:lang w:val="en-US" w:eastAsia="zh-CN" w:bidi="ar-SA"/>
              </w:rPr>
              <w:t>3.2</w:t>
            </w:r>
          </w:p>
        </w:tc>
        <w:tc>
          <w:tcPr>
            <w:tcW w:w="2399" w:type="dxa"/>
            <w:shd w:val="clear" w:color="auto" w:fill="auto"/>
            <w:vAlign w:val="center"/>
          </w:tcPr>
          <w:p w14:paraId="47FD1435">
            <w:pPr>
              <w:spacing w:before="65" w:line="269" w:lineRule="exact"/>
              <w:jc w:val="center"/>
              <w:rPr>
                <w:rFonts w:hint="eastAsia" w:ascii="宋体" w:hAnsi="Times New Roman" w:eastAsia="宋体" w:cs="Times New Roman"/>
                <w:color w:val="auto"/>
                <w:kern w:val="2"/>
                <w:sz w:val="18"/>
                <w:szCs w:val="20"/>
                <w:lang w:val="en-US" w:eastAsia="en-US" w:bidi="ar-SA"/>
              </w:rPr>
            </w:pPr>
            <w:r>
              <w:rPr>
                <w:rFonts w:hint="eastAsia" w:ascii="宋体" w:hAnsi="Times New Roman" w:eastAsia="宋体" w:cs="Times New Roman"/>
                <w:color w:val="auto"/>
                <w:kern w:val="2"/>
                <w:sz w:val="18"/>
                <w:szCs w:val="20"/>
                <w:lang w:val="en-US" w:eastAsia="zh-CN" w:bidi="ar-SA"/>
              </w:rPr>
              <w:t>未按照出库单或配料单要求的各品种的批次、数量出库</w:t>
            </w:r>
          </w:p>
        </w:tc>
        <w:tc>
          <w:tcPr>
            <w:tcW w:w="928" w:type="dxa"/>
            <w:shd w:val="clear" w:color="auto" w:fill="auto"/>
            <w:vAlign w:val="center"/>
          </w:tcPr>
          <w:p w14:paraId="48805A04">
            <w:pPr>
              <w:spacing w:before="65" w:line="269" w:lineRule="exact"/>
              <w:jc w:val="center"/>
              <w:rPr>
                <w:rFonts w:hint="eastAsia" w:ascii="宋体" w:hAnsi="Times New Roman" w:eastAsia="宋体" w:cs="Times New Roman"/>
                <w:color w:val="auto"/>
                <w:kern w:val="2"/>
                <w:sz w:val="18"/>
                <w:szCs w:val="20"/>
                <w:lang w:val="en-US" w:eastAsia="en-US" w:bidi="ar-SA"/>
              </w:rPr>
            </w:pPr>
            <w:r>
              <w:rPr>
                <w:rFonts w:hint="eastAsia" w:ascii="宋体" w:hAnsi="Times New Roman" w:eastAsia="宋体" w:cs="Times New Roman"/>
                <w:color w:val="auto"/>
                <w:kern w:val="2"/>
                <w:sz w:val="18"/>
                <w:szCs w:val="20"/>
                <w:lang w:val="en-US" w:eastAsia="zh-CN" w:bidi="ar-SA"/>
              </w:rPr>
              <w:t>操作风险</w:t>
            </w:r>
          </w:p>
        </w:tc>
        <w:tc>
          <w:tcPr>
            <w:tcW w:w="963" w:type="dxa"/>
            <w:shd w:val="clear" w:color="auto" w:fill="auto"/>
            <w:vAlign w:val="center"/>
          </w:tcPr>
          <w:p w14:paraId="268AFF20">
            <w:pPr>
              <w:spacing w:before="65" w:line="269" w:lineRule="exact"/>
              <w:jc w:val="center"/>
              <w:rPr>
                <w:rFonts w:hint="eastAsia" w:ascii="宋体" w:hAnsi="Times New Roman" w:eastAsia="宋体" w:cs="Times New Roman"/>
                <w:color w:val="auto"/>
                <w:kern w:val="2"/>
                <w:sz w:val="18"/>
                <w:szCs w:val="20"/>
                <w:lang w:val="en-US" w:eastAsia="en-US" w:bidi="ar-SA"/>
              </w:rPr>
            </w:pPr>
            <w:r>
              <w:rPr>
                <w:rFonts w:hint="eastAsia" w:ascii="宋体" w:hAnsi="Times New Roman" w:eastAsia="宋体" w:cs="Times New Roman"/>
                <w:color w:val="auto"/>
                <w:kern w:val="2"/>
                <w:sz w:val="18"/>
                <w:szCs w:val="20"/>
                <w:lang w:val="en-US" w:eastAsia="zh-CN" w:bidi="ar-SA"/>
              </w:rPr>
              <w:t>Ⅱ级</w:t>
            </w:r>
          </w:p>
        </w:tc>
        <w:tc>
          <w:tcPr>
            <w:tcW w:w="1400" w:type="dxa"/>
            <w:vMerge w:val="continue"/>
            <w:vAlign w:val="center"/>
          </w:tcPr>
          <w:p w14:paraId="015CE0FC">
            <w:pPr>
              <w:spacing w:before="65" w:line="269" w:lineRule="exact"/>
              <w:jc w:val="left"/>
              <w:rPr>
                <w:rFonts w:hint="eastAsia" w:ascii="仿宋" w:hAnsi="仿宋" w:eastAsia="仿宋" w:cs="仿宋"/>
                <w:color w:val="auto"/>
                <w:spacing w:val="6"/>
                <w:position w:val="1"/>
                <w:sz w:val="20"/>
                <w:szCs w:val="20"/>
                <w:lang w:val="en-US" w:eastAsia="zh-CN"/>
              </w:rPr>
            </w:pPr>
          </w:p>
        </w:tc>
      </w:tr>
    </w:tbl>
    <w:p w14:paraId="2DF3601C">
      <w:pPr>
        <w:rPr>
          <w:rFonts w:hint="eastAsia"/>
          <w:color w:val="auto"/>
          <w:lang w:val="en-US" w:eastAsia="zh-CN"/>
        </w:rPr>
      </w:pPr>
      <w:r>
        <w:rPr>
          <w:rFonts w:hint="eastAsia" w:ascii="宋体" w:hAnsi="Times New Roman" w:eastAsia="宋体" w:cs="Times New Roman"/>
          <w:color w:val="auto"/>
          <w:sz w:val="21"/>
          <w:lang w:val="en-US" w:eastAsia="zh-CN" w:bidi="ar-SA"/>
        </w:rPr>
        <w:br w:type="page"/>
      </w:r>
    </w:p>
    <w:p w14:paraId="2A0EAD7C">
      <w:pPr>
        <w:pStyle w:val="18"/>
        <w:numPr>
          <w:ilvl w:val="3"/>
          <w:numId w:val="0"/>
        </w:numPr>
        <w:spacing w:before="120" w:after="120"/>
        <w:ind w:left="0" w:leftChars="0" w:firstLine="0" w:firstLineChars="0"/>
        <w:outlineLvl w:val="1"/>
        <w:rPr>
          <w:rFonts w:hint="eastAsia" w:ascii="宋体" w:hAnsi="Times New Roman" w:eastAsia="宋体" w:cs="Times New Roman"/>
          <w:color w:val="auto"/>
          <w:sz w:val="21"/>
          <w:lang w:val="en-US" w:eastAsia="zh-CN" w:bidi="ar-SA"/>
        </w:rPr>
      </w:pPr>
      <w:bookmarkStart w:id="28" w:name="_Toc1999014034"/>
      <w:r>
        <w:rPr>
          <w:rFonts w:hint="eastAsia" w:ascii="宋体" w:hAnsi="Times New Roman" w:eastAsia="宋体" w:cs="Times New Roman"/>
          <w:color w:val="auto"/>
          <w:sz w:val="21"/>
          <w:lang w:val="en-US" w:eastAsia="zh-CN" w:bidi="ar-SA"/>
        </w:rPr>
        <w:t>A.1.4  产成品库存管理</w:t>
      </w:r>
      <w:bookmarkEnd w:id="28"/>
    </w:p>
    <w:tbl>
      <w:tblPr>
        <w:tblStyle w:val="21"/>
        <w:tblW w:w="829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45"/>
        <w:gridCol w:w="1273"/>
        <w:gridCol w:w="790"/>
        <w:gridCol w:w="2399"/>
        <w:gridCol w:w="928"/>
        <w:gridCol w:w="963"/>
        <w:gridCol w:w="1400"/>
      </w:tblGrid>
      <w:tr w14:paraId="3B8535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1" w:hRule="atLeast"/>
        </w:trPr>
        <w:tc>
          <w:tcPr>
            <w:tcW w:w="545" w:type="dxa"/>
            <w:shd w:val="clear" w:color="auto" w:fill="auto"/>
            <w:vAlign w:val="center"/>
          </w:tcPr>
          <w:p w14:paraId="4A6B9F48">
            <w:pPr>
              <w:pStyle w:val="23"/>
              <w:ind w:firstLine="0" w:firstLineChars="0"/>
              <w:jc w:val="center"/>
              <w:rPr>
                <w:rFonts w:hint="eastAsia" w:ascii="宋体" w:hAnsi="Times New Roman" w:eastAsia="宋体" w:cs="Times New Roman"/>
                <w:color w:val="auto"/>
                <w:sz w:val="18"/>
                <w:lang w:val="en-US" w:eastAsia="zh-CN" w:bidi="ar-SA"/>
              </w:rPr>
            </w:pPr>
            <w:r>
              <w:rPr>
                <w:rFonts w:hint="eastAsia"/>
                <w:color w:val="auto"/>
              </w:rPr>
              <w:t>序号</w:t>
            </w:r>
          </w:p>
        </w:tc>
        <w:tc>
          <w:tcPr>
            <w:tcW w:w="1273" w:type="dxa"/>
            <w:shd w:val="clear" w:color="auto" w:fill="auto"/>
            <w:vAlign w:val="center"/>
          </w:tcPr>
          <w:p w14:paraId="741CB811">
            <w:pPr>
              <w:pStyle w:val="23"/>
              <w:ind w:firstLine="0" w:firstLineChars="0"/>
              <w:jc w:val="center"/>
              <w:rPr>
                <w:rFonts w:hint="eastAsia" w:ascii="宋体" w:hAnsi="Times New Roman" w:eastAsia="宋体" w:cs="Times New Roman"/>
                <w:color w:val="auto"/>
                <w:sz w:val="18"/>
                <w:lang w:val="en-US" w:eastAsia="zh-CN" w:bidi="ar-SA"/>
              </w:rPr>
            </w:pPr>
            <w:r>
              <w:rPr>
                <w:rFonts w:hint="eastAsia"/>
                <w:color w:val="auto"/>
              </w:rPr>
              <w:t>环节</w:t>
            </w:r>
          </w:p>
        </w:tc>
        <w:tc>
          <w:tcPr>
            <w:tcW w:w="790" w:type="dxa"/>
            <w:shd w:val="clear" w:color="auto" w:fill="auto"/>
            <w:vAlign w:val="center"/>
          </w:tcPr>
          <w:p w14:paraId="610ABE44">
            <w:pPr>
              <w:pStyle w:val="23"/>
              <w:ind w:firstLine="0" w:firstLineChars="0"/>
              <w:jc w:val="center"/>
              <w:rPr>
                <w:rFonts w:hint="eastAsia" w:ascii="宋体" w:hAnsi="Times New Roman" w:eastAsia="宋体" w:cs="Times New Roman"/>
                <w:color w:val="auto"/>
                <w:sz w:val="18"/>
                <w:lang w:val="en-US" w:eastAsia="zh-CN" w:bidi="ar-SA"/>
              </w:rPr>
            </w:pPr>
            <w:r>
              <w:rPr>
                <w:rFonts w:hint="eastAsia"/>
                <w:color w:val="auto"/>
                <w:lang w:val="en-US" w:eastAsia="zh-CN"/>
              </w:rPr>
              <w:t>风险</w:t>
            </w:r>
            <w:r>
              <w:rPr>
                <w:rFonts w:hint="eastAsia" w:ascii="宋体" w:eastAsia="宋体"/>
                <w:color w:val="auto"/>
                <w:lang w:val="en-US" w:eastAsia="zh-CN"/>
              </w:rPr>
              <w:t>编号</w:t>
            </w:r>
          </w:p>
        </w:tc>
        <w:tc>
          <w:tcPr>
            <w:tcW w:w="2399" w:type="dxa"/>
            <w:shd w:val="clear" w:color="auto" w:fill="auto"/>
            <w:vAlign w:val="center"/>
          </w:tcPr>
          <w:p w14:paraId="30C20FA7">
            <w:pPr>
              <w:pStyle w:val="23"/>
              <w:ind w:firstLine="0" w:firstLineChars="0"/>
              <w:jc w:val="center"/>
              <w:rPr>
                <w:rFonts w:hint="eastAsia" w:ascii="宋体" w:hAnsi="Times New Roman" w:eastAsia="宋体" w:cs="Times New Roman"/>
                <w:color w:val="auto"/>
                <w:sz w:val="18"/>
                <w:lang w:val="en-US" w:eastAsia="zh-CN" w:bidi="ar-SA"/>
              </w:rPr>
            </w:pPr>
            <w:r>
              <w:rPr>
                <w:rFonts w:hint="eastAsia" w:ascii="宋体" w:eastAsia="宋体"/>
                <w:color w:val="auto"/>
                <w:lang w:val="en-US" w:eastAsia="zh-CN"/>
              </w:rPr>
              <w:t>风险描述</w:t>
            </w:r>
          </w:p>
        </w:tc>
        <w:tc>
          <w:tcPr>
            <w:tcW w:w="928" w:type="dxa"/>
            <w:shd w:val="clear" w:color="auto" w:fill="auto"/>
            <w:vAlign w:val="center"/>
          </w:tcPr>
          <w:p w14:paraId="1CD107C2">
            <w:pPr>
              <w:pStyle w:val="23"/>
              <w:ind w:firstLine="0" w:firstLineChars="0"/>
              <w:jc w:val="center"/>
              <w:rPr>
                <w:rFonts w:hint="eastAsia" w:ascii="宋体" w:hAnsi="Times New Roman" w:eastAsia="宋体" w:cs="Times New Roman"/>
                <w:color w:val="auto"/>
                <w:sz w:val="18"/>
                <w:lang w:val="en-US" w:eastAsia="zh-CN" w:bidi="ar-SA"/>
              </w:rPr>
            </w:pPr>
            <w:r>
              <w:rPr>
                <w:rFonts w:hint="eastAsia" w:ascii="宋体" w:eastAsia="宋体"/>
                <w:color w:val="auto"/>
                <w:lang w:val="en-US" w:eastAsia="zh-CN"/>
              </w:rPr>
              <w:t>风险类型</w:t>
            </w:r>
          </w:p>
        </w:tc>
        <w:tc>
          <w:tcPr>
            <w:tcW w:w="963" w:type="dxa"/>
            <w:shd w:val="clear" w:color="auto" w:fill="auto"/>
            <w:vAlign w:val="center"/>
          </w:tcPr>
          <w:p w14:paraId="2B769D3D">
            <w:pPr>
              <w:pStyle w:val="23"/>
              <w:ind w:firstLine="0" w:firstLineChars="0"/>
              <w:jc w:val="center"/>
              <w:rPr>
                <w:rFonts w:hint="eastAsia" w:ascii="宋体" w:hAnsi="Times New Roman" w:eastAsia="宋体" w:cs="Times New Roman"/>
                <w:color w:val="auto"/>
                <w:sz w:val="18"/>
                <w:lang w:val="en-US" w:eastAsia="zh-CN" w:bidi="ar-SA"/>
              </w:rPr>
            </w:pPr>
            <w:r>
              <w:rPr>
                <w:rFonts w:hint="eastAsia" w:ascii="宋体" w:eastAsia="宋体"/>
                <w:color w:val="auto"/>
                <w:lang w:val="en-US" w:eastAsia="zh-CN"/>
              </w:rPr>
              <w:t>风险等级</w:t>
            </w:r>
          </w:p>
        </w:tc>
        <w:tc>
          <w:tcPr>
            <w:tcW w:w="1400" w:type="dxa"/>
            <w:shd w:val="clear" w:color="auto" w:fill="auto"/>
            <w:vAlign w:val="center"/>
          </w:tcPr>
          <w:p w14:paraId="79EC1732">
            <w:pPr>
              <w:pStyle w:val="23"/>
              <w:ind w:firstLine="0" w:firstLineChars="0"/>
              <w:jc w:val="center"/>
              <w:rPr>
                <w:rFonts w:hint="eastAsia" w:ascii="宋体" w:hAnsi="Times New Roman" w:eastAsia="宋体" w:cs="Times New Roman"/>
                <w:color w:val="auto"/>
                <w:sz w:val="18"/>
                <w:lang w:val="en-US" w:eastAsia="zh-CN" w:bidi="ar-SA"/>
              </w:rPr>
            </w:pPr>
            <w:r>
              <w:rPr>
                <w:rFonts w:hint="eastAsia" w:ascii="宋体" w:eastAsia="宋体"/>
                <w:color w:val="auto"/>
                <w:lang w:val="en-US" w:eastAsia="zh-CN"/>
              </w:rPr>
              <w:t>主要控制措施</w:t>
            </w:r>
          </w:p>
        </w:tc>
      </w:tr>
      <w:tr w14:paraId="196AF9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545" w:type="dxa"/>
            <w:vMerge w:val="restart"/>
            <w:tcBorders>
              <w:bottom w:val="nil"/>
            </w:tcBorders>
            <w:vAlign w:val="center"/>
          </w:tcPr>
          <w:p w14:paraId="27D5764F">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1</w:t>
            </w:r>
          </w:p>
        </w:tc>
        <w:tc>
          <w:tcPr>
            <w:tcW w:w="1273" w:type="dxa"/>
            <w:vMerge w:val="restart"/>
            <w:tcBorders>
              <w:bottom w:val="nil"/>
            </w:tcBorders>
            <w:vAlign w:val="center"/>
          </w:tcPr>
          <w:p w14:paraId="66ED9E2D">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入库管理</w:t>
            </w:r>
          </w:p>
        </w:tc>
        <w:tc>
          <w:tcPr>
            <w:tcW w:w="790" w:type="dxa"/>
            <w:vAlign w:val="center"/>
          </w:tcPr>
          <w:p w14:paraId="2367EE09">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1.1</w:t>
            </w:r>
          </w:p>
        </w:tc>
        <w:tc>
          <w:tcPr>
            <w:tcW w:w="2399" w:type="dxa"/>
            <w:vAlign w:val="center"/>
          </w:tcPr>
          <w:p w14:paraId="0EC193EC">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到货产品质量控制</w:t>
            </w:r>
          </w:p>
        </w:tc>
        <w:tc>
          <w:tcPr>
            <w:tcW w:w="928" w:type="dxa"/>
            <w:vAlign w:val="center"/>
          </w:tcPr>
          <w:p w14:paraId="74076F64">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操作风险</w:t>
            </w:r>
          </w:p>
        </w:tc>
        <w:tc>
          <w:tcPr>
            <w:tcW w:w="963" w:type="dxa"/>
            <w:vAlign w:val="center"/>
          </w:tcPr>
          <w:p w14:paraId="46992E31">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Ⅲ级</w:t>
            </w:r>
          </w:p>
        </w:tc>
        <w:tc>
          <w:tcPr>
            <w:tcW w:w="1400" w:type="dxa"/>
            <w:vAlign w:val="center"/>
          </w:tcPr>
          <w:p w14:paraId="02460874">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现场收货并留存影像资料</w:t>
            </w:r>
          </w:p>
        </w:tc>
      </w:tr>
      <w:tr w14:paraId="4A72D2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545" w:type="dxa"/>
            <w:vMerge w:val="continue"/>
            <w:tcBorders>
              <w:top w:val="nil"/>
            </w:tcBorders>
            <w:vAlign w:val="center"/>
          </w:tcPr>
          <w:p w14:paraId="3664AAB4">
            <w:pPr>
              <w:pStyle w:val="22"/>
              <w:jc w:val="center"/>
              <w:rPr>
                <w:rFonts w:hint="eastAsia" w:ascii="宋体" w:hAnsi="Times New Roman" w:eastAsia="宋体" w:cs="Times New Roman"/>
                <w:color w:val="auto"/>
                <w:kern w:val="2"/>
                <w:sz w:val="18"/>
                <w:szCs w:val="20"/>
                <w:lang w:val="en-US" w:eastAsia="zh-CN" w:bidi="ar-SA"/>
              </w:rPr>
            </w:pPr>
          </w:p>
        </w:tc>
        <w:tc>
          <w:tcPr>
            <w:tcW w:w="1273" w:type="dxa"/>
            <w:vMerge w:val="continue"/>
            <w:tcBorders>
              <w:top w:val="nil"/>
            </w:tcBorders>
            <w:vAlign w:val="center"/>
          </w:tcPr>
          <w:p w14:paraId="56B26888">
            <w:pPr>
              <w:pStyle w:val="22"/>
              <w:jc w:val="center"/>
              <w:rPr>
                <w:rFonts w:hint="eastAsia" w:ascii="宋体" w:hAnsi="Times New Roman" w:eastAsia="宋体" w:cs="Times New Roman"/>
                <w:color w:val="auto"/>
                <w:kern w:val="2"/>
                <w:sz w:val="18"/>
                <w:szCs w:val="20"/>
                <w:lang w:val="en-US" w:eastAsia="zh-CN" w:bidi="ar-SA"/>
              </w:rPr>
            </w:pPr>
          </w:p>
        </w:tc>
        <w:tc>
          <w:tcPr>
            <w:tcW w:w="790" w:type="dxa"/>
            <w:vAlign w:val="center"/>
          </w:tcPr>
          <w:p w14:paraId="26F266DC">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1.2</w:t>
            </w:r>
          </w:p>
        </w:tc>
        <w:tc>
          <w:tcPr>
            <w:tcW w:w="2399" w:type="dxa"/>
            <w:vAlign w:val="center"/>
          </w:tcPr>
          <w:p w14:paraId="38C13D51">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成品未及时入库或未妥善保管，有人为破坏的风险</w:t>
            </w:r>
          </w:p>
        </w:tc>
        <w:tc>
          <w:tcPr>
            <w:tcW w:w="928" w:type="dxa"/>
            <w:vAlign w:val="center"/>
          </w:tcPr>
          <w:p w14:paraId="1CB5DA46">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操作风险</w:t>
            </w:r>
          </w:p>
        </w:tc>
        <w:tc>
          <w:tcPr>
            <w:tcW w:w="963" w:type="dxa"/>
            <w:vAlign w:val="center"/>
          </w:tcPr>
          <w:p w14:paraId="5D34F053">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Ⅲ级</w:t>
            </w:r>
          </w:p>
        </w:tc>
        <w:tc>
          <w:tcPr>
            <w:tcW w:w="1400" w:type="dxa"/>
            <w:vAlign w:val="center"/>
          </w:tcPr>
          <w:p w14:paraId="2B2DCFE8">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加强在库巡检</w:t>
            </w:r>
          </w:p>
        </w:tc>
      </w:tr>
      <w:tr w14:paraId="0CA2C9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545" w:type="dxa"/>
            <w:vMerge w:val="restart"/>
            <w:tcBorders>
              <w:bottom w:val="nil"/>
            </w:tcBorders>
            <w:vAlign w:val="center"/>
          </w:tcPr>
          <w:p w14:paraId="2104D765">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2</w:t>
            </w:r>
          </w:p>
        </w:tc>
        <w:tc>
          <w:tcPr>
            <w:tcW w:w="1273" w:type="dxa"/>
            <w:vMerge w:val="restart"/>
            <w:tcBorders>
              <w:bottom w:val="nil"/>
            </w:tcBorders>
            <w:vAlign w:val="center"/>
          </w:tcPr>
          <w:p w14:paraId="4F7F758B">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在库管理</w:t>
            </w:r>
          </w:p>
        </w:tc>
        <w:tc>
          <w:tcPr>
            <w:tcW w:w="790" w:type="dxa"/>
            <w:vAlign w:val="center"/>
          </w:tcPr>
          <w:p w14:paraId="35884253">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2.1</w:t>
            </w:r>
          </w:p>
        </w:tc>
        <w:tc>
          <w:tcPr>
            <w:tcW w:w="2399" w:type="dxa"/>
            <w:vAlign w:val="center"/>
          </w:tcPr>
          <w:p w14:paraId="73A22438">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成品在库时间过长甚至超过保质期</w:t>
            </w:r>
          </w:p>
        </w:tc>
        <w:tc>
          <w:tcPr>
            <w:tcW w:w="928" w:type="dxa"/>
            <w:vAlign w:val="center"/>
          </w:tcPr>
          <w:p w14:paraId="4843AF53">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操作风险</w:t>
            </w:r>
          </w:p>
        </w:tc>
        <w:tc>
          <w:tcPr>
            <w:tcW w:w="963" w:type="dxa"/>
            <w:vAlign w:val="center"/>
          </w:tcPr>
          <w:p w14:paraId="32FC696B">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Ⅱ级</w:t>
            </w:r>
          </w:p>
        </w:tc>
        <w:tc>
          <w:tcPr>
            <w:tcW w:w="1400" w:type="dxa"/>
            <w:vAlign w:val="center"/>
          </w:tcPr>
          <w:p w14:paraId="0DA41BF9">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加强在库巡检，及时反馈产品库存信息及过期产品风险提示</w:t>
            </w:r>
          </w:p>
        </w:tc>
      </w:tr>
      <w:tr w14:paraId="3092C7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545" w:type="dxa"/>
            <w:vMerge w:val="continue"/>
            <w:tcBorders>
              <w:top w:val="nil"/>
              <w:bottom w:val="nil"/>
            </w:tcBorders>
            <w:vAlign w:val="center"/>
          </w:tcPr>
          <w:p w14:paraId="465BE458">
            <w:pPr>
              <w:pStyle w:val="22"/>
              <w:jc w:val="center"/>
              <w:rPr>
                <w:rFonts w:hint="eastAsia" w:ascii="宋体" w:hAnsi="Times New Roman" w:eastAsia="宋体" w:cs="Times New Roman"/>
                <w:color w:val="auto"/>
                <w:kern w:val="2"/>
                <w:sz w:val="18"/>
                <w:szCs w:val="20"/>
                <w:lang w:val="en-US" w:eastAsia="zh-CN" w:bidi="ar-SA"/>
              </w:rPr>
            </w:pPr>
          </w:p>
        </w:tc>
        <w:tc>
          <w:tcPr>
            <w:tcW w:w="1273" w:type="dxa"/>
            <w:vMerge w:val="continue"/>
            <w:tcBorders>
              <w:top w:val="nil"/>
              <w:bottom w:val="nil"/>
            </w:tcBorders>
            <w:vAlign w:val="center"/>
          </w:tcPr>
          <w:p w14:paraId="58C6C8BA">
            <w:pPr>
              <w:pStyle w:val="22"/>
              <w:jc w:val="center"/>
              <w:rPr>
                <w:rFonts w:hint="eastAsia" w:ascii="宋体" w:hAnsi="Times New Roman" w:eastAsia="宋体" w:cs="Times New Roman"/>
                <w:color w:val="auto"/>
                <w:kern w:val="2"/>
                <w:sz w:val="18"/>
                <w:szCs w:val="20"/>
                <w:lang w:val="en-US" w:eastAsia="zh-CN" w:bidi="ar-SA"/>
              </w:rPr>
            </w:pPr>
          </w:p>
        </w:tc>
        <w:tc>
          <w:tcPr>
            <w:tcW w:w="790" w:type="dxa"/>
            <w:vAlign w:val="center"/>
          </w:tcPr>
          <w:p w14:paraId="3FCAC201">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2.2</w:t>
            </w:r>
          </w:p>
        </w:tc>
        <w:tc>
          <w:tcPr>
            <w:tcW w:w="2399" w:type="dxa"/>
            <w:vAlign w:val="center"/>
          </w:tcPr>
          <w:p w14:paraId="7863BB93">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未按照离地、离墙、离顶的要求码放，会使产品受到暴晒、受潮、水浸等侵害</w:t>
            </w:r>
          </w:p>
        </w:tc>
        <w:tc>
          <w:tcPr>
            <w:tcW w:w="928" w:type="dxa"/>
            <w:vAlign w:val="center"/>
          </w:tcPr>
          <w:p w14:paraId="31B329AC">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操作风险</w:t>
            </w:r>
          </w:p>
        </w:tc>
        <w:tc>
          <w:tcPr>
            <w:tcW w:w="963" w:type="dxa"/>
            <w:vAlign w:val="center"/>
          </w:tcPr>
          <w:p w14:paraId="606C48CF">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Ⅲ级</w:t>
            </w:r>
          </w:p>
        </w:tc>
        <w:tc>
          <w:tcPr>
            <w:tcW w:w="1400" w:type="dxa"/>
            <w:vAlign w:val="center"/>
          </w:tcPr>
          <w:p w14:paraId="662068AE">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加强在库巡检</w:t>
            </w:r>
          </w:p>
        </w:tc>
      </w:tr>
      <w:tr w14:paraId="1D348E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545" w:type="dxa"/>
            <w:vMerge w:val="continue"/>
            <w:tcBorders>
              <w:top w:val="nil"/>
              <w:bottom w:val="nil"/>
            </w:tcBorders>
            <w:vAlign w:val="center"/>
          </w:tcPr>
          <w:p w14:paraId="28125E81">
            <w:pPr>
              <w:pStyle w:val="22"/>
              <w:jc w:val="center"/>
              <w:rPr>
                <w:rFonts w:hint="eastAsia" w:ascii="宋体" w:hAnsi="Times New Roman" w:eastAsia="宋体" w:cs="Times New Roman"/>
                <w:color w:val="auto"/>
                <w:kern w:val="2"/>
                <w:sz w:val="18"/>
                <w:szCs w:val="20"/>
                <w:lang w:val="en-US" w:eastAsia="zh-CN" w:bidi="ar-SA"/>
              </w:rPr>
            </w:pPr>
          </w:p>
        </w:tc>
        <w:tc>
          <w:tcPr>
            <w:tcW w:w="1273" w:type="dxa"/>
            <w:vMerge w:val="continue"/>
            <w:tcBorders>
              <w:top w:val="nil"/>
              <w:bottom w:val="nil"/>
            </w:tcBorders>
            <w:vAlign w:val="center"/>
          </w:tcPr>
          <w:p w14:paraId="10DB53E0">
            <w:pPr>
              <w:pStyle w:val="22"/>
              <w:jc w:val="center"/>
              <w:rPr>
                <w:rFonts w:hint="eastAsia" w:ascii="宋体" w:hAnsi="Times New Roman" w:eastAsia="宋体" w:cs="Times New Roman"/>
                <w:color w:val="auto"/>
                <w:kern w:val="2"/>
                <w:sz w:val="18"/>
                <w:szCs w:val="20"/>
                <w:lang w:val="en-US" w:eastAsia="zh-CN" w:bidi="ar-SA"/>
              </w:rPr>
            </w:pPr>
          </w:p>
        </w:tc>
        <w:tc>
          <w:tcPr>
            <w:tcW w:w="790" w:type="dxa"/>
            <w:vAlign w:val="center"/>
          </w:tcPr>
          <w:p w14:paraId="0485C1E5">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2.3</w:t>
            </w:r>
          </w:p>
        </w:tc>
        <w:tc>
          <w:tcPr>
            <w:tcW w:w="2399" w:type="dxa"/>
            <w:vAlign w:val="center"/>
          </w:tcPr>
          <w:p w14:paraId="7CA8E4AF">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未做防虫害处理或处理不到位</w:t>
            </w:r>
          </w:p>
        </w:tc>
        <w:tc>
          <w:tcPr>
            <w:tcW w:w="928" w:type="dxa"/>
            <w:vAlign w:val="center"/>
          </w:tcPr>
          <w:p w14:paraId="6C516D99">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操作风险</w:t>
            </w:r>
          </w:p>
        </w:tc>
        <w:tc>
          <w:tcPr>
            <w:tcW w:w="963" w:type="dxa"/>
            <w:vAlign w:val="center"/>
          </w:tcPr>
          <w:p w14:paraId="78997182">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Ⅲ级</w:t>
            </w:r>
          </w:p>
        </w:tc>
        <w:tc>
          <w:tcPr>
            <w:tcW w:w="1400" w:type="dxa"/>
            <w:vAlign w:val="center"/>
          </w:tcPr>
          <w:p w14:paraId="03145A5C">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加强在库巡检</w:t>
            </w:r>
          </w:p>
        </w:tc>
      </w:tr>
      <w:tr w14:paraId="76A280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545" w:type="dxa"/>
            <w:vMerge w:val="continue"/>
            <w:tcBorders>
              <w:top w:val="nil"/>
            </w:tcBorders>
            <w:vAlign w:val="center"/>
          </w:tcPr>
          <w:p w14:paraId="78399427">
            <w:pPr>
              <w:pStyle w:val="22"/>
              <w:jc w:val="center"/>
              <w:rPr>
                <w:rFonts w:hint="eastAsia" w:ascii="宋体" w:hAnsi="Times New Roman" w:eastAsia="宋体" w:cs="Times New Roman"/>
                <w:color w:val="auto"/>
                <w:kern w:val="2"/>
                <w:sz w:val="18"/>
                <w:szCs w:val="20"/>
                <w:lang w:val="en-US" w:eastAsia="zh-CN" w:bidi="ar-SA"/>
              </w:rPr>
            </w:pPr>
          </w:p>
        </w:tc>
        <w:tc>
          <w:tcPr>
            <w:tcW w:w="1273" w:type="dxa"/>
            <w:vMerge w:val="continue"/>
            <w:tcBorders>
              <w:top w:val="nil"/>
            </w:tcBorders>
            <w:vAlign w:val="center"/>
          </w:tcPr>
          <w:p w14:paraId="078A720E">
            <w:pPr>
              <w:pStyle w:val="22"/>
              <w:jc w:val="center"/>
              <w:rPr>
                <w:rFonts w:hint="eastAsia" w:ascii="宋体" w:hAnsi="Times New Roman" w:eastAsia="宋体" w:cs="Times New Roman"/>
                <w:color w:val="auto"/>
                <w:kern w:val="2"/>
                <w:sz w:val="18"/>
                <w:szCs w:val="20"/>
                <w:lang w:val="en-US" w:eastAsia="zh-CN" w:bidi="ar-SA"/>
              </w:rPr>
            </w:pPr>
          </w:p>
        </w:tc>
        <w:tc>
          <w:tcPr>
            <w:tcW w:w="790" w:type="dxa"/>
            <w:vAlign w:val="center"/>
          </w:tcPr>
          <w:p w14:paraId="50505377">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2.4</w:t>
            </w:r>
          </w:p>
        </w:tc>
        <w:tc>
          <w:tcPr>
            <w:tcW w:w="2399" w:type="dxa"/>
            <w:vAlign w:val="center"/>
          </w:tcPr>
          <w:p w14:paraId="12B75AAC">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不得与易燃、有毒、有异味、化工原料及其他易污染物品存放在一个仓库内</w:t>
            </w:r>
          </w:p>
        </w:tc>
        <w:tc>
          <w:tcPr>
            <w:tcW w:w="928" w:type="dxa"/>
            <w:vAlign w:val="center"/>
          </w:tcPr>
          <w:p w14:paraId="5486D48B">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操作风险</w:t>
            </w:r>
          </w:p>
        </w:tc>
        <w:tc>
          <w:tcPr>
            <w:tcW w:w="963" w:type="dxa"/>
            <w:vAlign w:val="center"/>
          </w:tcPr>
          <w:p w14:paraId="33E96C0A">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Ⅲ级</w:t>
            </w:r>
          </w:p>
        </w:tc>
        <w:tc>
          <w:tcPr>
            <w:tcW w:w="1400" w:type="dxa"/>
            <w:vAlign w:val="center"/>
          </w:tcPr>
          <w:p w14:paraId="5F833CA5">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加强在库巡检</w:t>
            </w:r>
          </w:p>
        </w:tc>
      </w:tr>
      <w:tr w14:paraId="18A4A9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545" w:type="dxa"/>
            <w:vMerge w:val="restart"/>
            <w:vAlign w:val="center"/>
          </w:tcPr>
          <w:p w14:paraId="647EABD8">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3</w:t>
            </w:r>
          </w:p>
        </w:tc>
        <w:tc>
          <w:tcPr>
            <w:tcW w:w="1273" w:type="dxa"/>
            <w:vMerge w:val="restart"/>
            <w:vAlign w:val="center"/>
          </w:tcPr>
          <w:p w14:paraId="132A8F4E">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出库管理</w:t>
            </w:r>
          </w:p>
        </w:tc>
        <w:tc>
          <w:tcPr>
            <w:tcW w:w="790" w:type="dxa"/>
            <w:vAlign w:val="center"/>
          </w:tcPr>
          <w:p w14:paraId="6ED85DED">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3.1</w:t>
            </w:r>
          </w:p>
        </w:tc>
        <w:tc>
          <w:tcPr>
            <w:tcW w:w="2399" w:type="dxa"/>
            <w:vAlign w:val="center"/>
          </w:tcPr>
          <w:p w14:paraId="3BBA9793">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在收到销售部的书面出库通知前，就对货物紧急放行</w:t>
            </w:r>
          </w:p>
        </w:tc>
        <w:tc>
          <w:tcPr>
            <w:tcW w:w="928" w:type="dxa"/>
            <w:vAlign w:val="center"/>
          </w:tcPr>
          <w:p w14:paraId="71214ACA">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操作风险</w:t>
            </w:r>
          </w:p>
        </w:tc>
        <w:tc>
          <w:tcPr>
            <w:tcW w:w="963" w:type="dxa"/>
            <w:vAlign w:val="center"/>
          </w:tcPr>
          <w:p w14:paraId="39E5B3F4">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Ⅱ级</w:t>
            </w:r>
          </w:p>
        </w:tc>
        <w:tc>
          <w:tcPr>
            <w:tcW w:w="1400" w:type="dxa"/>
            <w:vAlign w:val="center"/>
          </w:tcPr>
          <w:p w14:paraId="57505606">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办理紧急放行手续，相关人员签字确认</w:t>
            </w:r>
          </w:p>
        </w:tc>
      </w:tr>
      <w:tr w14:paraId="21097D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545" w:type="dxa"/>
            <w:vMerge w:val="continue"/>
            <w:vAlign w:val="center"/>
          </w:tcPr>
          <w:p w14:paraId="393FB72F">
            <w:pPr>
              <w:pStyle w:val="22"/>
              <w:jc w:val="center"/>
              <w:rPr>
                <w:rFonts w:hint="eastAsia" w:ascii="宋体" w:hAnsi="Times New Roman" w:eastAsia="宋体" w:cs="Times New Roman"/>
                <w:color w:val="auto"/>
                <w:kern w:val="2"/>
                <w:sz w:val="18"/>
                <w:szCs w:val="20"/>
                <w:lang w:val="en-US" w:eastAsia="zh-CN" w:bidi="ar-SA"/>
              </w:rPr>
            </w:pPr>
          </w:p>
        </w:tc>
        <w:tc>
          <w:tcPr>
            <w:tcW w:w="1273" w:type="dxa"/>
            <w:vMerge w:val="continue"/>
            <w:vAlign w:val="center"/>
          </w:tcPr>
          <w:p w14:paraId="28EB0B50">
            <w:pPr>
              <w:pStyle w:val="22"/>
              <w:jc w:val="center"/>
              <w:rPr>
                <w:rFonts w:hint="eastAsia" w:ascii="宋体" w:hAnsi="Times New Roman" w:eastAsia="宋体" w:cs="Times New Roman"/>
                <w:color w:val="auto"/>
                <w:kern w:val="2"/>
                <w:sz w:val="18"/>
                <w:szCs w:val="20"/>
                <w:lang w:val="en-US" w:eastAsia="zh-CN" w:bidi="ar-SA"/>
              </w:rPr>
            </w:pPr>
          </w:p>
        </w:tc>
        <w:tc>
          <w:tcPr>
            <w:tcW w:w="790" w:type="dxa"/>
            <w:vAlign w:val="center"/>
          </w:tcPr>
          <w:p w14:paraId="32DE5EFD">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3.2</w:t>
            </w:r>
          </w:p>
        </w:tc>
        <w:tc>
          <w:tcPr>
            <w:tcW w:w="2399" w:type="dxa"/>
            <w:vAlign w:val="center"/>
          </w:tcPr>
          <w:p w14:paraId="33D4EF80">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出库前外包装查验不到位，造成次品出库</w:t>
            </w:r>
          </w:p>
        </w:tc>
        <w:tc>
          <w:tcPr>
            <w:tcW w:w="928" w:type="dxa"/>
            <w:vAlign w:val="center"/>
          </w:tcPr>
          <w:p w14:paraId="550139BB">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操作风险</w:t>
            </w:r>
          </w:p>
        </w:tc>
        <w:tc>
          <w:tcPr>
            <w:tcW w:w="963" w:type="dxa"/>
            <w:vAlign w:val="center"/>
          </w:tcPr>
          <w:p w14:paraId="52298BFB">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Ⅱ级</w:t>
            </w:r>
          </w:p>
        </w:tc>
        <w:tc>
          <w:tcPr>
            <w:tcW w:w="1400" w:type="dxa"/>
            <w:vAlign w:val="center"/>
          </w:tcPr>
          <w:p w14:paraId="3AD37D75">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严格按比例对产品进行查验，并保留影像资料</w:t>
            </w:r>
          </w:p>
        </w:tc>
      </w:tr>
      <w:tr w14:paraId="7B1323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545" w:type="dxa"/>
            <w:vMerge w:val="continue"/>
            <w:tcBorders>
              <w:bottom w:val="single" w:color="auto" w:sz="4" w:space="0"/>
            </w:tcBorders>
            <w:vAlign w:val="center"/>
          </w:tcPr>
          <w:p w14:paraId="6608E6FB">
            <w:pPr>
              <w:pStyle w:val="22"/>
              <w:jc w:val="center"/>
              <w:rPr>
                <w:rFonts w:hint="eastAsia" w:ascii="宋体" w:hAnsi="Times New Roman" w:eastAsia="宋体" w:cs="Times New Roman"/>
                <w:color w:val="auto"/>
                <w:kern w:val="2"/>
                <w:sz w:val="18"/>
                <w:szCs w:val="20"/>
                <w:lang w:val="en-US" w:eastAsia="zh-CN" w:bidi="ar-SA"/>
              </w:rPr>
            </w:pPr>
          </w:p>
        </w:tc>
        <w:tc>
          <w:tcPr>
            <w:tcW w:w="1273" w:type="dxa"/>
            <w:vMerge w:val="continue"/>
            <w:tcBorders>
              <w:bottom w:val="single" w:color="auto" w:sz="4" w:space="0"/>
            </w:tcBorders>
            <w:vAlign w:val="center"/>
          </w:tcPr>
          <w:p w14:paraId="7C539C17">
            <w:pPr>
              <w:pStyle w:val="22"/>
              <w:jc w:val="center"/>
              <w:rPr>
                <w:rFonts w:hint="eastAsia" w:ascii="宋体" w:hAnsi="Times New Roman" w:eastAsia="宋体" w:cs="Times New Roman"/>
                <w:color w:val="auto"/>
                <w:kern w:val="2"/>
                <w:sz w:val="18"/>
                <w:szCs w:val="20"/>
                <w:lang w:val="en-US" w:eastAsia="zh-CN" w:bidi="ar-SA"/>
              </w:rPr>
            </w:pPr>
          </w:p>
        </w:tc>
        <w:tc>
          <w:tcPr>
            <w:tcW w:w="790" w:type="dxa"/>
            <w:tcBorders>
              <w:bottom w:val="single" w:color="auto" w:sz="4" w:space="0"/>
            </w:tcBorders>
            <w:shd w:val="clear" w:color="auto" w:fill="auto"/>
            <w:vAlign w:val="center"/>
          </w:tcPr>
          <w:p w14:paraId="6DA66BAE">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3.3</w:t>
            </w:r>
          </w:p>
        </w:tc>
        <w:tc>
          <w:tcPr>
            <w:tcW w:w="2399" w:type="dxa"/>
            <w:shd w:val="clear" w:color="auto" w:fill="auto"/>
            <w:vAlign w:val="center"/>
          </w:tcPr>
          <w:p w14:paraId="5DD5EA43">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叉车搬运不当，破坏产品包装，使产品受污染</w:t>
            </w:r>
          </w:p>
        </w:tc>
        <w:tc>
          <w:tcPr>
            <w:tcW w:w="928" w:type="dxa"/>
            <w:shd w:val="clear" w:color="auto" w:fill="auto"/>
            <w:vAlign w:val="center"/>
          </w:tcPr>
          <w:p w14:paraId="15F03597">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操作风险</w:t>
            </w:r>
          </w:p>
        </w:tc>
        <w:tc>
          <w:tcPr>
            <w:tcW w:w="963" w:type="dxa"/>
            <w:shd w:val="clear" w:color="auto" w:fill="auto"/>
            <w:vAlign w:val="center"/>
          </w:tcPr>
          <w:p w14:paraId="545826BD">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Ⅱ级</w:t>
            </w:r>
          </w:p>
        </w:tc>
        <w:tc>
          <w:tcPr>
            <w:tcW w:w="1400" w:type="dxa"/>
            <w:shd w:val="clear" w:color="auto" w:fill="auto"/>
            <w:vAlign w:val="center"/>
          </w:tcPr>
          <w:p w14:paraId="5645D26D">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叉车工持证上岗；选择仓储条件和人员素质过硬的仓储公司合作避免人为造成产品破损；及时剔除不合格产品</w:t>
            </w:r>
          </w:p>
        </w:tc>
      </w:tr>
    </w:tbl>
    <w:p w14:paraId="2EAE14DF">
      <w:pPr>
        <w:spacing w:line="21" w:lineRule="exact"/>
        <w:rPr>
          <w:color w:val="auto"/>
          <w:sz w:val="2"/>
          <w:szCs w:val="2"/>
        </w:rPr>
        <w:sectPr>
          <w:headerReference r:id="rId11" w:type="default"/>
          <w:footerReference r:id="rId12" w:type="default"/>
          <w:pgSz w:w="11906" w:h="16838"/>
          <w:pgMar w:top="1440" w:right="1803" w:bottom="1440" w:left="1803" w:header="850" w:footer="992" w:gutter="0"/>
          <w:pgBorders>
            <w:top w:val="none" w:sz="0" w:space="0"/>
            <w:left w:val="none" w:sz="0" w:space="0"/>
            <w:bottom w:val="none" w:sz="0" w:space="0"/>
            <w:right w:val="none" w:sz="0" w:space="0"/>
          </w:pgBorders>
          <w:pgNumType w:fmt="decimal"/>
          <w:cols w:space="0" w:num="1"/>
          <w:rtlGutter w:val="0"/>
          <w:docGrid w:linePitch="0" w:charSpace="0"/>
        </w:sectPr>
      </w:pPr>
    </w:p>
    <w:p w14:paraId="45BB8636">
      <w:pPr>
        <w:pStyle w:val="18"/>
        <w:numPr>
          <w:ilvl w:val="3"/>
          <w:numId w:val="0"/>
        </w:numPr>
        <w:spacing w:before="120" w:after="120"/>
        <w:ind w:left="0" w:leftChars="0" w:firstLine="0" w:firstLineChars="0"/>
        <w:outlineLvl w:val="1"/>
        <w:rPr>
          <w:rFonts w:hint="eastAsia" w:ascii="宋体" w:hAnsi="Times New Roman" w:eastAsia="宋体" w:cs="Times New Roman"/>
          <w:color w:val="auto"/>
          <w:sz w:val="21"/>
          <w:lang w:val="en-US" w:eastAsia="zh-CN" w:bidi="ar-SA"/>
        </w:rPr>
      </w:pPr>
      <w:bookmarkStart w:id="29" w:name="_Toc961409013"/>
      <w:r>
        <w:rPr>
          <w:rFonts w:hint="eastAsia" w:ascii="宋体" w:hAnsi="Times New Roman" w:eastAsia="宋体" w:cs="Times New Roman"/>
          <w:color w:val="auto"/>
          <w:sz w:val="21"/>
          <w:lang w:val="en-US" w:eastAsia="zh-CN" w:bidi="ar-SA"/>
        </w:rPr>
        <w:t>A.1.5  流通/分销风险</w:t>
      </w:r>
      <w:bookmarkEnd w:id="29"/>
    </w:p>
    <w:tbl>
      <w:tblPr>
        <w:tblStyle w:val="21"/>
        <w:tblW w:w="829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45"/>
        <w:gridCol w:w="1273"/>
        <w:gridCol w:w="790"/>
        <w:gridCol w:w="2395"/>
        <w:gridCol w:w="932"/>
        <w:gridCol w:w="963"/>
        <w:gridCol w:w="1400"/>
      </w:tblGrid>
      <w:tr w14:paraId="6F9210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1" w:hRule="atLeast"/>
        </w:trPr>
        <w:tc>
          <w:tcPr>
            <w:tcW w:w="545" w:type="dxa"/>
            <w:shd w:val="clear" w:color="auto" w:fill="auto"/>
            <w:vAlign w:val="center"/>
          </w:tcPr>
          <w:p w14:paraId="69F2A4B8">
            <w:pPr>
              <w:pStyle w:val="23"/>
              <w:ind w:firstLine="0" w:firstLineChars="0"/>
              <w:jc w:val="center"/>
              <w:rPr>
                <w:rFonts w:hint="eastAsia" w:ascii="宋体" w:hAnsi="Times New Roman" w:eastAsia="宋体" w:cs="Times New Roman"/>
                <w:color w:val="auto"/>
                <w:sz w:val="18"/>
                <w:lang w:val="en-US" w:eastAsia="zh-CN" w:bidi="ar-SA"/>
              </w:rPr>
            </w:pPr>
            <w:r>
              <w:rPr>
                <w:rFonts w:hint="eastAsia"/>
                <w:color w:val="auto"/>
              </w:rPr>
              <w:t>序号</w:t>
            </w:r>
          </w:p>
        </w:tc>
        <w:tc>
          <w:tcPr>
            <w:tcW w:w="1273" w:type="dxa"/>
            <w:shd w:val="clear" w:color="auto" w:fill="auto"/>
            <w:vAlign w:val="center"/>
          </w:tcPr>
          <w:p w14:paraId="1C311487">
            <w:pPr>
              <w:pStyle w:val="23"/>
              <w:ind w:firstLine="0" w:firstLineChars="0"/>
              <w:jc w:val="center"/>
              <w:rPr>
                <w:rFonts w:hint="eastAsia" w:ascii="宋体" w:hAnsi="Times New Roman" w:eastAsia="宋体" w:cs="Times New Roman"/>
                <w:color w:val="auto"/>
                <w:sz w:val="18"/>
                <w:lang w:val="en-US" w:eastAsia="zh-CN" w:bidi="ar-SA"/>
              </w:rPr>
            </w:pPr>
            <w:r>
              <w:rPr>
                <w:rFonts w:hint="eastAsia"/>
                <w:color w:val="auto"/>
              </w:rPr>
              <w:t>环节</w:t>
            </w:r>
          </w:p>
        </w:tc>
        <w:tc>
          <w:tcPr>
            <w:tcW w:w="790" w:type="dxa"/>
            <w:shd w:val="clear" w:color="auto" w:fill="auto"/>
            <w:vAlign w:val="center"/>
          </w:tcPr>
          <w:p w14:paraId="21B1D5EE">
            <w:pPr>
              <w:pStyle w:val="23"/>
              <w:ind w:firstLine="0" w:firstLineChars="0"/>
              <w:jc w:val="center"/>
              <w:rPr>
                <w:rFonts w:hint="eastAsia" w:ascii="宋体" w:hAnsi="Times New Roman" w:eastAsia="宋体" w:cs="Times New Roman"/>
                <w:color w:val="auto"/>
                <w:sz w:val="18"/>
                <w:lang w:val="en-US" w:eastAsia="zh-CN" w:bidi="ar-SA"/>
              </w:rPr>
            </w:pPr>
            <w:r>
              <w:rPr>
                <w:rFonts w:hint="eastAsia"/>
                <w:color w:val="auto"/>
                <w:lang w:val="en-US" w:eastAsia="zh-CN"/>
              </w:rPr>
              <w:t>风险</w:t>
            </w:r>
            <w:r>
              <w:rPr>
                <w:rFonts w:hint="eastAsia" w:ascii="宋体" w:eastAsia="宋体"/>
                <w:color w:val="auto"/>
                <w:lang w:val="en-US" w:eastAsia="zh-CN"/>
              </w:rPr>
              <w:t>编号</w:t>
            </w:r>
          </w:p>
        </w:tc>
        <w:tc>
          <w:tcPr>
            <w:tcW w:w="2395" w:type="dxa"/>
            <w:shd w:val="clear" w:color="auto" w:fill="auto"/>
            <w:vAlign w:val="center"/>
          </w:tcPr>
          <w:p w14:paraId="1050A7A8">
            <w:pPr>
              <w:pStyle w:val="23"/>
              <w:ind w:firstLine="0" w:firstLineChars="0"/>
              <w:jc w:val="center"/>
              <w:rPr>
                <w:rFonts w:hint="eastAsia" w:ascii="宋体" w:hAnsi="Times New Roman" w:eastAsia="宋体" w:cs="Times New Roman"/>
                <w:color w:val="auto"/>
                <w:sz w:val="18"/>
                <w:lang w:val="en-US" w:eastAsia="zh-CN" w:bidi="ar-SA"/>
              </w:rPr>
            </w:pPr>
            <w:r>
              <w:rPr>
                <w:rFonts w:hint="eastAsia" w:ascii="宋体" w:eastAsia="宋体"/>
                <w:color w:val="auto"/>
                <w:lang w:val="en-US" w:eastAsia="zh-CN"/>
              </w:rPr>
              <w:t>风险描述</w:t>
            </w:r>
          </w:p>
        </w:tc>
        <w:tc>
          <w:tcPr>
            <w:tcW w:w="932" w:type="dxa"/>
            <w:shd w:val="clear" w:color="auto" w:fill="auto"/>
            <w:vAlign w:val="center"/>
          </w:tcPr>
          <w:p w14:paraId="2B9CB6F3">
            <w:pPr>
              <w:pStyle w:val="23"/>
              <w:ind w:firstLine="0" w:firstLineChars="0"/>
              <w:jc w:val="center"/>
              <w:rPr>
                <w:rFonts w:hint="eastAsia" w:ascii="宋体" w:hAnsi="Times New Roman" w:eastAsia="宋体" w:cs="Times New Roman"/>
                <w:color w:val="auto"/>
                <w:sz w:val="18"/>
                <w:lang w:val="en-US" w:eastAsia="zh-CN" w:bidi="ar-SA"/>
              </w:rPr>
            </w:pPr>
            <w:r>
              <w:rPr>
                <w:rFonts w:hint="eastAsia" w:ascii="宋体" w:eastAsia="宋体"/>
                <w:color w:val="auto"/>
                <w:lang w:val="en-US" w:eastAsia="zh-CN"/>
              </w:rPr>
              <w:t>风险类型</w:t>
            </w:r>
          </w:p>
        </w:tc>
        <w:tc>
          <w:tcPr>
            <w:tcW w:w="963" w:type="dxa"/>
            <w:shd w:val="clear" w:color="auto" w:fill="auto"/>
            <w:vAlign w:val="center"/>
          </w:tcPr>
          <w:p w14:paraId="2A8A7C0C">
            <w:pPr>
              <w:pStyle w:val="23"/>
              <w:ind w:firstLine="0" w:firstLineChars="0"/>
              <w:jc w:val="center"/>
              <w:rPr>
                <w:rFonts w:hint="eastAsia" w:ascii="宋体" w:hAnsi="Times New Roman" w:eastAsia="宋体" w:cs="Times New Roman"/>
                <w:color w:val="auto"/>
                <w:sz w:val="18"/>
                <w:lang w:val="en-US" w:eastAsia="zh-CN" w:bidi="ar-SA"/>
              </w:rPr>
            </w:pPr>
            <w:r>
              <w:rPr>
                <w:rFonts w:hint="eastAsia" w:ascii="宋体" w:eastAsia="宋体"/>
                <w:color w:val="auto"/>
                <w:lang w:val="en-US" w:eastAsia="zh-CN"/>
              </w:rPr>
              <w:t>风险等级</w:t>
            </w:r>
          </w:p>
        </w:tc>
        <w:tc>
          <w:tcPr>
            <w:tcW w:w="1400" w:type="dxa"/>
            <w:shd w:val="clear" w:color="auto" w:fill="auto"/>
            <w:vAlign w:val="center"/>
          </w:tcPr>
          <w:p w14:paraId="242C208E">
            <w:pPr>
              <w:pStyle w:val="23"/>
              <w:ind w:firstLine="0" w:firstLineChars="0"/>
              <w:jc w:val="center"/>
              <w:rPr>
                <w:rFonts w:hint="eastAsia" w:ascii="宋体" w:hAnsi="Times New Roman" w:eastAsia="宋体" w:cs="Times New Roman"/>
                <w:color w:val="auto"/>
                <w:sz w:val="18"/>
                <w:lang w:val="en-US" w:eastAsia="zh-CN" w:bidi="ar-SA"/>
              </w:rPr>
            </w:pPr>
            <w:r>
              <w:rPr>
                <w:rFonts w:hint="eastAsia" w:ascii="宋体" w:eastAsia="宋体"/>
                <w:color w:val="auto"/>
                <w:lang w:val="en-US" w:eastAsia="zh-CN"/>
              </w:rPr>
              <w:t>主要控制措施</w:t>
            </w:r>
          </w:p>
        </w:tc>
      </w:tr>
      <w:tr w14:paraId="1D4A42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545" w:type="dxa"/>
            <w:vMerge w:val="restart"/>
            <w:tcBorders>
              <w:bottom w:val="nil"/>
            </w:tcBorders>
            <w:vAlign w:val="center"/>
          </w:tcPr>
          <w:p w14:paraId="4098A4E4">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1</w:t>
            </w:r>
          </w:p>
        </w:tc>
        <w:tc>
          <w:tcPr>
            <w:tcW w:w="1273" w:type="dxa"/>
            <w:vMerge w:val="restart"/>
            <w:tcBorders>
              <w:bottom w:val="nil"/>
            </w:tcBorders>
            <w:vAlign w:val="center"/>
          </w:tcPr>
          <w:p w14:paraId="3EAFBE96">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物流管理</w:t>
            </w:r>
          </w:p>
        </w:tc>
        <w:tc>
          <w:tcPr>
            <w:tcW w:w="790" w:type="dxa"/>
            <w:vAlign w:val="center"/>
          </w:tcPr>
          <w:p w14:paraId="6844CCED">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1.1</w:t>
            </w:r>
          </w:p>
        </w:tc>
        <w:tc>
          <w:tcPr>
            <w:tcW w:w="2395" w:type="dxa"/>
            <w:vAlign w:val="center"/>
          </w:tcPr>
          <w:p w14:paraId="7151B375">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运输车辆运输过农、化肥等有毒有害品成产品外包装污染</w:t>
            </w:r>
          </w:p>
        </w:tc>
        <w:tc>
          <w:tcPr>
            <w:tcW w:w="932" w:type="dxa"/>
            <w:vAlign w:val="center"/>
          </w:tcPr>
          <w:p w14:paraId="4E4FD645">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操作风险</w:t>
            </w:r>
          </w:p>
        </w:tc>
        <w:tc>
          <w:tcPr>
            <w:tcW w:w="963" w:type="dxa"/>
            <w:vAlign w:val="center"/>
          </w:tcPr>
          <w:p w14:paraId="3DAEB53C">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Ⅱ级</w:t>
            </w:r>
          </w:p>
        </w:tc>
        <w:tc>
          <w:tcPr>
            <w:tcW w:w="1400" w:type="dxa"/>
            <w:vMerge w:val="restart"/>
            <w:tcBorders>
              <w:bottom w:val="nil"/>
            </w:tcBorders>
            <w:vAlign w:val="center"/>
          </w:tcPr>
          <w:p w14:paraId="37BEE05B">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与物流商的合同中明确注意事项，定期对物流商进行评价</w:t>
            </w:r>
          </w:p>
        </w:tc>
      </w:tr>
      <w:tr w14:paraId="1218F4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545" w:type="dxa"/>
            <w:vMerge w:val="continue"/>
            <w:tcBorders>
              <w:top w:val="nil"/>
              <w:bottom w:val="nil"/>
            </w:tcBorders>
            <w:vAlign w:val="center"/>
          </w:tcPr>
          <w:p w14:paraId="55BF264A">
            <w:pPr>
              <w:pStyle w:val="22"/>
              <w:jc w:val="center"/>
              <w:rPr>
                <w:rFonts w:hint="eastAsia" w:ascii="宋体" w:hAnsi="Times New Roman" w:eastAsia="宋体" w:cs="Times New Roman"/>
                <w:color w:val="auto"/>
                <w:kern w:val="2"/>
                <w:sz w:val="18"/>
                <w:szCs w:val="20"/>
                <w:lang w:val="en-US" w:eastAsia="zh-CN" w:bidi="ar-SA"/>
              </w:rPr>
            </w:pPr>
          </w:p>
        </w:tc>
        <w:tc>
          <w:tcPr>
            <w:tcW w:w="1273" w:type="dxa"/>
            <w:vMerge w:val="continue"/>
            <w:tcBorders>
              <w:top w:val="nil"/>
              <w:bottom w:val="nil"/>
            </w:tcBorders>
            <w:vAlign w:val="center"/>
          </w:tcPr>
          <w:p w14:paraId="1823D3F6">
            <w:pPr>
              <w:pStyle w:val="22"/>
              <w:jc w:val="center"/>
              <w:rPr>
                <w:rFonts w:hint="eastAsia" w:ascii="宋体" w:hAnsi="Times New Roman" w:eastAsia="宋体" w:cs="Times New Roman"/>
                <w:color w:val="auto"/>
                <w:kern w:val="2"/>
                <w:sz w:val="18"/>
                <w:szCs w:val="20"/>
                <w:lang w:val="en-US" w:eastAsia="zh-CN" w:bidi="ar-SA"/>
              </w:rPr>
            </w:pPr>
          </w:p>
        </w:tc>
        <w:tc>
          <w:tcPr>
            <w:tcW w:w="790" w:type="dxa"/>
            <w:vAlign w:val="center"/>
          </w:tcPr>
          <w:p w14:paraId="09B52CEE">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1.2</w:t>
            </w:r>
          </w:p>
        </w:tc>
        <w:tc>
          <w:tcPr>
            <w:tcW w:w="2395" w:type="dxa"/>
            <w:vAlign w:val="center"/>
          </w:tcPr>
          <w:p w14:paraId="3ACB8C10">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运输过程遭受雨淋或潮湿造成产品外包装污染</w:t>
            </w:r>
          </w:p>
        </w:tc>
        <w:tc>
          <w:tcPr>
            <w:tcW w:w="932" w:type="dxa"/>
            <w:vAlign w:val="center"/>
          </w:tcPr>
          <w:p w14:paraId="592055BB">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操作风险</w:t>
            </w:r>
          </w:p>
        </w:tc>
        <w:tc>
          <w:tcPr>
            <w:tcW w:w="963" w:type="dxa"/>
            <w:vAlign w:val="center"/>
          </w:tcPr>
          <w:p w14:paraId="03A3A1A2">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Ⅲ级</w:t>
            </w:r>
          </w:p>
        </w:tc>
        <w:tc>
          <w:tcPr>
            <w:tcW w:w="1400" w:type="dxa"/>
            <w:vMerge w:val="continue"/>
            <w:tcBorders>
              <w:top w:val="nil"/>
              <w:bottom w:val="nil"/>
            </w:tcBorders>
            <w:vAlign w:val="center"/>
          </w:tcPr>
          <w:p w14:paraId="7008639E">
            <w:pPr>
              <w:pStyle w:val="22"/>
              <w:jc w:val="center"/>
              <w:rPr>
                <w:rFonts w:hint="eastAsia" w:ascii="宋体" w:hAnsi="Times New Roman" w:eastAsia="宋体" w:cs="Times New Roman"/>
                <w:color w:val="auto"/>
                <w:kern w:val="2"/>
                <w:sz w:val="18"/>
                <w:szCs w:val="20"/>
                <w:lang w:val="en-US" w:eastAsia="zh-CN" w:bidi="ar-SA"/>
              </w:rPr>
            </w:pPr>
          </w:p>
        </w:tc>
      </w:tr>
      <w:tr w14:paraId="34AE59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545" w:type="dxa"/>
            <w:vMerge w:val="continue"/>
            <w:tcBorders>
              <w:top w:val="nil"/>
              <w:bottom w:val="nil"/>
            </w:tcBorders>
            <w:vAlign w:val="center"/>
          </w:tcPr>
          <w:p w14:paraId="1FF17E4F">
            <w:pPr>
              <w:pStyle w:val="22"/>
              <w:jc w:val="center"/>
              <w:rPr>
                <w:rFonts w:hint="eastAsia" w:ascii="宋体" w:hAnsi="Times New Roman" w:eastAsia="宋体" w:cs="Times New Roman"/>
                <w:color w:val="auto"/>
                <w:kern w:val="2"/>
                <w:sz w:val="18"/>
                <w:szCs w:val="20"/>
                <w:lang w:val="en-US" w:eastAsia="zh-CN" w:bidi="ar-SA"/>
              </w:rPr>
            </w:pPr>
          </w:p>
        </w:tc>
        <w:tc>
          <w:tcPr>
            <w:tcW w:w="1273" w:type="dxa"/>
            <w:vMerge w:val="continue"/>
            <w:tcBorders>
              <w:top w:val="nil"/>
              <w:bottom w:val="nil"/>
            </w:tcBorders>
            <w:vAlign w:val="center"/>
          </w:tcPr>
          <w:p w14:paraId="1964EAF9">
            <w:pPr>
              <w:pStyle w:val="22"/>
              <w:jc w:val="center"/>
              <w:rPr>
                <w:rFonts w:hint="eastAsia" w:ascii="宋体" w:hAnsi="Times New Roman" w:eastAsia="宋体" w:cs="Times New Roman"/>
                <w:color w:val="auto"/>
                <w:kern w:val="2"/>
                <w:sz w:val="18"/>
                <w:szCs w:val="20"/>
                <w:lang w:val="en-US" w:eastAsia="zh-CN" w:bidi="ar-SA"/>
              </w:rPr>
            </w:pPr>
          </w:p>
        </w:tc>
        <w:tc>
          <w:tcPr>
            <w:tcW w:w="790" w:type="dxa"/>
            <w:vAlign w:val="center"/>
          </w:tcPr>
          <w:p w14:paraId="741CB7F0">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1.3</w:t>
            </w:r>
          </w:p>
        </w:tc>
        <w:tc>
          <w:tcPr>
            <w:tcW w:w="2395" w:type="dxa"/>
            <w:vAlign w:val="center"/>
          </w:tcPr>
          <w:p w14:paraId="54AF7C5E">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多次周转或造成产品丢失、外包装破损</w:t>
            </w:r>
          </w:p>
        </w:tc>
        <w:tc>
          <w:tcPr>
            <w:tcW w:w="932" w:type="dxa"/>
            <w:vAlign w:val="center"/>
          </w:tcPr>
          <w:p w14:paraId="1577F3F1">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操作风险</w:t>
            </w:r>
          </w:p>
        </w:tc>
        <w:tc>
          <w:tcPr>
            <w:tcW w:w="963" w:type="dxa"/>
            <w:vAlign w:val="center"/>
          </w:tcPr>
          <w:p w14:paraId="4A33C0B8">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Ⅲ级</w:t>
            </w:r>
          </w:p>
        </w:tc>
        <w:tc>
          <w:tcPr>
            <w:tcW w:w="1400" w:type="dxa"/>
            <w:vMerge w:val="continue"/>
            <w:tcBorders>
              <w:top w:val="nil"/>
              <w:bottom w:val="nil"/>
            </w:tcBorders>
            <w:vAlign w:val="center"/>
          </w:tcPr>
          <w:p w14:paraId="1E557D65">
            <w:pPr>
              <w:pStyle w:val="22"/>
              <w:jc w:val="center"/>
              <w:rPr>
                <w:rFonts w:hint="eastAsia" w:ascii="宋体" w:hAnsi="Times New Roman" w:eastAsia="宋体" w:cs="Times New Roman"/>
                <w:color w:val="auto"/>
                <w:kern w:val="2"/>
                <w:sz w:val="18"/>
                <w:szCs w:val="20"/>
                <w:lang w:val="en-US" w:eastAsia="zh-CN" w:bidi="ar-SA"/>
              </w:rPr>
            </w:pPr>
          </w:p>
        </w:tc>
      </w:tr>
      <w:tr w14:paraId="7FC7E4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545" w:type="dxa"/>
            <w:vMerge w:val="continue"/>
            <w:tcBorders>
              <w:top w:val="nil"/>
              <w:bottom w:val="nil"/>
            </w:tcBorders>
            <w:vAlign w:val="center"/>
          </w:tcPr>
          <w:p w14:paraId="230DDB05">
            <w:pPr>
              <w:pStyle w:val="22"/>
              <w:jc w:val="center"/>
              <w:rPr>
                <w:rFonts w:hint="eastAsia" w:ascii="宋体" w:hAnsi="Times New Roman" w:eastAsia="宋体" w:cs="Times New Roman"/>
                <w:color w:val="auto"/>
                <w:kern w:val="2"/>
                <w:sz w:val="18"/>
                <w:szCs w:val="20"/>
                <w:lang w:val="en-US" w:eastAsia="zh-CN" w:bidi="ar-SA"/>
              </w:rPr>
            </w:pPr>
          </w:p>
        </w:tc>
        <w:tc>
          <w:tcPr>
            <w:tcW w:w="1273" w:type="dxa"/>
            <w:vMerge w:val="continue"/>
            <w:tcBorders>
              <w:top w:val="nil"/>
              <w:bottom w:val="nil"/>
            </w:tcBorders>
            <w:vAlign w:val="center"/>
          </w:tcPr>
          <w:p w14:paraId="404B7B5B">
            <w:pPr>
              <w:pStyle w:val="22"/>
              <w:jc w:val="center"/>
              <w:rPr>
                <w:rFonts w:hint="eastAsia" w:ascii="宋体" w:hAnsi="Times New Roman" w:eastAsia="宋体" w:cs="Times New Roman"/>
                <w:color w:val="auto"/>
                <w:kern w:val="2"/>
                <w:sz w:val="18"/>
                <w:szCs w:val="20"/>
                <w:lang w:val="en-US" w:eastAsia="zh-CN" w:bidi="ar-SA"/>
              </w:rPr>
            </w:pPr>
          </w:p>
        </w:tc>
        <w:tc>
          <w:tcPr>
            <w:tcW w:w="790" w:type="dxa"/>
            <w:vAlign w:val="center"/>
          </w:tcPr>
          <w:p w14:paraId="0C0ED9AF">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1.4</w:t>
            </w:r>
          </w:p>
        </w:tc>
        <w:tc>
          <w:tcPr>
            <w:tcW w:w="2395" w:type="dxa"/>
            <w:vAlign w:val="center"/>
          </w:tcPr>
          <w:p w14:paraId="40DA3E06">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收发货未与物流确认详细数量造成产品短缺，产生争议</w:t>
            </w:r>
          </w:p>
        </w:tc>
        <w:tc>
          <w:tcPr>
            <w:tcW w:w="932" w:type="dxa"/>
            <w:vAlign w:val="center"/>
          </w:tcPr>
          <w:p w14:paraId="7B2283FC">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操作风险</w:t>
            </w:r>
          </w:p>
        </w:tc>
        <w:tc>
          <w:tcPr>
            <w:tcW w:w="963" w:type="dxa"/>
            <w:vAlign w:val="center"/>
          </w:tcPr>
          <w:p w14:paraId="2C0E1356">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Ⅲ级</w:t>
            </w:r>
          </w:p>
        </w:tc>
        <w:tc>
          <w:tcPr>
            <w:tcW w:w="1400" w:type="dxa"/>
            <w:vMerge w:val="continue"/>
            <w:tcBorders>
              <w:top w:val="nil"/>
              <w:bottom w:val="nil"/>
            </w:tcBorders>
            <w:vAlign w:val="center"/>
          </w:tcPr>
          <w:p w14:paraId="54841DAD">
            <w:pPr>
              <w:pStyle w:val="22"/>
              <w:jc w:val="center"/>
              <w:rPr>
                <w:rFonts w:hint="eastAsia" w:ascii="宋体" w:hAnsi="Times New Roman" w:eastAsia="宋体" w:cs="Times New Roman"/>
                <w:color w:val="auto"/>
                <w:kern w:val="2"/>
                <w:sz w:val="18"/>
                <w:szCs w:val="20"/>
                <w:lang w:val="en-US" w:eastAsia="zh-CN" w:bidi="ar-SA"/>
              </w:rPr>
            </w:pPr>
          </w:p>
        </w:tc>
      </w:tr>
      <w:tr w14:paraId="6BC9F8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545" w:type="dxa"/>
            <w:vMerge w:val="continue"/>
            <w:tcBorders>
              <w:top w:val="nil"/>
              <w:bottom w:val="single" w:color="auto" w:sz="4" w:space="0"/>
            </w:tcBorders>
            <w:vAlign w:val="center"/>
          </w:tcPr>
          <w:p w14:paraId="7584C7E2">
            <w:pPr>
              <w:pStyle w:val="22"/>
              <w:jc w:val="center"/>
              <w:rPr>
                <w:rFonts w:hint="eastAsia" w:ascii="宋体" w:hAnsi="Times New Roman" w:eastAsia="宋体" w:cs="Times New Roman"/>
                <w:color w:val="auto"/>
                <w:kern w:val="2"/>
                <w:sz w:val="18"/>
                <w:szCs w:val="20"/>
                <w:lang w:val="en-US" w:eastAsia="zh-CN" w:bidi="ar-SA"/>
              </w:rPr>
            </w:pPr>
          </w:p>
        </w:tc>
        <w:tc>
          <w:tcPr>
            <w:tcW w:w="1273" w:type="dxa"/>
            <w:vMerge w:val="continue"/>
            <w:tcBorders>
              <w:top w:val="nil"/>
              <w:bottom w:val="single" w:color="auto" w:sz="4" w:space="0"/>
            </w:tcBorders>
            <w:vAlign w:val="center"/>
          </w:tcPr>
          <w:p w14:paraId="5EB4E287">
            <w:pPr>
              <w:pStyle w:val="22"/>
              <w:jc w:val="center"/>
              <w:rPr>
                <w:rFonts w:hint="eastAsia" w:ascii="宋体" w:hAnsi="Times New Roman" w:eastAsia="宋体" w:cs="Times New Roman"/>
                <w:color w:val="auto"/>
                <w:kern w:val="2"/>
                <w:sz w:val="18"/>
                <w:szCs w:val="20"/>
                <w:lang w:val="en-US" w:eastAsia="zh-CN" w:bidi="ar-SA"/>
              </w:rPr>
            </w:pPr>
          </w:p>
        </w:tc>
        <w:tc>
          <w:tcPr>
            <w:tcW w:w="790" w:type="dxa"/>
            <w:tcBorders>
              <w:bottom w:val="single" w:color="auto" w:sz="4" w:space="0"/>
            </w:tcBorders>
            <w:vAlign w:val="center"/>
          </w:tcPr>
          <w:p w14:paraId="62B37093">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1.5</w:t>
            </w:r>
          </w:p>
        </w:tc>
        <w:tc>
          <w:tcPr>
            <w:tcW w:w="2395" w:type="dxa"/>
            <w:vAlign w:val="center"/>
          </w:tcPr>
          <w:p w14:paraId="73F43F21">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物流车辆中途发生事故，造成产品丢失</w:t>
            </w:r>
          </w:p>
        </w:tc>
        <w:tc>
          <w:tcPr>
            <w:tcW w:w="932" w:type="dxa"/>
            <w:vAlign w:val="center"/>
          </w:tcPr>
          <w:p w14:paraId="00A9748A">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操作风险</w:t>
            </w:r>
          </w:p>
        </w:tc>
        <w:tc>
          <w:tcPr>
            <w:tcW w:w="963" w:type="dxa"/>
            <w:vAlign w:val="center"/>
          </w:tcPr>
          <w:p w14:paraId="12C22479">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Ⅲ级</w:t>
            </w:r>
          </w:p>
        </w:tc>
        <w:tc>
          <w:tcPr>
            <w:tcW w:w="1400" w:type="dxa"/>
            <w:vMerge w:val="continue"/>
            <w:tcBorders>
              <w:top w:val="nil"/>
              <w:bottom w:val="single" w:color="auto" w:sz="4" w:space="0"/>
            </w:tcBorders>
            <w:vAlign w:val="center"/>
          </w:tcPr>
          <w:p w14:paraId="117ED0C7">
            <w:pPr>
              <w:pStyle w:val="22"/>
              <w:jc w:val="center"/>
              <w:rPr>
                <w:rFonts w:hint="eastAsia" w:ascii="宋体" w:hAnsi="Times New Roman" w:eastAsia="宋体" w:cs="Times New Roman"/>
                <w:color w:val="auto"/>
                <w:kern w:val="2"/>
                <w:sz w:val="18"/>
                <w:szCs w:val="20"/>
                <w:lang w:val="en-US" w:eastAsia="zh-CN" w:bidi="ar-SA"/>
              </w:rPr>
            </w:pPr>
          </w:p>
        </w:tc>
      </w:tr>
      <w:tr w14:paraId="704484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545" w:type="dxa"/>
            <w:vMerge w:val="restart"/>
            <w:tcBorders>
              <w:top w:val="single" w:color="auto" w:sz="4" w:space="0"/>
            </w:tcBorders>
            <w:vAlign w:val="center"/>
          </w:tcPr>
          <w:p w14:paraId="0D45C34A">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2</w:t>
            </w:r>
          </w:p>
        </w:tc>
        <w:tc>
          <w:tcPr>
            <w:tcW w:w="1273" w:type="dxa"/>
            <w:vMerge w:val="restart"/>
            <w:tcBorders>
              <w:top w:val="single" w:color="auto" w:sz="4" w:space="0"/>
            </w:tcBorders>
            <w:vAlign w:val="center"/>
          </w:tcPr>
          <w:p w14:paraId="30EA3FB2">
            <w:pPr>
              <w:pStyle w:val="22"/>
              <w:jc w:val="center"/>
              <w:rPr>
                <w:rFonts w:hint="eastAsia" w:ascii="宋体" w:hAnsi="Times New Roman" w:eastAsia="宋体" w:cs="Times New Roman"/>
                <w:color w:val="auto"/>
                <w:kern w:val="2"/>
                <w:sz w:val="18"/>
                <w:szCs w:val="20"/>
                <w:lang w:val="en-US" w:eastAsia="en-US" w:bidi="ar-SA"/>
              </w:rPr>
            </w:pPr>
            <w:r>
              <w:rPr>
                <w:rFonts w:hint="eastAsia" w:ascii="宋体" w:hAnsi="Times New Roman" w:eastAsia="宋体" w:cs="Times New Roman"/>
                <w:color w:val="auto"/>
                <w:kern w:val="2"/>
                <w:sz w:val="18"/>
                <w:szCs w:val="20"/>
                <w:lang w:val="en-US" w:eastAsia="en-US" w:bidi="ar-SA"/>
              </w:rPr>
              <w:t>渠道产品</w:t>
            </w:r>
          </w:p>
          <w:p w14:paraId="371B55EA">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en-US" w:bidi="ar-SA"/>
              </w:rPr>
              <w:t>管理</w:t>
            </w:r>
          </w:p>
        </w:tc>
        <w:tc>
          <w:tcPr>
            <w:tcW w:w="790" w:type="dxa"/>
            <w:tcBorders>
              <w:top w:val="single" w:color="auto" w:sz="4" w:space="0"/>
              <w:bottom w:val="single" w:color="auto" w:sz="4" w:space="0"/>
            </w:tcBorders>
            <w:shd w:val="clear" w:color="auto" w:fill="auto"/>
            <w:vAlign w:val="center"/>
          </w:tcPr>
          <w:p w14:paraId="6C4B7339">
            <w:pPr>
              <w:pStyle w:val="22"/>
              <w:jc w:val="center"/>
              <w:rPr>
                <w:rFonts w:hint="eastAsia" w:ascii="宋体" w:hAnsi="Times New Roman" w:eastAsia="宋体" w:cs="Times New Roman"/>
                <w:color w:val="auto"/>
                <w:kern w:val="2"/>
                <w:sz w:val="18"/>
                <w:szCs w:val="20"/>
                <w:lang w:val="en-US" w:eastAsia="en-US" w:bidi="ar-SA"/>
              </w:rPr>
            </w:pPr>
            <w:r>
              <w:rPr>
                <w:rFonts w:hint="eastAsia" w:ascii="宋体" w:hAnsi="Times New Roman" w:eastAsia="宋体" w:cs="Times New Roman"/>
                <w:color w:val="auto"/>
                <w:kern w:val="2"/>
                <w:sz w:val="18"/>
                <w:szCs w:val="20"/>
                <w:lang w:val="en-US" w:eastAsia="zh-CN" w:bidi="ar-SA"/>
              </w:rPr>
              <w:t>2.1</w:t>
            </w:r>
          </w:p>
        </w:tc>
        <w:tc>
          <w:tcPr>
            <w:tcW w:w="2395" w:type="dxa"/>
            <w:shd w:val="clear" w:color="auto" w:fill="auto"/>
            <w:vAlign w:val="center"/>
          </w:tcPr>
          <w:p w14:paraId="366AEFA4">
            <w:pPr>
              <w:pStyle w:val="22"/>
              <w:jc w:val="center"/>
              <w:rPr>
                <w:rFonts w:hint="eastAsia" w:ascii="宋体" w:hAnsi="Times New Roman" w:eastAsia="宋体" w:cs="Times New Roman"/>
                <w:color w:val="auto"/>
                <w:kern w:val="2"/>
                <w:sz w:val="18"/>
                <w:szCs w:val="20"/>
                <w:lang w:val="en-US" w:eastAsia="en-US" w:bidi="ar-SA"/>
              </w:rPr>
            </w:pPr>
            <w:r>
              <w:rPr>
                <w:rFonts w:hint="eastAsia" w:ascii="宋体" w:hAnsi="Times New Roman" w:eastAsia="宋体" w:cs="Times New Roman"/>
                <w:color w:val="auto"/>
                <w:kern w:val="2"/>
                <w:sz w:val="18"/>
                <w:szCs w:val="20"/>
                <w:lang w:val="en-US" w:eastAsia="zh-CN" w:bidi="ar-SA"/>
              </w:rPr>
              <w:t>没有与经销商签订经销合同</w:t>
            </w:r>
          </w:p>
        </w:tc>
        <w:tc>
          <w:tcPr>
            <w:tcW w:w="932" w:type="dxa"/>
            <w:shd w:val="clear" w:color="auto" w:fill="auto"/>
            <w:vAlign w:val="center"/>
          </w:tcPr>
          <w:p w14:paraId="6D1CF2F2">
            <w:pPr>
              <w:pStyle w:val="22"/>
              <w:jc w:val="center"/>
              <w:rPr>
                <w:rFonts w:hint="eastAsia" w:ascii="宋体" w:hAnsi="Times New Roman" w:eastAsia="宋体" w:cs="Times New Roman"/>
                <w:color w:val="auto"/>
                <w:kern w:val="2"/>
                <w:sz w:val="18"/>
                <w:szCs w:val="20"/>
                <w:lang w:val="en-US" w:eastAsia="en-US" w:bidi="ar-SA"/>
              </w:rPr>
            </w:pPr>
            <w:r>
              <w:rPr>
                <w:rFonts w:hint="eastAsia" w:ascii="宋体" w:hAnsi="Times New Roman" w:eastAsia="宋体" w:cs="Times New Roman"/>
                <w:color w:val="auto"/>
                <w:kern w:val="2"/>
                <w:sz w:val="18"/>
                <w:szCs w:val="20"/>
                <w:lang w:val="en-US" w:eastAsia="zh-CN" w:bidi="ar-SA"/>
              </w:rPr>
              <w:t>管理风险</w:t>
            </w:r>
          </w:p>
        </w:tc>
        <w:tc>
          <w:tcPr>
            <w:tcW w:w="963" w:type="dxa"/>
            <w:shd w:val="clear" w:color="auto" w:fill="auto"/>
            <w:vAlign w:val="center"/>
          </w:tcPr>
          <w:p w14:paraId="5C2583A1">
            <w:pPr>
              <w:pStyle w:val="22"/>
              <w:jc w:val="center"/>
              <w:rPr>
                <w:rFonts w:hint="eastAsia" w:ascii="宋体" w:hAnsi="Times New Roman" w:eastAsia="宋体" w:cs="Times New Roman"/>
                <w:color w:val="auto"/>
                <w:kern w:val="2"/>
                <w:sz w:val="18"/>
                <w:szCs w:val="20"/>
                <w:lang w:val="en-US" w:eastAsia="en-US" w:bidi="ar-SA"/>
              </w:rPr>
            </w:pPr>
            <w:r>
              <w:rPr>
                <w:rFonts w:hint="eastAsia" w:ascii="宋体" w:hAnsi="Times New Roman" w:eastAsia="宋体" w:cs="Times New Roman"/>
                <w:color w:val="auto"/>
                <w:kern w:val="2"/>
                <w:sz w:val="18"/>
                <w:szCs w:val="20"/>
                <w:lang w:val="en-US" w:eastAsia="zh-CN" w:bidi="ar-SA"/>
              </w:rPr>
              <w:t>Ⅱ级</w:t>
            </w:r>
          </w:p>
        </w:tc>
        <w:tc>
          <w:tcPr>
            <w:tcW w:w="1400" w:type="dxa"/>
            <w:vMerge w:val="restart"/>
            <w:tcBorders>
              <w:top w:val="single" w:color="auto" w:sz="4" w:space="0"/>
            </w:tcBorders>
            <w:vAlign w:val="center"/>
          </w:tcPr>
          <w:p w14:paraId="12C9EAEC">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严格经销商审批流程</w:t>
            </w:r>
          </w:p>
        </w:tc>
      </w:tr>
      <w:tr w14:paraId="6C39F9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545" w:type="dxa"/>
            <w:vMerge w:val="continue"/>
            <w:vAlign w:val="center"/>
          </w:tcPr>
          <w:p w14:paraId="45D0CF02">
            <w:pPr>
              <w:pStyle w:val="22"/>
              <w:jc w:val="center"/>
              <w:rPr>
                <w:rFonts w:hint="eastAsia" w:ascii="宋体" w:hAnsi="Times New Roman" w:eastAsia="宋体" w:cs="Times New Roman"/>
                <w:color w:val="auto"/>
                <w:kern w:val="2"/>
                <w:sz w:val="18"/>
                <w:szCs w:val="20"/>
                <w:lang w:val="en-US" w:eastAsia="zh-CN" w:bidi="ar-SA"/>
              </w:rPr>
            </w:pPr>
          </w:p>
        </w:tc>
        <w:tc>
          <w:tcPr>
            <w:tcW w:w="1273" w:type="dxa"/>
            <w:vMerge w:val="continue"/>
            <w:vAlign w:val="center"/>
          </w:tcPr>
          <w:p w14:paraId="687AE945">
            <w:pPr>
              <w:pStyle w:val="22"/>
              <w:jc w:val="center"/>
              <w:rPr>
                <w:rFonts w:hint="eastAsia" w:ascii="宋体" w:hAnsi="Times New Roman" w:eastAsia="宋体" w:cs="Times New Roman"/>
                <w:color w:val="auto"/>
                <w:kern w:val="2"/>
                <w:sz w:val="18"/>
                <w:szCs w:val="20"/>
                <w:lang w:val="en-US" w:eastAsia="zh-CN" w:bidi="ar-SA"/>
              </w:rPr>
            </w:pPr>
          </w:p>
        </w:tc>
        <w:tc>
          <w:tcPr>
            <w:tcW w:w="790" w:type="dxa"/>
            <w:tcBorders>
              <w:top w:val="single" w:color="auto" w:sz="4" w:space="0"/>
              <w:bottom w:val="single" w:color="auto" w:sz="4" w:space="0"/>
            </w:tcBorders>
            <w:shd w:val="clear" w:color="auto" w:fill="auto"/>
            <w:vAlign w:val="center"/>
          </w:tcPr>
          <w:p w14:paraId="27218F30">
            <w:pPr>
              <w:pStyle w:val="22"/>
              <w:jc w:val="center"/>
              <w:rPr>
                <w:rFonts w:hint="eastAsia" w:ascii="宋体" w:hAnsi="Times New Roman" w:eastAsia="宋体" w:cs="Times New Roman"/>
                <w:color w:val="auto"/>
                <w:kern w:val="2"/>
                <w:sz w:val="18"/>
                <w:szCs w:val="20"/>
                <w:lang w:val="en-US" w:eastAsia="en-US" w:bidi="ar-SA"/>
              </w:rPr>
            </w:pPr>
            <w:r>
              <w:rPr>
                <w:rFonts w:hint="eastAsia" w:ascii="宋体" w:hAnsi="Times New Roman" w:eastAsia="宋体" w:cs="Times New Roman"/>
                <w:color w:val="auto"/>
                <w:kern w:val="2"/>
                <w:sz w:val="18"/>
                <w:szCs w:val="20"/>
                <w:lang w:val="en-US" w:eastAsia="zh-CN" w:bidi="ar-SA"/>
              </w:rPr>
              <w:t>2.2</w:t>
            </w:r>
          </w:p>
        </w:tc>
        <w:tc>
          <w:tcPr>
            <w:tcW w:w="2395" w:type="dxa"/>
            <w:shd w:val="clear" w:color="auto" w:fill="auto"/>
            <w:vAlign w:val="center"/>
          </w:tcPr>
          <w:p w14:paraId="20EF95E0">
            <w:pPr>
              <w:pStyle w:val="22"/>
              <w:jc w:val="center"/>
              <w:rPr>
                <w:rFonts w:hint="eastAsia" w:ascii="宋体" w:hAnsi="Times New Roman" w:eastAsia="宋体" w:cs="Times New Roman"/>
                <w:color w:val="auto"/>
                <w:kern w:val="2"/>
                <w:sz w:val="18"/>
                <w:szCs w:val="20"/>
                <w:lang w:val="en-US" w:eastAsia="en-US" w:bidi="ar-SA"/>
              </w:rPr>
            </w:pPr>
            <w:r>
              <w:rPr>
                <w:rFonts w:hint="eastAsia" w:ascii="宋体" w:hAnsi="Times New Roman" w:eastAsia="宋体" w:cs="Times New Roman"/>
                <w:color w:val="auto"/>
                <w:kern w:val="2"/>
                <w:sz w:val="18"/>
                <w:szCs w:val="20"/>
                <w:lang w:val="en-US" w:eastAsia="zh-CN" w:bidi="ar-SA"/>
              </w:rPr>
              <w:t>没有规定经销商的经销渠道和范围</w:t>
            </w:r>
          </w:p>
        </w:tc>
        <w:tc>
          <w:tcPr>
            <w:tcW w:w="932" w:type="dxa"/>
            <w:shd w:val="clear" w:color="auto" w:fill="auto"/>
            <w:vAlign w:val="center"/>
          </w:tcPr>
          <w:p w14:paraId="2A165666">
            <w:pPr>
              <w:pStyle w:val="22"/>
              <w:jc w:val="center"/>
              <w:rPr>
                <w:rFonts w:hint="eastAsia" w:ascii="宋体" w:hAnsi="Times New Roman" w:eastAsia="宋体" w:cs="Times New Roman"/>
                <w:color w:val="auto"/>
                <w:kern w:val="2"/>
                <w:sz w:val="18"/>
                <w:szCs w:val="20"/>
                <w:lang w:val="en-US" w:eastAsia="en-US" w:bidi="ar-SA"/>
              </w:rPr>
            </w:pPr>
            <w:r>
              <w:rPr>
                <w:rFonts w:hint="eastAsia" w:ascii="宋体" w:hAnsi="Times New Roman" w:eastAsia="宋体" w:cs="Times New Roman"/>
                <w:color w:val="auto"/>
                <w:kern w:val="2"/>
                <w:sz w:val="18"/>
                <w:szCs w:val="20"/>
                <w:lang w:val="en-US" w:eastAsia="zh-CN" w:bidi="ar-SA"/>
              </w:rPr>
              <w:t>管理风险</w:t>
            </w:r>
          </w:p>
        </w:tc>
        <w:tc>
          <w:tcPr>
            <w:tcW w:w="963" w:type="dxa"/>
            <w:shd w:val="clear" w:color="auto" w:fill="auto"/>
            <w:vAlign w:val="center"/>
          </w:tcPr>
          <w:p w14:paraId="7B8FB154">
            <w:pPr>
              <w:pStyle w:val="22"/>
              <w:jc w:val="center"/>
              <w:rPr>
                <w:rFonts w:hint="eastAsia" w:ascii="宋体" w:hAnsi="Times New Roman" w:eastAsia="宋体" w:cs="Times New Roman"/>
                <w:color w:val="auto"/>
                <w:kern w:val="2"/>
                <w:sz w:val="18"/>
                <w:szCs w:val="20"/>
                <w:lang w:val="en-US" w:eastAsia="en-US" w:bidi="ar-SA"/>
              </w:rPr>
            </w:pPr>
            <w:r>
              <w:rPr>
                <w:rFonts w:hint="eastAsia" w:ascii="宋体" w:hAnsi="Times New Roman" w:eastAsia="宋体" w:cs="Times New Roman"/>
                <w:color w:val="auto"/>
                <w:kern w:val="2"/>
                <w:sz w:val="18"/>
                <w:szCs w:val="20"/>
                <w:lang w:val="en-US" w:eastAsia="zh-CN" w:bidi="ar-SA"/>
              </w:rPr>
              <w:t>Ⅱ级</w:t>
            </w:r>
          </w:p>
        </w:tc>
        <w:tc>
          <w:tcPr>
            <w:tcW w:w="1400" w:type="dxa"/>
            <w:vMerge w:val="continue"/>
            <w:tcBorders>
              <w:bottom w:val="single" w:color="auto" w:sz="4" w:space="0"/>
            </w:tcBorders>
            <w:vAlign w:val="center"/>
          </w:tcPr>
          <w:p w14:paraId="45EABF4A">
            <w:pPr>
              <w:pStyle w:val="22"/>
              <w:jc w:val="center"/>
              <w:rPr>
                <w:rFonts w:hint="eastAsia" w:ascii="宋体" w:hAnsi="Times New Roman" w:eastAsia="宋体" w:cs="Times New Roman"/>
                <w:color w:val="auto"/>
                <w:kern w:val="2"/>
                <w:sz w:val="18"/>
                <w:szCs w:val="20"/>
                <w:lang w:val="en-US" w:eastAsia="zh-CN" w:bidi="ar-SA"/>
              </w:rPr>
            </w:pPr>
          </w:p>
        </w:tc>
      </w:tr>
      <w:tr w14:paraId="331A56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545" w:type="dxa"/>
            <w:vMerge w:val="continue"/>
            <w:vAlign w:val="center"/>
          </w:tcPr>
          <w:p w14:paraId="337BDD34">
            <w:pPr>
              <w:pStyle w:val="22"/>
              <w:jc w:val="center"/>
              <w:rPr>
                <w:rFonts w:hint="eastAsia" w:ascii="宋体" w:hAnsi="Times New Roman" w:eastAsia="宋体" w:cs="Times New Roman"/>
                <w:color w:val="auto"/>
                <w:kern w:val="2"/>
                <w:sz w:val="18"/>
                <w:szCs w:val="20"/>
                <w:lang w:val="en-US" w:eastAsia="zh-CN" w:bidi="ar-SA"/>
              </w:rPr>
            </w:pPr>
          </w:p>
        </w:tc>
        <w:tc>
          <w:tcPr>
            <w:tcW w:w="1273" w:type="dxa"/>
            <w:vMerge w:val="continue"/>
            <w:vAlign w:val="center"/>
          </w:tcPr>
          <w:p w14:paraId="47095AD8">
            <w:pPr>
              <w:pStyle w:val="22"/>
              <w:jc w:val="center"/>
              <w:rPr>
                <w:rFonts w:hint="eastAsia" w:ascii="宋体" w:hAnsi="Times New Roman" w:eastAsia="宋体" w:cs="Times New Roman"/>
                <w:color w:val="auto"/>
                <w:kern w:val="2"/>
                <w:sz w:val="18"/>
                <w:szCs w:val="20"/>
                <w:lang w:val="en-US" w:eastAsia="zh-CN" w:bidi="ar-SA"/>
              </w:rPr>
            </w:pPr>
          </w:p>
        </w:tc>
        <w:tc>
          <w:tcPr>
            <w:tcW w:w="790" w:type="dxa"/>
            <w:tcBorders>
              <w:top w:val="single" w:color="auto" w:sz="4" w:space="0"/>
              <w:bottom w:val="single" w:color="auto" w:sz="4" w:space="0"/>
            </w:tcBorders>
            <w:shd w:val="clear" w:color="auto" w:fill="auto"/>
            <w:vAlign w:val="center"/>
          </w:tcPr>
          <w:p w14:paraId="3DAA8A83">
            <w:pPr>
              <w:pStyle w:val="22"/>
              <w:jc w:val="center"/>
              <w:rPr>
                <w:rFonts w:hint="eastAsia" w:ascii="宋体" w:hAnsi="Times New Roman" w:eastAsia="宋体" w:cs="Times New Roman"/>
                <w:color w:val="auto"/>
                <w:kern w:val="2"/>
                <w:sz w:val="18"/>
                <w:szCs w:val="20"/>
                <w:lang w:val="en-US" w:eastAsia="en-US" w:bidi="ar-SA"/>
              </w:rPr>
            </w:pPr>
            <w:r>
              <w:rPr>
                <w:rFonts w:hint="eastAsia" w:ascii="宋体" w:hAnsi="Times New Roman" w:eastAsia="宋体" w:cs="Times New Roman"/>
                <w:color w:val="auto"/>
                <w:kern w:val="2"/>
                <w:sz w:val="18"/>
                <w:szCs w:val="20"/>
                <w:lang w:val="en-US" w:eastAsia="zh-CN" w:bidi="ar-SA"/>
              </w:rPr>
              <w:t>2.3</w:t>
            </w:r>
          </w:p>
        </w:tc>
        <w:tc>
          <w:tcPr>
            <w:tcW w:w="2395" w:type="dxa"/>
            <w:shd w:val="clear" w:color="auto" w:fill="auto"/>
            <w:vAlign w:val="center"/>
          </w:tcPr>
          <w:p w14:paraId="27E89FE6">
            <w:pPr>
              <w:pStyle w:val="22"/>
              <w:jc w:val="center"/>
              <w:rPr>
                <w:rFonts w:hint="eastAsia" w:ascii="宋体" w:hAnsi="Times New Roman" w:eastAsia="宋体" w:cs="Times New Roman"/>
                <w:color w:val="auto"/>
                <w:kern w:val="2"/>
                <w:sz w:val="18"/>
                <w:szCs w:val="20"/>
                <w:lang w:val="en-US" w:eastAsia="en-US" w:bidi="ar-SA"/>
              </w:rPr>
            </w:pPr>
            <w:r>
              <w:rPr>
                <w:rFonts w:hint="eastAsia" w:ascii="宋体" w:hAnsi="Times New Roman" w:eastAsia="宋体" w:cs="Times New Roman"/>
                <w:color w:val="auto"/>
                <w:kern w:val="2"/>
                <w:sz w:val="18"/>
                <w:szCs w:val="20"/>
                <w:lang w:val="en-US" w:eastAsia="zh-CN" w:bidi="ar-SA"/>
              </w:rPr>
              <w:t>未规范不同经销商的经销价格</w:t>
            </w:r>
          </w:p>
        </w:tc>
        <w:tc>
          <w:tcPr>
            <w:tcW w:w="932" w:type="dxa"/>
            <w:shd w:val="clear" w:color="auto" w:fill="auto"/>
            <w:vAlign w:val="center"/>
          </w:tcPr>
          <w:p w14:paraId="27B3C13F">
            <w:pPr>
              <w:pStyle w:val="22"/>
              <w:jc w:val="center"/>
              <w:rPr>
                <w:rFonts w:hint="eastAsia" w:ascii="宋体" w:hAnsi="Times New Roman" w:eastAsia="宋体" w:cs="Times New Roman"/>
                <w:color w:val="auto"/>
                <w:kern w:val="2"/>
                <w:sz w:val="18"/>
                <w:szCs w:val="20"/>
                <w:lang w:val="en-US" w:eastAsia="en-US" w:bidi="ar-SA"/>
              </w:rPr>
            </w:pPr>
            <w:r>
              <w:rPr>
                <w:rFonts w:hint="eastAsia" w:ascii="宋体" w:hAnsi="Times New Roman" w:eastAsia="宋体" w:cs="Times New Roman"/>
                <w:color w:val="auto"/>
                <w:kern w:val="2"/>
                <w:sz w:val="18"/>
                <w:szCs w:val="20"/>
                <w:lang w:val="en-US" w:eastAsia="zh-CN" w:bidi="ar-SA"/>
              </w:rPr>
              <w:t>管理风险</w:t>
            </w:r>
          </w:p>
        </w:tc>
        <w:tc>
          <w:tcPr>
            <w:tcW w:w="963" w:type="dxa"/>
            <w:shd w:val="clear" w:color="auto" w:fill="auto"/>
            <w:vAlign w:val="center"/>
          </w:tcPr>
          <w:p w14:paraId="6C8C7E58">
            <w:pPr>
              <w:pStyle w:val="22"/>
              <w:jc w:val="center"/>
              <w:rPr>
                <w:rFonts w:hint="eastAsia" w:ascii="宋体" w:hAnsi="Times New Roman" w:eastAsia="宋体" w:cs="Times New Roman"/>
                <w:color w:val="auto"/>
                <w:kern w:val="2"/>
                <w:sz w:val="18"/>
                <w:szCs w:val="20"/>
                <w:lang w:val="en-US" w:eastAsia="en-US" w:bidi="ar-SA"/>
              </w:rPr>
            </w:pPr>
            <w:r>
              <w:rPr>
                <w:rFonts w:hint="eastAsia" w:ascii="宋体" w:hAnsi="Times New Roman" w:eastAsia="宋体" w:cs="Times New Roman"/>
                <w:color w:val="auto"/>
                <w:kern w:val="2"/>
                <w:sz w:val="18"/>
                <w:szCs w:val="20"/>
                <w:lang w:val="en-US" w:eastAsia="zh-CN" w:bidi="ar-SA"/>
              </w:rPr>
              <w:t>Ⅱ级</w:t>
            </w:r>
          </w:p>
        </w:tc>
        <w:tc>
          <w:tcPr>
            <w:tcW w:w="1400" w:type="dxa"/>
            <w:vMerge w:val="restart"/>
            <w:tcBorders>
              <w:top w:val="single" w:color="auto" w:sz="4" w:space="0"/>
            </w:tcBorders>
            <w:vAlign w:val="center"/>
          </w:tcPr>
          <w:p w14:paraId="08E2887A">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加强巡检</w:t>
            </w:r>
          </w:p>
        </w:tc>
      </w:tr>
      <w:tr w14:paraId="15E75B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545" w:type="dxa"/>
            <w:vMerge w:val="continue"/>
            <w:vAlign w:val="center"/>
          </w:tcPr>
          <w:p w14:paraId="220FF5CF">
            <w:pPr>
              <w:pStyle w:val="22"/>
              <w:jc w:val="center"/>
              <w:rPr>
                <w:rFonts w:hint="eastAsia" w:ascii="宋体" w:hAnsi="Times New Roman" w:eastAsia="宋体" w:cs="Times New Roman"/>
                <w:color w:val="auto"/>
                <w:kern w:val="2"/>
                <w:sz w:val="18"/>
                <w:szCs w:val="20"/>
                <w:lang w:val="en-US" w:eastAsia="zh-CN" w:bidi="ar-SA"/>
              </w:rPr>
            </w:pPr>
          </w:p>
        </w:tc>
        <w:tc>
          <w:tcPr>
            <w:tcW w:w="1273" w:type="dxa"/>
            <w:vMerge w:val="continue"/>
            <w:vAlign w:val="center"/>
          </w:tcPr>
          <w:p w14:paraId="03647FEF">
            <w:pPr>
              <w:pStyle w:val="22"/>
              <w:jc w:val="center"/>
              <w:rPr>
                <w:rFonts w:hint="eastAsia" w:ascii="宋体" w:hAnsi="Times New Roman" w:eastAsia="宋体" w:cs="Times New Roman"/>
                <w:color w:val="auto"/>
                <w:kern w:val="2"/>
                <w:sz w:val="18"/>
                <w:szCs w:val="20"/>
                <w:lang w:val="en-US" w:eastAsia="zh-CN" w:bidi="ar-SA"/>
              </w:rPr>
            </w:pPr>
          </w:p>
        </w:tc>
        <w:tc>
          <w:tcPr>
            <w:tcW w:w="790" w:type="dxa"/>
            <w:tcBorders>
              <w:top w:val="single" w:color="auto" w:sz="4" w:space="0"/>
              <w:bottom w:val="single" w:color="auto" w:sz="4" w:space="0"/>
            </w:tcBorders>
            <w:shd w:val="clear" w:color="auto" w:fill="auto"/>
            <w:vAlign w:val="center"/>
          </w:tcPr>
          <w:p w14:paraId="61BD4221">
            <w:pPr>
              <w:pStyle w:val="22"/>
              <w:jc w:val="center"/>
              <w:rPr>
                <w:rFonts w:hint="eastAsia" w:ascii="宋体" w:hAnsi="Times New Roman" w:eastAsia="宋体" w:cs="Times New Roman"/>
                <w:color w:val="auto"/>
                <w:kern w:val="2"/>
                <w:sz w:val="18"/>
                <w:szCs w:val="20"/>
                <w:lang w:val="en-US" w:eastAsia="en-US" w:bidi="ar-SA"/>
              </w:rPr>
            </w:pPr>
            <w:r>
              <w:rPr>
                <w:rFonts w:hint="eastAsia" w:ascii="宋体" w:hAnsi="Times New Roman" w:eastAsia="宋体" w:cs="Times New Roman"/>
                <w:color w:val="auto"/>
                <w:kern w:val="2"/>
                <w:sz w:val="18"/>
                <w:szCs w:val="20"/>
                <w:lang w:val="en-US" w:eastAsia="zh-CN" w:bidi="ar-SA"/>
              </w:rPr>
              <w:t>2.4</w:t>
            </w:r>
          </w:p>
        </w:tc>
        <w:tc>
          <w:tcPr>
            <w:tcW w:w="2395" w:type="dxa"/>
            <w:shd w:val="clear" w:color="auto" w:fill="auto"/>
            <w:vAlign w:val="center"/>
          </w:tcPr>
          <w:p w14:paraId="09FDE360">
            <w:pPr>
              <w:pStyle w:val="22"/>
              <w:jc w:val="center"/>
              <w:rPr>
                <w:rFonts w:hint="eastAsia" w:ascii="宋体" w:hAnsi="Times New Roman" w:eastAsia="宋体" w:cs="Times New Roman"/>
                <w:color w:val="auto"/>
                <w:kern w:val="2"/>
                <w:sz w:val="18"/>
                <w:szCs w:val="20"/>
                <w:lang w:val="en-US" w:eastAsia="en-US" w:bidi="ar-SA"/>
              </w:rPr>
            </w:pPr>
            <w:r>
              <w:rPr>
                <w:rFonts w:hint="eastAsia" w:ascii="宋体" w:hAnsi="Times New Roman" w:eastAsia="宋体" w:cs="Times New Roman"/>
                <w:color w:val="auto"/>
                <w:kern w:val="2"/>
                <w:sz w:val="18"/>
                <w:szCs w:val="20"/>
                <w:lang w:val="en-US" w:eastAsia="zh-CN" w:bidi="ar-SA"/>
              </w:rPr>
              <w:t>经销商资质发生变化而未能及时发现</w:t>
            </w:r>
          </w:p>
        </w:tc>
        <w:tc>
          <w:tcPr>
            <w:tcW w:w="932" w:type="dxa"/>
            <w:shd w:val="clear" w:color="auto" w:fill="auto"/>
            <w:vAlign w:val="center"/>
          </w:tcPr>
          <w:p w14:paraId="4A3B7351">
            <w:pPr>
              <w:pStyle w:val="22"/>
              <w:jc w:val="center"/>
              <w:rPr>
                <w:rFonts w:hint="eastAsia" w:ascii="宋体" w:hAnsi="Times New Roman" w:eastAsia="宋体" w:cs="Times New Roman"/>
                <w:color w:val="auto"/>
                <w:kern w:val="2"/>
                <w:sz w:val="18"/>
                <w:szCs w:val="20"/>
                <w:lang w:val="en-US" w:eastAsia="en-US" w:bidi="ar-SA"/>
              </w:rPr>
            </w:pPr>
            <w:r>
              <w:rPr>
                <w:rFonts w:hint="eastAsia" w:ascii="宋体" w:hAnsi="Times New Roman" w:eastAsia="宋体" w:cs="Times New Roman"/>
                <w:color w:val="auto"/>
                <w:kern w:val="2"/>
                <w:sz w:val="18"/>
                <w:szCs w:val="20"/>
                <w:lang w:val="en-US" w:eastAsia="zh-CN" w:bidi="ar-SA"/>
              </w:rPr>
              <w:t>管理风险</w:t>
            </w:r>
          </w:p>
        </w:tc>
        <w:tc>
          <w:tcPr>
            <w:tcW w:w="963" w:type="dxa"/>
            <w:shd w:val="clear" w:color="auto" w:fill="auto"/>
            <w:vAlign w:val="center"/>
          </w:tcPr>
          <w:p w14:paraId="38F381D0">
            <w:pPr>
              <w:pStyle w:val="22"/>
              <w:jc w:val="center"/>
              <w:rPr>
                <w:rFonts w:hint="eastAsia" w:ascii="宋体" w:hAnsi="Times New Roman" w:eastAsia="宋体" w:cs="Times New Roman"/>
                <w:color w:val="auto"/>
                <w:kern w:val="2"/>
                <w:sz w:val="18"/>
                <w:szCs w:val="20"/>
                <w:lang w:val="en-US" w:eastAsia="en-US" w:bidi="ar-SA"/>
              </w:rPr>
            </w:pPr>
            <w:r>
              <w:rPr>
                <w:rFonts w:hint="eastAsia" w:ascii="宋体" w:hAnsi="Times New Roman" w:eastAsia="宋体" w:cs="Times New Roman"/>
                <w:color w:val="auto"/>
                <w:kern w:val="2"/>
                <w:sz w:val="18"/>
                <w:szCs w:val="20"/>
                <w:lang w:val="en-US" w:eastAsia="zh-CN" w:bidi="ar-SA"/>
              </w:rPr>
              <w:t>Ⅱ级</w:t>
            </w:r>
          </w:p>
        </w:tc>
        <w:tc>
          <w:tcPr>
            <w:tcW w:w="1400" w:type="dxa"/>
            <w:vMerge w:val="continue"/>
            <w:vAlign w:val="center"/>
          </w:tcPr>
          <w:p w14:paraId="61A7F513">
            <w:pPr>
              <w:pStyle w:val="22"/>
              <w:jc w:val="center"/>
              <w:rPr>
                <w:rFonts w:hint="eastAsia" w:ascii="宋体" w:hAnsi="Times New Roman" w:eastAsia="宋体" w:cs="Times New Roman"/>
                <w:color w:val="auto"/>
                <w:kern w:val="2"/>
                <w:sz w:val="18"/>
                <w:szCs w:val="20"/>
                <w:lang w:val="en-US" w:eastAsia="zh-CN" w:bidi="ar-SA"/>
              </w:rPr>
            </w:pPr>
          </w:p>
        </w:tc>
      </w:tr>
      <w:tr w14:paraId="773C7F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545" w:type="dxa"/>
            <w:vMerge w:val="continue"/>
            <w:vAlign w:val="center"/>
          </w:tcPr>
          <w:p w14:paraId="6E24CFF0">
            <w:pPr>
              <w:pStyle w:val="22"/>
              <w:jc w:val="center"/>
              <w:rPr>
                <w:rFonts w:hint="eastAsia" w:ascii="宋体" w:hAnsi="Times New Roman" w:eastAsia="宋体" w:cs="Times New Roman"/>
                <w:color w:val="auto"/>
                <w:kern w:val="2"/>
                <w:sz w:val="18"/>
                <w:szCs w:val="20"/>
                <w:lang w:val="en-US" w:eastAsia="zh-CN" w:bidi="ar-SA"/>
              </w:rPr>
            </w:pPr>
          </w:p>
        </w:tc>
        <w:tc>
          <w:tcPr>
            <w:tcW w:w="1273" w:type="dxa"/>
            <w:vMerge w:val="continue"/>
            <w:vAlign w:val="center"/>
          </w:tcPr>
          <w:p w14:paraId="5872885B">
            <w:pPr>
              <w:pStyle w:val="22"/>
              <w:jc w:val="center"/>
              <w:rPr>
                <w:rFonts w:hint="eastAsia" w:ascii="宋体" w:hAnsi="Times New Roman" w:eastAsia="宋体" w:cs="Times New Roman"/>
                <w:color w:val="auto"/>
                <w:kern w:val="2"/>
                <w:sz w:val="18"/>
                <w:szCs w:val="20"/>
                <w:lang w:val="en-US" w:eastAsia="zh-CN" w:bidi="ar-SA"/>
              </w:rPr>
            </w:pPr>
          </w:p>
        </w:tc>
        <w:tc>
          <w:tcPr>
            <w:tcW w:w="790" w:type="dxa"/>
            <w:tcBorders>
              <w:top w:val="single" w:color="auto" w:sz="4" w:space="0"/>
              <w:bottom w:val="single" w:color="auto" w:sz="4" w:space="0"/>
            </w:tcBorders>
            <w:shd w:val="clear" w:color="auto" w:fill="auto"/>
            <w:vAlign w:val="center"/>
          </w:tcPr>
          <w:p w14:paraId="64A0F0C0">
            <w:pPr>
              <w:pStyle w:val="22"/>
              <w:jc w:val="center"/>
              <w:rPr>
                <w:rFonts w:hint="eastAsia" w:ascii="宋体" w:hAnsi="Times New Roman" w:eastAsia="宋体" w:cs="Times New Roman"/>
                <w:color w:val="auto"/>
                <w:kern w:val="2"/>
                <w:sz w:val="18"/>
                <w:szCs w:val="20"/>
                <w:lang w:val="en-US" w:eastAsia="en-US" w:bidi="ar-SA"/>
              </w:rPr>
            </w:pPr>
            <w:r>
              <w:rPr>
                <w:rFonts w:hint="eastAsia" w:ascii="宋体" w:hAnsi="Times New Roman" w:eastAsia="宋体" w:cs="Times New Roman"/>
                <w:color w:val="auto"/>
                <w:kern w:val="2"/>
                <w:sz w:val="18"/>
                <w:szCs w:val="20"/>
                <w:lang w:val="en-US" w:eastAsia="zh-CN" w:bidi="ar-SA"/>
              </w:rPr>
              <w:t>2.5</w:t>
            </w:r>
          </w:p>
        </w:tc>
        <w:tc>
          <w:tcPr>
            <w:tcW w:w="2395" w:type="dxa"/>
            <w:shd w:val="clear" w:color="auto" w:fill="auto"/>
            <w:vAlign w:val="center"/>
          </w:tcPr>
          <w:p w14:paraId="0A7A63BC">
            <w:pPr>
              <w:pStyle w:val="22"/>
              <w:jc w:val="center"/>
              <w:rPr>
                <w:rFonts w:hint="eastAsia" w:ascii="宋体" w:hAnsi="Times New Roman" w:eastAsia="宋体" w:cs="Times New Roman"/>
                <w:color w:val="auto"/>
                <w:kern w:val="2"/>
                <w:sz w:val="18"/>
                <w:szCs w:val="20"/>
                <w:lang w:val="en-US" w:eastAsia="en-US" w:bidi="ar-SA"/>
              </w:rPr>
            </w:pPr>
            <w:r>
              <w:rPr>
                <w:rFonts w:hint="eastAsia" w:ascii="宋体" w:hAnsi="Times New Roman" w:eastAsia="宋体" w:cs="Times New Roman"/>
                <w:color w:val="auto"/>
                <w:kern w:val="2"/>
                <w:sz w:val="18"/>
                <w:szCs w:val="20"/>
                <w:lang w:val="en-US" w:eastAsia="zh-CN" w:bidi="ar-SA"/>
              </w:rPr>
              <w:t>经销商囤货过多，导致产品滞期，变价销售</w:t>
            </w:r>
          </w:p>
        </w:tc>
        <w:tc>
          <w:tcPr>
            <w:tcW w:w="932" w:type="dxa"/>
            <w:shd w:val="clear" w:color="auto" w:fill="auto"/>
            <w:vAlign w:val="center"/>
          </w:tcPr>
          <w:p w14:paraId="453FBAE2">
            <w:pPr>
              <w:pStyle w:val="22"/>
              <w:jc w:val="center"/>
              <w:rPr>
                <w:rFonts w:hint="eastAsia" w:ascii="宋体" w:hAnsi="Times New Roman" w:eastAsia="宋体" w:cs="Times New Roman"/>
                <w:color w:val="auto"/>
                <w:kern w:val="2"/>
                <w:sz w:val="18"/>
                <w:szCs w:val="20"/>
                <w:lang w:val="en-US" w:eastAsia="en-US" w:bidi="ar-SA"/>
              </w:rPr>
            </w:pPr>
            <w:r>
              <w:rPr>
                <w:rFonts w:hint="eastAsia" w:ascii="宋体" w:hAnsi="Times New Roman" w:eastAsia="宋体" w:cs="Times New Roman"/>
                <w:color w:val="auto"/>
                <w:kern w:val="2"/>
                <w:sz w:val="18"/>
                <w:szCs w:val="20"/>
                <w:lang w:val="en-US" w:eastAsia="zh-CN" w:bidi="ar-SA"/>
              </w:rPr>
              <w:t>管理风险</w:t>
            </w:r>
          </w:p>
        </w:tc>
        <w:tc>
          <w:tcPr>
            <w:tcW w:w="963" w:type="dxa"/>
            <w:shd w:val="clear" w:color="auto" w:fill="auto"/>
            <w:vAlign w:val="center"/>
          </w:tcPr>
          <w:p w14:paraId="7D90DADF">
            <w:pPr>
              <w:pStyle w:val="22"/>
              <w:jc w:val="center"/>
              <w:rPr>
                <w:rFonts w:hint="eastAsia" w:ascii="宋体" w:hAnsi="Times New Roman" w:eastAsia="宋体" w:cs="Times New Roman"/>
                <w:color w:val="auto"/>
                <w:kern w:val="2"/>
                <w:sz w:val="18"/>
                <w:szCs w:val="20"/>
                <w:lang w:val="en-US" w:eastAsia="en-US" w:bidi="ar-SA"/>
              </w:rPr>
            </w:pPr>
            <w:r>
              <w:rPr>
                <w:rFonts w:hint="eastAsia" w:ascii="宋体" w:hAnsi="Times New Roman" w:eastAsia="宋体" w:cs="Times New Roman"/>
                <w:color w:val="auto"/>
                <w:kern w:val="2"/>
                <w:sz w:val="18"/>
                <w:szCs w:val="20"/>
                <w:lang w:val="en-US" w:eastAsia="zh-CN" w:bidi="ar-SA"/>
              </w:rPr>
              <w:t>Ⅱ级</w:t>
            </w:r>
          </w:p>
        </w:tc>
        <w:tc>
          <w:tcPr>
            <w:tcW w:w="1400" w:type="dxa"/>
            <w:vMerge w:val="continue"/>
            <w:vAlign w:val="center"/>
          </w:tcPr>
          <w:p w14:paraId="6F42CA00">
            <w:pPr>
              <w:pStyle w:val="22"/>
              <w:jc w:val="center"/>
              <w:rPr>
                <w:rFonts w:hint="eastAsia" w:ascii="宋体" w:hAnsi="Times New Roman" w:eastAsia="宋体" w:cs="Times New Roman"/>
                <w:color w:val="auto"/>
                <w:kern w:val="2"/>
                <w:sz w:val="18"/>
                <w:szCs w:val="20"/>
                <w:lang w:val="en-US" w:eastAsia="zh-CN" w:bidi="ar-SA"/>
              </w:rPr>
            </w:pPr>
          </w:p>
        </w:tc>
      </w:tr>
      <w:tr w14:paraId="4FE2C2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545" w:type="dxa"/>
            <w:vMerge w:val="continue"/>
            <w:vAlign w:val="center"/>
          </w:tcPr>
          <w:p w14:paraId="06E388B3">
            <w:pPr>
              <w:pStyle w:val="22"/>
              <w:jc w:val="center"/>
              <w:rPr>
                <w:rFonts w:hint="eastAsia" w:ascii="宋体" w:hAnsi="Times New Roman" w:eastAsia="宋体" w:cs="Times New Roman"/>
                <w:color w:val="auto"/>
                <w:kern w:val="2"/>
                <w:sz w:val="18"/>
                <w:szCs w:val="20"/>
                <w:lang w:val="en-US" w:eastAsia="zh-CN" w:bidi="ar-SA"/>
              </w:rPr>
            </w:pPr>
          </w:p>
        </w:tc>
        <w:tc>
          <w:tcPr>
            <w:tcW w:w="1273" w:type="dxa"/>
            <w:vMerge w:val="continue"/>
            <w:vAlign w:val="center"/>
          </w:tcPr>
          <w:p w14:paraId="386B1E58">
            <w:pPr>
              <w:pStyle w:val="22"/>
              <w:jc w:val="center"/>
              <w:rPr>
                <w:rFonts w:hint="eastAsia" w:ascii="宋体" w:hAnsi="Times New Roman" w:eastAsia="宋体" w:cs="Times New Roman"/>
                <w:color w:val="auto"/>
                <w:kern w:val="2"/>
                <w:sz w:val="18"/>
                <w:szCs w:val="20"/>
                <w:lang w:val="en-US" w:eastAsia="zh-CN" w:bidi="ar-SA"/>
              </w:rPr>
            </w:pPr>
          </w:p>
        </w:tc>
        <w:tc>
          <w:tcPr>
            <w:tcW w:w="790" w:type="dxa"/>
            <w:tcBorders>
              <w:top w:val="single" w:color="auto" w:sz="4" w:space="0"/>
              <w:bottom w:val="single" w:color="auto" w:sz="4" w:space="0"/>
            </w:tcBorders>
            <w:shd w:val="clear" w:color="auto" w:fill="auto"/>
            <w:vAlign w:val="center"/>
          </w:tcPr>
          <w:p w14:paraId="4F17E4A1">
            <w:pPr>
              <w:pStyle w:val="22"/>
              <w:jc w:val="center"/>
              <w:rPr>
                <w:rFonts w:hint="eastAsia" w:ascii="宋体" w:hAnsi="Times New Roman" w:eastAsia="宋体" w:cs="Times New Roman"/>
                <w:color w:val="auto"/>
                <w:kern w:val="2"/>
                <w:sz w:val="18"/>
                <w:szCs w:val="20"/>
                <w:lang w:val="en-US" w:eastAsia="en-US" w:bidi="ar-SA"/>
              </w:rPr>
            </w:pPr>
            <w:r>
              <w:rPr>
                <w:rFonts w:hint="eastAsia" w:ascii="宋体" w:hAnsi="Times New Roman" w:eastAsia="宋体" w:cs="Times New Roman"/>
                <w:color w:val="auto"/>
                <w:kern w:val="2"/>
                <w:sz w:val="18"/>
                <w:szCs w:val="20"/>
                <w:lang w:val="en-US" w:eastAsia="zh-CN" w:bidi="ar-SA"/>
              </w:rPr>
              <w:t>2.6</w:t>
            </w:r>
          </w:p>
        </w:tc>
        <w:tc>
          <w:tcPr>
            <w:tcW w:w="2395" w:type="dxa"/>
            <w:shd w:val="clear" w:color="auto" w:fill="auto"/>
            <w:vAlign w:val="center"/>
          </w:tcPr>
          <w:p w14:paraId="649841F4">
            <w:pPr>
              <w:pStyle w:val="22"/>
              <w:jc w:val="center"/>
              <w:rPr>
                <w:rFonts w:hint="eastAsia" w:ascii="宋体" w:hAnsi="Times New Roman" w:eastAsia="宋体" w:cs="Times New Roman"/>
                <w:color w:val="auto"/>
                <w:kern w:val="2"/>
                <w:sz w:val="18"/>
                <w:szCs w:val="20"/>
                <w:lang w:val="en-US" w:eastAsia="en-US" w:bidi="ar-SA"/>
              </w:rPr>
            </w:pPr>
            <w:r>
              <w:rPr>
                <w:rFonts w:hint="eastAsia" w:ascii="宋体" w:hAnsi="Times New Roman" w:eastAsia="宋体" w:cs="Times New Roman"/>
                <w:color w:val="auto"/>
                <w:kern w:val="2"/>
                <w:sz w:val="18"/>
                <w:szCs w:val="20"/>
                <w:lang w:val="en-US" w:eastAsia="zh-CN" w:bidi="ar-SA"/>
              </w:rPr>
              <w:t>经销商的仓储条件不符合产品存放要求</w:t>
            </w:r>
          </w:p>
        </w:tc>
        <w:tc>
          <w:tcPr>
            <w:tcW w:w="932" w:type="dxa"/>
            <w:shd w:val="clear" w:color="auto" w:fill="auto"/>
            <w:vAlign w:val="center"/>
          </w:tcPr>
          <w:p w14:paraId="2E6D15DC">
            <w:pPr>
              <w:pStyle w:val="22"/>
              <w:jc w:val="center"/>
              <w:rPr>
                <w:rFonts w:hint="eastAsia" w:ascii="宋体" w:hAnsi="Times New Roman" w:eastAsia="宋体" w:cs="Times New Roman"/>
                <w:color w:val="auto"/>
                <w:kern w:val="2"/>
                <w:sz w:val="18"/>
                <w:szCs w:val="20"/>
                <w:lang w:val="en-US" w:eastAsia="en-US" w:bidi="ar-SA"/>
              </w:rPr>
            </w:pPr>
            <w:r>
              <w:rPr>
                <w:rFonts w:hint="eastAsia" w:ascii="宋体" w:hAnsi="Times New Roman" w:eastAsia="宋体" w:cs="Times New Roman"/>
                <w:color w:val="auto"/>
                <w:kern w:val="2"/>
                <w:sz w:val="18"/>
                <w:szCs w:val="20"/>
                <w:lang w:val="en-US" w:eastAsia="zh-CN" w:bidi="ar-SA"/>
              </w:rPr>
              <w:t>技术风险</w:t>
            </w:r>
          </w:p>
        </w:tc>
        <w:tc>
          <w:tcPr>
            <w:tcW w:w="963" w:type="dxa"/>
            <w:shd w:val="clear" w:color="auto" w:fill="auto"/>
            <w:vAlign w:val="center"/>
          </w:tcPr>
          <w:p w14:paraId="2C9FD2AF">
            <w:pPr>
              <w:pStyle w:val="22"/>
              <w:jc w:val="center"/>
              <w:rPr>
                <w:rFonts w:hint="eastAsia" w:ascii="宋体" w:hAnsi="Times New Roman" w:eastAsia="宋体" w:cs="Times New Roman"/>
                <w:color w:val="auto"/>
                <w:kern w:val="2"/>
                <w:sz w:val="18"/>
                <w:szCs w:val="20"/>
                <w:lang w:val="en-US" w:eastAsia="en-US" w:bidi="ar-SA"/>
              </w:rPr>
            </w:pPr>
            <w:r>
              <w:rPr>
                <w:rFonts w:hint="eastAsia" w:ascii="宋体" w:hAnsi="Times New Roman" w:eastAsia="宋体" w:cs="Times New Roman"/>
                <w:color w:val="auto"/>
                <w:kern w:val="2"/>
                <w:sz w:val="18"/>
                <w:szCs w:val="20"/>
                <w:lang w:val="en-US" w:eastAsia="zh-CN" w:bidi="ar-SA"/>
              </w:rPr>
              <w:t>Ⅱ级</w:t>
            </w:r>
          </w:p>
        </w:tc>
        <w:tc>
          <w:tcPr>
            <w:tcW w:w="1400" w:type="dxa"/>
            <w:vMerge w:val="continue"/>
            <w:vAlign w:val="center"/>
          </w:tcPr>
          <w:p w14:paraId="7D10F3CB">
            <w:pPr>
              <w:pStyle w:val="22"/>
              <w:jc w:val="center"/>
              <w:rPr>
                <w:rFonts w:hint="eastAsia" w:ascii="宋体" w:hAnsi="Times New Roman" w:eastAsia="宋体" w:cs="Times New Roman"/>
                <w:color w:val="auto"/>
                <w:kern w:val="2"/>
                <w:sz w:val="18"/>
                <w:szCs w:val="20"/>
                <w:lang w:val="en-US" w:eastAsia="zh-CN" w:bidi="ar-SA"/>
              </w:rPr>
            </w:pPr>
          </w:p>
        </w:tc>
      </w:tr>
      <w:tr w14:paraId="4F8C24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545" w:type="dxa"/>
            <w:vMerge w:val="continue"/>
            <w:vAlign w:val="center"/>
          </w:tcPr>
          <w:p w14:paraId="53ED6752">
            <w:pPr>
              <w:pStyle w:val="22"/>
              <w:jc w:val="center"/>
              <w:rPr>
                <w:rFonts w:hint="eastAsia" w:ascii="宋体" w:hAnsi="Times New Roman" w:eastAsia="宋体" w:cs="Times New Roman"/>
                <w:color w:val="auto"/>
                <w:kern w:val="2"/>
                <w:sz w:val="18"/>
                <w:szCs w:val="20"/>
                <w:lang w:val="en-US" w:eastAsia="zh-CN" w:bidi="ar-SA"/>
              </w:rPr>
            </w:pPr>
          </w:p>
        </w:tc>
        <w:tc>
          <w:tcPr>
            <w:tcW w:w="1273" w:type="dxa"/>
            <w:vMerge w:val="continue"/>
            <w:vAlign w:val="center"/>
          </w:tcPr>
          <w:p w14:paraId="67F9C033">
            <w:pPr>
              <w:pStyle w:val="22"/>
              <w:jc w:val="center"/>
              <w:rPr>
                <w:rFonts w:hint="eastAsia" w:ascii="宋体" w:hAnsi="Times New Roman" w:eastAsia="宋体" w:cs="Times New Roman"/>
                <w:color w:val="auto"/>
                <w:kern w:val="2"/>
                <w:sz w:val="18"/>
                <w:szCs w:val="20"/>
                <w:lang w:val="en-US" w:eastAsia="zh-CN" w:bidi="ar-SA"/>
              </w:rPr>
            </w:pPr>
          </w:p>
        </w:tc>
        <w:tc>
          <w:tcPr>
            <w:tcW w:w="790" w:type="dxa"/>
            <w:tcBorders>
              <w:top w:val="single" w:color="auto" w:sz="4" w:space="0"/>
              <w:bottom w:val="single" w:color="auto" w:sz="4" w:space="0"/>
            </w:tcBorders>
            <w:shd w:val="clear" w:color="auto" w:fill="auto"/>
            <w:vAlign w:val="center"/>
          </w:tcPr>
          <w:p w14:paraId="324F0C8E">
            <w:pPr>
              <w:pStyle w:val="22"/>
              <w:jc w:val="center"/>
              <w:rPr>
                <w:rFonts w:hint="eastAsia" w:ascii="宋体" w:hAnsi="Times New Roman" w:eastAsia="宋体" w:cs="Times New Roman"/>
                <w:color w:val="auto"/>
                <w:kern w:val="2"/>
                <w:sz w:val="18"/>
                <w:szCs w:val="20"/>
                <w:lang w:val="en-US" w:eastAsia="en-US" w:bidi="ar-SA"/>
              </w:rPr>
            </w:pPr>
            <w:r>
              <w:rPr>
                <w:rFonts w:hint="eastAsia" w:ascii="宋体" w:hAnsi="Times New Roman" w:eastAsia="宋体" w:cs="Times New Roman"/>
                <w:color w:val="auto"/>
                <w:kern w:val="2"/>
                <w:sz w:val="18"/>
                <w:szCs w:val="20"/>
                <w:lang w:val="en-US" w:eastAsia="zh-CN" w:bidi="ar-SA"/>
              </w:rPr>
              <w:t>2.7</w:t>
            </w:r>
          </w:p>
        </w:tc>
        <w:tc>
          <w:tcPr>
            <w:tcW w:w="2395" w:type="dxa"/>
            <w:shd w:val="clear" w:color="auto" w:fill="auto"/>
            <w:vAlign w:val="center"/>
          </w:tcPr>
          <w:p w14:paraId="2575A84D">
            <w:pPr>
              <w:pStyle w:val="22"/>
              <w:jc w:val="center"/>
              <w:rPr>
                <w:rFonts w:hint="eastAsia" w:ascii="宋体" w:hAnsi="Times New Roman" w:eastAsia="宋体" w:cs="Times New Roman"/>
                <w:color w:val="auto"/>
                <w:kern w:val="2"/>
                <w:sz w:val="18"/>
                <w:szCs w:val="20"/>
                <w:lang w:val="en-US" w:eastAsia="en-US" w:bidi="ar-SA"/>
              </w:rPr>
            </w:pPr>
            <w:r>
              <w:rPr>
                <w:rFonts w:hint="eastAsia" w:ascii="宋体" w:hAnsi="Times New Roman" w:eastAsia="宋体" w:cs="Times New Roman"/>
                <w:color w:val="auto"/>
                <w:kern w:val="2"/>
                <w:sz w:val="18"/>
                <w:szCs w:val="20"/>
                <w:lang w:val="en-US" w:eastAsia="zh-CN" w:bidi="ar-SA"/>
              </w:rPr>
              <w:t>产品接近或已过保质期，仍在货架上销售</w:t>
            </w:r>
          </w:p>
        </w:tc>
        <w:tc>
          <w:tcPr>
            <w:tcW w:w="932" w:type="dxa"/>
            <w:shd w:val="clear" w:color="auto" w:fill="auto"/>
            <w:vAlign w:val="center"/>
          </w:tcPr>
          <w:p w14:paraId="72BC078F">
            <w:pPr>
              <w:pStyle w:val="22"/>
              <w:jc w:val="center"/>
              <w:rPr>
                <w:rFonts w:hint="eastAsia" w:ascii="宋体" w:hAnsi="Times New Roman" w:eastAsia="宋体" w:cs="Times New Roman"/>
                <w:color w:val="auto"/>
                <w:kern w:val="2"/>
                <w:sz w:val="18"/>
                <w:szCs w:val="20"/>
                <w:lang w:val="en-US" w:eastAsia="en-US" w:bidi="ar-SA"/>
              </w:rPr>
            </w:pPr>
            <w:r>
              <w:rPr>
                <w:rFonts w:hint="eastAsia" w:ascii="宋体" w:hAnsi="Times New Roman" w:eastAsia="宋体" w:cs="Times New Roman"/>
                <w:color w:val="auto"/>
                <w:kern w:val="2"/>
                <w:sz w:val="18"/>
                <w:szCs w:val="20"/>
                <w:lang w:val="en-US" w:eastAsia="zh-CN" w:bidi="ar-SA"/>
              </w:rPr>
              <w:t>技术风险</w:t>
            </w:r>
          </w:p>
        </w:tc>
        <w:tc>
          <w:tcPr>
            <w:tcW w:w="963" w:type="dxa"/>
            <w:shd w:val="clear" w:color="auto" w:fill="auto"/>
            <w:vAlign w:val="center"/>
          </w:tcPr>
          <w:p w14:paraId="1D52F867">
            <w:pPr>
              <w:pStyle w:val="22"/>
              <w:jc w:val="center"/>
              <w:rPr>
                <w:rFonts w:hint="eastAsia" w:ascii="宋体" w:hAnsi="Times New Roman" w:eastAsia="宋体" w:cs="Times New Roman"/>
                <w:color w:val="auto"/>
                <w:kern w:val="2"/>
                <w:sz w:val="18"/>
                <w:szCs w:val="20"/>
                <w:lang w:val="en-US" w:eastAsia="en-US" w:bidi="ar-SA"/>
              </w:rPr>
            </w:pPr>
            <w:r>
              <w:rPr>
                <w:rFonts w:hint="eastAsia" w:ascii="宋体" w:hAnsi="Times New Roman" w:eastAsia="宋体" w:cs="Times New Roman"/>
                <w:color w:val="auto"/>
                <w:kern w:val="2"/>
                <w:sz w:val="18"/>
                <w:szCs w:val="20"/>
                <w:lang w:val="en-US" w:eastAsia="zh-CN" w:bidi="ar-SA"/>
              </w:rPr>
              <w:t>Ⅱ级</w:t>
            </w:r>
          </w:p>
        </w:tc>
        <w:tc>
          <w:tcPr>
            <w:tcW w:w="1400" w:type="dxa"/>
            <w:vMerge w:val="continue"/>
            <w:vAlign w:val="center"/>
          </w:tcPr>
          <w:p w14:paraId="2EF0D7B5">
            <w:pPr>
              <w:pStyle w:val="22"/>
              <w:jc w:val="center"/>
              <w:rPr>
                <w:rFonts w:hint="eastAsia" w:ascii="宋体" w:hAnsi="Times New Roman" w:eastAsia="宋体" w:cs="Times New Roman"/>
                <w:color w:val="auto"/>
                <w:kern w:val="2"/>
                <w:sz w:val="18"/>
                <w:szCs w:val="20"/>
                <w:lang w:val="en-US" w:eastAsia="zh-CN" w:bidi="ar-SA"/>
              </w:rPr>
            </w:pPr>
          </w:p>
        </w:tc>
      </w:tr>
      <w:tr w14:paraId="298F58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545" w:type="dxa"/>
            <w:vMerge w:val="continue"/>
            <w:vAlign w:val="center"/>
          </w:tcPr>
          <w:p w14:paraId="1CCD25ED">
            <w:pPr>
              <w:pStyle w:val="22"/>
              <w:jc w:val="center"/>
              <w:rPr>
                <w:rFonts w:hint="eastAsia" w:ascii="宋体" w:hAnsi="Times New Roman" w:eastAsia="宋体" w:cs="Times New Roman"/>
                <w:color w:val="auto"/>
                <w:kern w:val="2"/>
                <w:sz w:val="18"/>
                <w:szCs w:val="20"/>
                <w:lang w:val="en-US" w:eastAsia="zh-CN" w:bidi="ar-SA"/>
              </w:rPr>
            </w:pPr>
          </w:p>
        </w:tc>
        <w:tc>
          <w:tcPr>
            <w:tcW w:w="1273" w:type="dxa"/>
            <w:vMerge w:val="continue"/>
            <w:vAlign w:val="center"/>
          </w:tcPr>
          <w:p w14:paraId="06E31DBB">
            <w:pPr>
              <w:pStyle w:val="22"/>
              <w:jc w:val="center"/>
              <w:rPr>
                <w:rFonts w:hint="eastAsia" w:ascii="宋体" w:hAnsi="Times New Roman" w:eastAsia="宋体" w:cs="Times New Roman"/>
                <w:color w:val="auto"/>
                <w:kern w:val="2"/>
                <w:sz w:val="18"/>
                <w:szCs w:val="20"/>
                <w:lang w:val="en-US" w:eastAsia="zh-CN" w:bidi="ar-SA"/>
              </w:rPr>
            </w:pPr>
          </w:p>
        </w:tc>
        <w:tc>
          <w:tcPr>
            <w:tcW w:w="790" w:type="dxa"/>
            <w:tcBorders>
              <w:top w:val="single" w:color="auto" w:sz="4" w:space="0"/>
              <w:bottom w:val="single" w:color="auto" w:sz="4" w:space="0"/>
            </w:tcBorders>
            <w:shd w:val="clear" w:color="auto" w:fill="auto"/>
            <w:vAlign w:val="center"/>
          </w:tcPr>
          <w:p w14:paraId="0A8F4845">
            <w:pPr>
              <w:pStyle w:val="22"/>
              <w:jc w:val="center"/>
              <w:rPr>
                <w:rFonts w:hint="eastAsia" w:ascii="宋体" w:hAnsi="Times New Roman" w:eastAsia="宋体" w:cs="Times New Roman"/>
                <w:color w:val="auto"/>
                <w:kern w:val="2"/>
                <w:sz w:val="18"/>
                <w:szCs w:val="20"/>
                <w:lang w:val="en-US" w:eastAsia="en-US" w:bidi="ar-SA"/>
              </w:rPr>
            </w:pPr>
            <w:r>
              <w:rPr>
                <w:rFonts w:hint="eastAsia" w:ascii="宋体" w:hAnsi="Times New Roman" w:eastAsia="宋体" w:cs="Times New Roman"/>
                <w:color w:val="auto"/>
                <w:kern w:val="2"/>
                <w:sz w:val="18"/>
                <w:szCs w:val="20"/>
                <w:lang w:val="en-US" w:eastAsia="zh-CN" w:bidi="ar-SA"/>
              </w:rPr>
              <w:t>2.8</w:t>
            </w:r>
          </w:p>
        </w:tc>
        <w:tc>
          <w:tcPr>
            <w:tcW w:w="2395" w:type="dxa"/>
            <w:shd w:val="clear" w:color="auto" w:fill="auto"/>
            <w:vAlign w:val="center"/>
          </w:tcPr>
          <w:p w14:paraId="71E72280">
            <w:pPr>
              <w:pStyle w:val="22"/>
              <w:jc w:val="center"/>
              <w:rPr>
                <w:rFonts w:hint="eastAsia" w:ascii="宋体" w:hAnsi="Times New Roman" w:eastAsia="宋体" w:cs="Times New Roman"/>
                <w:color w:val="auto"/>
                <w:kern w:val="2"/>
                <w:sz w:val="18"/>
                <w:szCs w:val="20"/>
                <w:lang w:val="en-US" w:eastAsia="en-US" w:bidi="ar-SA"/>
              </w:rPr>
            </w:pPr>
            <w:r>
              <w:rPr>
                <w:rFonts w:hint="eastAsia" w:ascii="宋体" w:hAnsi="Times New Roman" w:eastAsia="宋体" w:cs="Times New Roman"/>
                <w:color w:val="auto"/>
                <w:kern w:val="2"/>
                <w:sz w:val="18"/>
                <w:szCs w:val="20"/>
                <w:lang w:val="en-US" w:eastAsia="zh-CN" w:bidi="ar-SA"/>
              </w:rPr>
              <w:t>包装破损，或感官存在明显缺陷的产品在货架销售</w:t>
            </w:r>
          </w:p>
        </w:tc>
        <w:tc>
          <w:tcPr>
            <w:tcW w:w="932" w:type="dxa"/>
            <w:shd w:val="clear" w:color="auto" w:fill="auto"/>
            <w:vAlign w:val="center"/>
          </w:tcPr>
          <w:p w14:paraId="3489DF11">
            <w:pPr>
              <w:pStyle w:val="22"/>
              <w:jc w:val="center"/>
              <w:rPr>
                <w:rFonts w:hint="eastAsia" w:ascii="宋体" w:hAnsi="Times New Roman" w:eastAsia="宋体" w:cs="Times New Roman"/>
                <w:color w:val="auto"/>
                <w:kern w:val="2"/>
                <w:sz w:val="18"/>
                <w:szCs w:val="20"/>
                <w:lang w:val="en-US" w:eastAsia="en-US" w:bidi="ar-SA"/>
              </w:rPr>
            </w:pPr>
            <w:r>
              <w:rPr>
                <w:rFonts w:hint="eastAsia" w:ascii="宋体" w:hAnsi="Times New Roman" w:eastAsia="宋体" w:cs="Times New Roman"/>
                <w:color w:val="auto"/>
                <w:kern w:val="2"/>
                <w:sz w:val="18"/>
                <w:szCs w:val="20"/>
                <w:lang w:val="en-US" w:eastAsia="zh-CN" w:bidi="ar-SA"/>
              </w:rPr>
              <w:t>技术风险</w:t>
            </w:r>
          </w:p>
        </w:tc>
        <w:tc>
          <w:tcPr>
            <w:tcW w:w="963" w:type="dxa"/>
            <w:shd w:val="clear" w:color="auto" w:fill="auto"/>
            <w:vAlign w:val="center"/>
          </w:tcPr>
          <w:p w14:paraId="792BC72C">
            <w:pPr>
              <w:pStyle w:val="22"/>
              <w:jc w:val="center"/>
              <w:rPr>
                <w:rFonts w:hint="eastAsia" w:ascii="宋体" w:hAnsi="Times New Roman" w:eastAsia="宋体" w:cs="Times New Roman"/>
                <w:color w:val="auto"/>
                <w:kern w:val="2"/>
                <w:sz w:val="18"/>
                <w:szCs w:val="20"/>
                <w:lang w:val="en-US" w:eastAsia="en-US" w:bidi="ar-SA"/>
              </w:rPr>
            </w:pPr>
            <w:r>
              <w:rPr>
                <w:rFonts w:hint="eastAsia" w:ascii="宋体" w:hAnsi="Times New Roman" w:eastAsia="宋体" w:cs="Times New Roman"/>
                <w:color w:val="auto"/>
                <w:kern w:val="2"/>
                <w:sz w:val="18"/>
                <w:szCs w:val="20"/>
                <w:lang w:val="en-US" w:eastAsia="zh-CN" w:bidi="ar-SA"/>
              </w:rPr>
              <w:t>Ⅱ级</w:t>
            </w:r>
          </w:p>
        </w:tc>
        <w:tc>
          <w:tcPr>
            <w:tcW w:w="1400" w:type="dxa"/>
            <w:vMerge w:val="continue"/>
            <w:tcBorders>
              <w:bottom w:val="single" w:color="auto" w:sz="4" w:space="0"/>
            </w:tcBorders>
            <w:vAlign w:val="center"/>
          </w:tcPr>
          <w:p w14:paraId="6A3586CE">
            <w:pPr>
              <w:pStyle w:val="22"/>
              <w:jc w:val="center"/>
              <w:rPr>
                <w:rFonts w:hint="eastAsia" w:ascii="宋体" w:hAnsi="Times New Roman" w:eastAsia="宋体" w:cs="Times New Roman"/>
                <w:color w:val="auto"/>
                <w:kern w:val="2"/>
                <w:sz w:val="18"/>
                <w:szCs w:val="20"/>
                <w:lang w:val="en-US" w:eastAsia="zh-CN" w:bidi="ar-SA"/>
              </w:rPr>
            </w:pPr>
          </w:p>
        </w:tc>
      </w:tr>
      <w:tr w14:paraId="712B38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545" w:type="dxa"/>
            <w:vMerge w:val="continue"/>
            <w:vAlign w:val="center"/>
          </w:tcPr>
          <w:p w14:paraId="2ADD2E29">
            <w:pPr>
              <w:pStyle w:val="22"/>
              <w:jc w:val="center"/>
              <w:rPr>
                <w:rFonts w:hint="eastAsia" w:ascii="宋体" w:hAnsi="Times New Roman" w:eastAsia="宋体" w:cs="Times New Roman"/>
                <w:color w:val="auto"/>
                <w:kern w:val="2"/>
                <w:sz w:val="18"/>
                <w:szCs w:val="20"/>
                <w:lang w:val="en-US" w:eastAsia="zh-CN" w:bidi="ar-SA"/>
              </w:rPr>
            </w:pPr>
          </w:p>
        </w:tc>
        <w:tc>
          <w:tcPr>
            <w:tcW w:w="1273" w:type="dxa"/>
            <w:vMerge w:val="continue"/>
            <w:vAlign w:val="center"/>
          </w:tcPr>
          <w:p w14:paraId="456A625A">
            <w:pPr>
              <w:pStyle w:val="22"/>
              <w:jc w:val="center"/>
              <w:rPr>
                <w:rFonts w:hint="eastAsia" w:ascii="宋体" w:hAnsi="Times New Roman" w:eastAsia="宋体" w:cs="Times New Roman"/>
                <w:color w:val="auto"/>
                <w:kern w:val="2"/>
                <w:sz w:val="18"/>
                <w:szCs w:val="20"/>
                <w:lang w:val="en-US" w:eastAsia="zh-CN" w:bidi="ar-SA"/>
              </w:rPr>
            </w:pPr>
          </w:p>
        </w:tc>
        <w:tc>
          <w:tcPr>
            <w:tcW w:w="790" w:type="dxa"/>
            <w:tcBorders>
              <w:top w:val="single" w:color="auto" w:sz="4" w:space="0"/>
              <w:bottom w:val="single" w:color="auto" w:sz="4" w:space="0"/>
            </w:tcBorders>
            <w:shd w:val="clear" w:color="auto" w:fill="auto"/>
            <w:vAlign w:val="center"/>
          </w:tcPr>
          <w:p w14:paraId="5A47E8EE">
            <w:pPr>
              <w:pStyle w:val="22"/>
              <w:jc w:val="center"/>
              <w:rPr>
                <w:rFonts w:hint="eastAsia" w:ascii="宋体" w:hAnsi="Times New Roman" w:eastAsia="宋体" w:cs="Times New Roman"/>
                <w:color w:val="auto"/>
                <w:kern w:val="2"/>
                <w:sz w:val="18"/>
                <w:szCs w:val="20"/>
                <w:lang w:val="en-US" w:eastAsia="en-US" w:bidi="ar-SA"/>
              </w:rPr>
            </w:pPr>
            <w:r>
              <w:rPr>
                <w:rFonts w:hint="eastAsia" w:ascii="宋体" w:hAnsi="Times New Roman" w:eastAsia="宋体" w:cs="Times New Roman"/>
                <w:color w:val="auto"/>
                <w:kern w:val="2"/>
                <w:sz w:val="18"/>
                <w:szCs w:val="20"/>
                <w:lang w:val="en-US" w:eastAsia="zh-CN" w:bidi="ar-SA"/>
              </w:rPr>
              <w:t>2.9</w:t>
            </w:r>
          </w:p>
        </w:tc>
        <w:tc>
          <w:tcPr>
            <w:tcW w:w="2395" w:type="dxa"/>
            <w:shd w:val="clear" w:color="auto" w:fill="auto"/>
            <w:vAlign w:val="center"/>
          </w:tcPr>
          <w:p w14:paraId="0A192C98">
            <w:pPr>
              <w:pStyle w:val="22"/>
              <w:jc w:val="center"/>
              <w:rPr>
                <w:rFonts w:hint="eastAsia" w:ascii="宋体" w:hAnsi="Times New Roman" w:eastAsia="宋体" w:cs="Times New Roman"/>
                <w:color w:val="auto"/>
                <w:kern w:val="2"/>
                <w:sz w:val="18"/>
                <w:szCs w:val="20"/>
                <w:lang w:val="en-US" w:eastAsia="en-US" w:bidi="ar-SA"/>
              </w:rPr>
            </w:pPr>
            <w:r>
              <w:rPr>
                <w:rFonts w:hint="eastAsia" w:ascii="宋体" w:hAnsi="Times New Roman" w:eastAsia="宋体" w:cs="Times New Roman"/>
                <w:color w:val="auto"/>
                <w:kern w:val="2"/>
                <w:sz w:val="18"/>
                <w:szCs w:val="20"/>
                <w:lang w:val="en-US" w:eastAsia="zh-CN" w:bidi="ar-SA"/>
              </w:rPr>
              <w:t>标准或法规已发生变化，而不符合新标准或法规的产品仍然在售</w:t>
            </w:r>
          </w:p>
        </w:tc>
        <w:tc>
          <w:tcPr>
            <w:tcW w:w="932" w:type="dxa"/>
            <w:shd w:val="clear" w:color="auto" w:fill="auto"/>
            <w:vAlign w:val="center"/>
          </w:tcPr>
          <w:p w14:paraId="5126E149">
            <w:pPr>
              <w:pStyle w:val="22"/>
              <w:jc w:val="center"/>
              <w:rPr>
                <w:rFonts w:hint="eastAsia" w:ascii="宋体" w:hAnsi="Times New Roman" w:eastAsia="宋体" w:cs="Times New Roman"/>
                <w:color w:val="auto"/>
                <w:kern w:val="2"/>
                <w:sz w:val="18"/>
                <w:szCs w:val="20"/>
                <w:lang w:val="en-US" w:eastAsia="en-US" w:bidi="ar-SA"/>
              </w:rPr>
            </w:pPr>
            <w:r>
              <w:rPr>
                <w:rFonts w:hint="eastAsia" w:ascii="宋体" w:hAnsi="Times New Roman" w:eastAsia="宋体" w:cs="Times New Roman"/>
                <w:color w:val="auto"/>
                <w:kern w:val="2"/>
                <w:sz w:val="18"/>
                <w:szCs w:val="20"/>
                <w:lang w:val="en-US" w:eastAsia="zh-CN" w:bidi="ar-SA"/>
              </w:rPr>
              <w:t>法规风险</w:t>
            </w:r>
          </w:p>
        </w:tc>
        <w:tc>
          <w:tcPr>
            <w:tcW w:w="963" w:type="dxa"/>
            <w:shd w:val="clear" w:color="auto" w:fill="auto"/>
            <w:vAlign w:val="center"/>
          </w:tcPr>
          <w:p w14:paraId="24B8FF58">
            <w:pPr>
              <w:pStyle w:val="22"/>
              <w:jc w:val="center"/>
              <w:rPr>
                <w:rFonts w:hint="eastAsia" w:ascii="宋体" w:hAnsi="Times New Roman" w:eastAsia="宋体" w:cs="Times New Roman"/>
                <w:color w:val="auto"/>
                <w:kern w:val="2"/>
                <w:sz w:val="18"/>
                <w:szCs w:val="20"/>
                <w:lang w:val="en-US" w:eastAsia="en-US" w:bidi="ar-SA"/>
              </w:rPr>
            </w:pPr>
            <w:r>
              <w:rPr>
                <w:rFonts w:hint="eastAsia" w:ascii="宋体" w:hAnsi="Times New Roman" w:eastAsia="宋体" w:cs="Times New Roman"/>
                <w:color w:val="auto"/>
                <w:kern w:val="2"/>
                <w:sz w:val="18"/>
                <w:szCs w:val="20"/>
                <w:lang w:val="en-US" w:eastAsia="zh-CN" w:bidi="ar-SA"/>
              </w:rPr>
              <w:t>Ⅱ级</w:t>
            </w:r>
          </w:p>
        </w:tc>
        <w:tc>
          <w:tcPr>
            <w:tcW w:w="1400" w:type="dxa"/>
            <w:tcBorders>
              <w:top w:val="single" w:color="auto" w:sz="4" w:space="0"/>
              <w:bottom w:val="single" w:color="auto" w:sz="4" w:space="0"/>
            </w:tcBorders>
            <w:vAlign w:val="center"/>
          </w:tcPr>
          <w:p w14:paraId="4DC1059D">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定期评审法律法规要求，对不符合要求的产品进行召回</w:t>
            </w:r>
          </w:p>
        </w:tc>
      </w:tr>
      <w:tr w14:paraId="6D2490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545" w:type="dxa"/>
            <w:vMerge w:val="continue"/>
            <w:vAlign w:val="center"/>
          </w:tcPr>
          <w:p w14:paraId="786078BB">
            <w:pPr>
              <w:pStyle w:val="22"/>
              <w:jc w:val="center"/>
              <w:rPr>
                <w:rFonts w:hint="eastAsia" w:ascii="宋体" w:hAnsi="Times New Roman" w:eastAsia="宋体" w:cs="Times New Roman"/>
                <w:color w:val="auto"/>
                <w:kern w:val="2"/>
                <w:sz w:val="18"/>
                <w:szCs w:val="20"/>
                <w:lang w:val="en-US" w:eastAsia="zh-CN" w:bidi="ar-SA"/>
              </w:rPr>
            </w:pPr>
          </w:p>
        </w:tc>
        <w:tc>
          <w:tcPr>
            <w:tcW w:w="1273" w:type="dxa"/>
            <w:vMerge w:val="continue"/>
            <w:vAlign w:val="center"/>
          </w:tcPr>
          <w:p w14:paraId="6D9221E3">
            <w:pPr>
              <w:pStyle w:val="22"/>
              <w:jc w:val="center"/>
              <w:rPr>
                <w:rFonts w:hint="eastAsia" w:ascii="宋体" w:hAnsi="Times New Roman" w:eastAsia="宋体" w:cs="Times New Roman"/>
                <w:color w:val="auto"/>
                <w:kern w:val="2"/>
                <w:sz w:val="18"/>
                <w:szCs w:val="20"/>
                <w:lang w:val="en-US" w:eastAsia="zh-CN" w:bidi="ar-SA"/>
              </w:rPr>
            </w:pPr>
          </w:p>
        </w:tc>
        <w:tc>
          <w:tcPr>
            <w:tcW w:w="790" w:type="dxa"/>
            <w:tcBorders>
              <w:top w:val="single" w:color="auto" w:sz="4" w:space="0"/>
            </w:tcBorders>
            <w:vAlign w:val="center"/>
          </w:tcPr>
          <w:p w14:paraId="04D8F613">
            <w:pPr>
              <w:pStyle w:val="22"/>
              <w:jc w:val="center"/>
              <w:rPr>
                <w:rFonts w:hint="default"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2.10</w:t>
            </w:r>
          </w:p>
        </w:tc>
        <w:tc>
          <w:tcPr>
            <w:tcW w:w="2395" w:type="dxa"/>
            <w:vAlign w:val="center"/>
          </w:tcPr>
          <w:p w14:paraId="6C620057">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客户投诉处理不当，造成客户满意度下降</w:t>
            </w:r>
          </w:p>
        </w:tc>
        <w:tc>
          <w:tcPr>
            <w:tcW w:w="932" w:type="dxa"/>
            <w:shd w:val="clear" w:color="auto" w:fill="auto"/>
            <w:vAlign w:val="center"/>
          </w:tcPr>
          <w:p w14:paraId="3CA27976">
            <w:pPr>
              <w:pStyle w:val="22"/>
              <w:jc w:val="center"/>
              <w:rPr>
                <w:rFonts w:hint="eastAsia" w:ascii="宋体" w:hAnsi="Times New Roman" w:eastAsia="宋体" w:cs="Times New Roman"/>
                <w:color w:val="auto"/>
                <w:kern w:val="2"/>
                <w:sz w:val="18"/>
                <w:szCs w:val="20"/>
                <w:lang w:val="en-US" w:eastAsia="en-US" w:bidi="ar-SA"/>
              </w:rPr>
            </w:pPr>
            <w:r>
              <w:rPr>
                <w:rFonts w:hint="eastAsia" w:ascii="宋体" w:hAnsi="Times New Roman" w:eastAsia="宋体" w:cs="Times New Roman"/>
                <w:color w:val="auto"/>
                <w:kern w:val="2"/>
                <w:sz w:val="18"/>
                <w:szCs w:val="20"/>
                <w:lang w:val="en-US" w:eastAsia="zh-CN" w:bidi="ar-SA"/>
              </w:rPr>
              <w:t>管理风险</w:t>
            </w:r>
          </w:p>
        </w:tc>
        <w:tc>
          <w:tcPr>
            <w:tcW w:w="963" w:type="dxa"/>
            <w:shd w:val="clear" w:color="auto" w:fill="auto"/>
            <w:vAlign w:val="center"/>
          </w:tcPr>
          <w:p w14:paraId="0DDDB969">
            <w:pPr>
              <w:pStyle w:val="22"/>
              <w:jc w:val="center"/>
              <w:rPr>
                <w:rFonts w:hint="eastAsia" w:ascii="宋体" w:hAnsi="Times New Roman" w:eastAsia="宋体" w:cs="Times New Roman"/>
                <w:color w:val="auto"/>
                <w:kern w:val="2"/>
                <w:sz w:val="18"/>
                <w:szCs w:val="20"/>
                <w:lang w:val="en-US" w:eastAsia="en-US" w:bidi="ar-SA"/>
              </w:rPr>
            </w:pPr>
            <w:r>
              <w:rPr>
                <w:rFonts w:hint="eastAsia" w:ascii="宋体" w:hAnsi="Times New Roman" w:eastAsia="宋体" w:cs="Times New Roman"/>
                <w:color w:val="auto"/>
                <w:kern w:val="2"/>
                <w:sz w:val="18"/>
                <w:szCs w:val="20"/>
                <w:lang w:val="en-US" w:eastAsia="zh-CN" w:bidi="ar-SA"/>
              </w:rPr>
              <w:t>Ⅱ级</w:t>
            </w:r>
          </w:p>
        </w:tc>
        <w:tc>
          <w:tcPr>
            <w:tcW w:w="1400" w:type="dxa"/>
            <w:tcBorders>
              <w:top w:val="single" w:color="auto" w:sz="4" w:space="0"/>
            </w:tcBorders>
            <w:shd w:val="clear" w:color="auto" w:fill="auto"/>
            <w:vAlign w:val="center"/>
          </w:tcPr>
          <w:p w14:paraId="5053C716">
            <w:pPr>
              <w:pStyle w:val="22"/>
              <w:jc w:val="center"/>
              <w:rPr>
                <w:rFonts w:hint="eastAsia" w:ascii="宋体" w:hAnsi="Times New Roman" w:eastAsia="宋体" w:cs="Times New Roman"/>
                <w:color w:val="auto"/>
                <w:kern w:val="2"/>
                <w:sz w:val="18"/>
                <w:szCs w:val="20"/>
                <w:lang w:val="en-US" w:eastAsia="en-US" w:bidi="ar-SA"/>
              </w:rPr>
            </w:pPr>
            <w:r>
              <w:rPr>
                <w:rFonts w:hint="default" w:ascii="宋体" w:hAnsi="Times New Roman" w:eastAsia="宋体" w:cs="Times New Roman"/>
                <w:color w:val="auto"/>
                <w:kern w:val="2"/>
                <w:sz w:val="18"/>
                <w:szCs w:val="20"/>
                <w:lang w:val="en-US" w:eastAsia="en-US" w:bidi="ar-SA"/>
              </w:rPr>
              <w:t>加强客诉处理的客户满意度</w:t>
            </w:r>
          </w:p>
        </w:tc>
      </w:tr>
    </w:tbl>
    <w:p w14:paraId="1730CCB2">
      <w:pPr>
        <w:pStyle w:val="3"/>
        <w:rPr>
          <w:color w:val="auto"/>
        </w:rPr>
      </w:pPr>
    </w:p>
    <w:p w14:paraId="152FE6A2">
      <w:pPr>
        <w:pStyle w:val="18"/>
        <w:numPr>
          <w:ilvl w:val="3"/>
          <w:numId w:val="0"/>
        </w:numPr>
        <w:spacing w:before="120" w:after="120"/>
        <w:ind w:left="0" w:leftChars="0" w:firstLine="0" w:firstLineChars="0"/>
        <w:outlineLvl w:val="1"/>
        <w:rPr>
          <w:rFonts w:hint="eastAsia" w:ascii="宋体" w:hAnsi="Times New Roman" w:eastAsia="宋体" w:cs="Times New Roman"/>
          <w:color w:val="auto"/>
          <w:sz w:val="21"/>
          <w:lang w:val="en-US" w:eastAsia="zh-CN" w:bidi="ar-SA"/>
        </w:rPr>
      </w:pPr>
      <w:bookmarkStart w:id="30" w:name="_Toc1836550383"/>
      <w:r>
        <w:rPr>
          <w:rFonts w:hint="eastAsia" w:ascii="宋体" w:hAnsi="Times New Roman" w:eastAsia="宋体" w:cs="Times New Roman"/>
          <w:color w:val="auto"/>
          <w:sz w:val="21"/>
          <w:lang w:val="en-US" w:eastAsia="zh-CN" w:bidi="ar-SA"/>
        </w:rPr>
        <w:t>A.1.6  消费者沟通管理</w:t>
      </w:r>
      <w:bookmarkEnd w:id="30"/>
    </w:p>
    <w:tbl>
      <w:tblPr>
        <w:tblStyle w:val="21"/>
        <w:tblW w:w="830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45"/>
        <w:gridCol w:w="1273"/>
        <w:gridCol w:w="790"/>
        <w:gridCol w:w="2129"/>
        <w:gridCol w:w="1198"/>
        <w:gridCol w:w="963"/>
        <w:gridCol w:w="1400"/>
      </w:tblGrid>
      <w:tr w14:paraId="44DC2D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1" w:hRule="atLeast"/>
        </w:trPr>
        <w:tc>
          <w:tcPr>
            <w:tcW w:w="545" w:type="dxa"/>
            <w:shd w:val="clear" w:color="auto" w:fill="auto"/>
            <w:vAlign w:val="center"/>
          </w:tcPr>
          <w:p w14:paraId="621F7C77">
            <w:pPr>
              <w:pStyle w:val="23"/>
              <w:ind w:firstLine="0" w:firstLineChars="0"/>
              <w:jc w:val="center"/>
              <w:rPr>
                <w:rFonts w:hint="eastAsia" w:ascii="宋体" w:hAnsi="Times New Roman" w:eastAsia="宋体" w:cs="Times New Roman"/>
                <w:color w:val="auto"/>
                <w:sz w:val="18"/>
                <w:lang w:val="en-US" w:eastAsia="zh-CN" w:bidi="ar-SA"/>
              </w:rPr>
            </w:pPr>
            <w:r>
              <w:rPr>
                <w:rFonts w:hint="eastAsia"/>
                <w:color w:val="auto"/>
              </w:rPr>
              <w:t>序号</w:t>
            </w:r>
          </w:p>
        </w:tc>
        <w:tc>
          <w:tcPr>
            <w:tcW w:w="1273" w:type="dxa"/>
            <w:shd w:val="clear" w:color="auto" w:fill="auto"/>
            <w:vAlign w:val="center"/>
          </w:tcPr>
          <w:p w14:paraId="1CF28D07">
            <w:pPr>
              <w:pStyle w:val="23"/>
              <w:ind w:firstLine="0" w:firstLineChars="0"/>
              <w:jc w:val="center"/>
              <w:rPr>
                <w:rFonts w:hint="eastAsia" w:ascii="宋体" w:hAnsi="Times New Roman" w:eastAsia="宋体" w:cs="Times New Roman"/>
                <w:color w:val="auto"/>
                <w:sz w:val="18"/>
                <w:lang w:val="en-US" w:eastAsia="zh-CN" w:bidi="ar-SA"/>
              </w:rPr>
            </w:pPr>
            <w:r>
              <w:rPr>
                <w:rFonts w:hint="eastAsia"/>
                <w:color w:val="auto"/>
              </w:rPr>
              <w:t>环节</w:t>
            </w:r>
          </w:p>
        </w:tc>
        <w:tc>
          <w:tcPr>
            <w:tcW w:w="790" w:type="dxa"/>
            <w:shd w:val="clear" w:color="auto" w:fill="auto"/>
            <w:vAlign w:val="center"/>
          </w:tcPr>
          <w:p w14:paraId="39BD6817">
            <w:pPr>
              <w:pStyle w:val="23"/>
              <w:ind w:firstLine="0" w:firstLineChars="0"/>
              <w:jc w:val="center"/>
              <w:rPr>
                <w:rFonts w:hint="eastAsia" w:ascii="宋体" w:hAnsi="Times New Roman" w:eastAsia="宋体" w:cs="Times New Roman"/>
                <w:color w:val="auto"/>
                <w:sz w:val="18"/>
                <w:lang w:val="en-US" w:eastAsia="zh-CN" w:bidi="ar-SA"/>
              </w:rPr>
            </w:pPr>
            <w:r>
              <w:rPr>
                <w:rFonts w:hint="eastAsia"/>
                <w:color w:val="auto"/>
                <w:lang w:val="en-US" w:eastAsia="zh-CN"/>
              </w:rPr>
              <w:t>风险</w:t>
            </w:r>
            <w:r>
              <w:rPr>
                <w:rFonts w:hint="eastAsia" w:ascii="宋体" w:eastAsia="宋体"/>
                <w:color w:val="auto"/>
                <w:lang w:val="en-US" w:eastAsia="zh-CN"/>
              </w:rPr>
              <w:t>编号</w:t>
            </w:r>
          </w:p>
        </w:tc>
        <w:tc>
          <w:tcPr>
            <w:tcW w:w="2129" w:type="dxa"/>
            <w:shd w:val="clear" w:color="auto" w:fill="auto"/>
            <w:vAlign w:val="center"/>
          </w:tcPr>
          <w:p w14:paraId="6183F661">
            <w:pPr>
              <w:pStyle w:val="23"/>
              <w:ind w:firstLine="0" w:firstLineChars="0"/>
              <w:jc w:val="center"/>
              <w:rPr>
                <w:rFonts w:hint="eastAsia" w:ascii="宋体" w:hAnsi="Times New Roman" w:eastAsia="宋体" w:cs="Times New Roman"/>
                <w:color w:val="auto"/>
                <w:sz w:val="18"/>
                <w:lang w:val="en-US" w:eastAsia="zh-CN" w:bidi="ar-SA"/>
              </w:rPr>
            </w:pPr>
            <w:r>
              <w:rPr>
                <w:rFonts w:hint="eastAsia" w:ascii="宋体" w:eastAsia="宋体"/>
                <w:color w:val="auto"/>
                <w:lang w:val="en-US" w:eastAsia="zh-CN"/>
              </w:rPr>
              <w:t>风险描述</w:t>
            </w:r>
          </w:p>
        </w:tc>
        <w:tc>
          <w:tcPr>
            <w:tcW w:w="1198" w:type="dxa"/>
            <w:shd w:val="clear" w:color="auto" w:fill="auto"/>
            <w:vAlign w:val="center"/>
          </w:tcPr>
          <w:p w14:paraId="7DB60BE3">
            <w:pPr>
              <w:pStyle w:val="23"/>
              <w:ind w:firstLine="0" w:firstLineChars="0"/>
              <w:jc w:val="center"/>
              <w:rPr>
                <w:rFonts w:hint="eastAsia" w:ascii="宋体" w:hAnsi="Times New Roman" w:eastAsia="宋体" w:cs="Times New Roman"/>
                <w:color w:val="auto"/>
                <w:sz w:val="18"/>
                <w:lang w:val="en-US" w:eastAsia="zh-CN" w:bidi="ar-SA"/>
              </w:rPr>
            </w:pPr>
            <w:r>
              <w:rPr>
                <w:rFonts w:hint="eastAsia" w:ascii="宋体" w:eastAsia="宋体"/>
                <w:color w:val="auto"/>
                <w:lang w:val="en-US" w:eastAsia="zh-CN"/>
              </w:rPr>
              <w:t>风险类型</w:t>
            </w:r>
          </w:p>
        </w:tc>
        <w:tc>
          <w:tcPr>
            <w:tcW w:w="963" w:type="dxa"/>
            <w:shd w:val="clear" w:color="auto" w:fill="auto"/>
            <w:vAlign w:val="center"/>
          </w:tcPr>
          <w:p w14:paraId="3A65FC1F">
            <w:pPr>
              <w:pStyle w:val="23"/>
              <w:ind w:firstLine="0" w:firstLineChars="0"/>
              <w:jc w:val="center"/>
              <w:rPr>
                <w:rFonts w:hint="eastAsia" w:ascii="宋体" w:hAnsi="Times New Roman" w:eastAsia="宋体" w:cs="Times New Roman"/>
                <w:color w:val="auto"/>
                <w:sz w:val="18"/>
                <w:lang w:val="en-US" w:eastAsia="zh-CN" w:bidi="ar-SA"/>
              </w:rPr>
            </w:pPr>
            <w:r>
              <w:rPr>
                <w:rFonts w:hint="eastAsia" w:ascii="宋体" w:eastAsia="宋体"/>
                <w:color w:val="auto"/>
                <w:lang w:val="en-US" w:eastAsia="zh-CN"/>
              </w:rPr>
              <w:t>风险等级</w:t>
            </w:r>
          </w:p>
        </w:tc>
        <w:tc>
          <w:tcPr>
            <w:tcW w:w="1400" w:type="dxa"/>
            <w:shd w:val="clear" w:color="auto" w:fill="auto"/>
            <w:vAlign w:val="center"/>
          </w:tcPr>
          <w:p w14:paraId="450C583B">
            <w:pPr>
              <w:pStyle w:val="23"/>
              <w:ind w:firstLine="0" w:firstLineChars="0"/>
              <w:jc w:val="center"/>
              <w:rPr>
                <w:rFonts w:hint="eastAsia" w:ascii="宋体" w:hAnsi="Times New Roman" w:eastAsia="宋体" w:cs="Times New Roman"/>
                <w:color w:val="auto"/>
                <w:sz w:val="18"/>
                <w:lang w:val="en-US" w:eastAsia="zh-CN" w:bidi="ar-SA"/>
              </w:rPr>
            </w:pPr>
            <w:r>
              <w:rPr>
                <w:rFonts w:hint="eastAsia" w:ascii="宋体" w:eastAsia="宋体"/>
                <w:color w:val="auto"/>
                <w:lang w:val="en-US" w:eastAsia="zh-CN"/>
              </w:rPr>
              <w:t>主要控制措施</w:t>
            </w:r>
          </w:p>
        </w:tc>
      </w:tr>
      <w:tr w14:paraId="7532AE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545" w:type="dxa"/>
            <w:vMerge w:val="restart"/>
            <w:tcBorders>
              <w:bottom w:val="nil"/>
            </w:tcBorders>
            <w:vAlign w:val="center"/>
          </w:tcPr>
          <w:p w14:paraId="0E3F1537">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1</w:t>
            </w:r>
          </w:p>
        </w:tc>
        <w:tc>
          <w:tcPr>
            <w:tcW w:w="1273" w:type="dxa"/>
            <w:vMerge w:val="restart"/>
            <w:tcBorders>
              <w:bottom w:val="nil"/>
            </w:tcBorders>
            <w:vAlign w:val="center"/>
          </w:tcPr>
          <w:p w14:paraId="79FBD53D">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客户投诉</w:t>
            </w:r>
          </w:p>
        </w:tc>
        <w:tc>
          <w:tcPr>
            <w:tcW w:w="790" w:type="dxa"/>
            <w:vAlign w:val="center"/>
          </w:tcPr>
          <w:p w14:paraId="1450470D">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1.1</w:t>
            </w:r>
          </w:p>
        </w:tc>
        <w:tc>
          <w:tcPr>
            <w:tcW w:w="2129" w:type="dxa"/>
            <w:vAlign w:val="center"/>
          </w:tcPr>
          <w:p w14:paraId="22881A0D">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消费者投诉后得不到及时的、合理的反馈</w:t>
            </w:r>
          </w:p>
        </w:tc>
        <w:tc>
          <w:tcPr>
            <w:tcW w:w="1198" w:type="dxa"/>
            <w:vAlign w:val="center"/>
          </w:tcPr>
          <w:p w14:paraId="096AF1EE">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操作风险</w:t>
            </w:r>
          </w:p>
        </w:tc>
        <w:tc>
          <w:tcPr>
            <w:tcW w:w="963" w:type="dxa"/>
            <w:vAlign w:val="center"/>
          </w:tcPr>
          <w:p w14:paraId="03185210">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Ⅲ级</w:t>
            </w:r>
          </w:p>
        </w:tc>
        <w:tc>
          <w:tcPr>
            <w:tcW w:w="1400" w:type="dxa"/>
            <w:vMerge w:val="restart"/>
            <w:tcBorders>
              <w:bottom w:val="nil"/>
            </w:tcBorders>
            <w:vAlign w:val="center"/>
          </w:tcPr>
          <w:p w14:paraId="67794176">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对客诉率、客诉处理情况进行复核</w:t>
            </w:r>
          </w:p>
        </w:tc>
      </w:tr>
      <w:tr w14:paraId="57BAF0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545" w:type="dxa"/>
            <w:vMerge w:val="continue"/>
            <w:tcBorders>
              <w:top w:val="nil"/>
            </w:tcBorders>
            <w:vAlign w:val="center"/>
          </w:tcPr>
          <w:p w14:paraId="187AC9DA">
            <w:pPr>
              <w:pStyle w:val="22"/>
              <w:jc w:val="center"/>
              <w:rPr>
                <w:rFonts w:hint="eastAsia" w:ascii="宋体" w:hAnsi="Times New Roman" w:eastAsia="宋体" w:cs="Times New Roman"/>
                <w:color w:val="auto"/>
                <w:kern w:val="2"/>
                <w:sz w:val="18"/>
                <w:szCs w:val="20"/>
                <w:lang w:val="en-US" w:eastAsia="zh-CN" w:bidi="ar-SA"/>
              </w:rPr>
            </w:pPr>
          </w:p>
        </w:tc>
        <w:tc>
          <w:tcPr>
            <w:tcW w:w="1273" w:type="dxa"/>
            <w:vMerge w:val="continue"/>
            <w:tcBorders>
              <w:top w:val="nil"/>
            </w:tcBorders>
            <w:vAlign w:val="center"/>
          </w:tcPr>
          <w:p w14:paraId="722D581A">
            <w:pPr>
              <w:pStyle w:val="22"/>
              <w:jc w:val="center"/>
              <w:rPr>
                <w:rFonts w:hint="eastAsia" w:ascii="宋体" w:hAnsi="Times New Roman" w:eastAsia="宋体" w:cs="Times New Roman"/>
                <w:color w:val="auto"/>
                <w:kern w:val="2"/>
                <w:sz w:val="18"/>
                <w:szCs w:val="20"/>
                <w:lang w:val="en-US" w:eastAsia="zh-CN" w:bidi="ar-SA"/>
              </w:rPr>
            </w:pPr>
          </w:p>
        </w:tc>
        <w:tc>
          <w:tcPr>
            <w:tcW w:w="790" w:type="dxa"/>
            <w:vAlign w:val="center"/>
          </w:tcPr>
          <w:p w14:paraId="72B6D607">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1.2</w:t>
            </w:r>
          </w:p>
        </w:tc>
        <w:tc>
          <w:tcPr>
            <w:tcW w:w="2129" w:type="dxa"/>
            <w:vAlign w:val="center"/>
          </w:tcPr>
          <w:p w14:paraId="501AA3DA">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消费者投诉后不能开展有效的工作的</w:t>
            </w:r>
          </w:p>
        </w:tc>
        <w:tc>
          <w:tcPr>
            <w:tcW w:w="1198" w:type="dxa"/>
            <w:vAlign w:val="center"/>
          </w:tcPr>
          <w:p w14:paraId="24B9545F">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操作风险</w:t>
            </w:r>
          </w:p>
        </w:tc>
        <w:tc>
          <w:tcPr>
            <w:tcW w:w="963" w:type="dxa"/>
            <w:vAlign w:val="center"/>
          </w:tcPr>
          <w:p w14:paraId="1AAE44C1">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Ⅲ级</w:t>
            </w:r>
          </w:p>
        </w:tc>
        <w:tc>
          <w:tcPr>
            <w:tcW w:w="1400" w:type="dxa"/>
            <w:vMerge w:val="continue"/>
            <w:tcBorders>
              <w:top w:val="nil"/>
              <w:bottom w:val="nil"/>
            </w:tcBorders>
            <w:vAlign w:val="center"/>
          </w:tcPr>
          <w:p w14:paraId="0364C8E5">
            <w:pPr>
              <w:pStyle w:val="22"/>
              <w:jc w:val="center"/>
              <w:rPr>
                <w:rFonts w:hint="eastAsia" w:ascii="宋体" w:hAnsi="Times New Roman" w:eastAsia="宋体" w:cs="Times New Roman"/>
                <w:color w:val="auto"/>
                <w:kern w:val="2"/>
                <w:sz w:val="18"/>
                <w:szCs w:val="20"/>
                <w:lang w:val="en-US" w:eastAsia="zh-CN" w:bidi="ar-SA"/>
              </w:rPr>
            </w:pPr>
          </w:p>
        </w:tc>
      </w:tr>
      <w:tr w14:paraId="18258E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545" w:type="dxa"/>
            <w:vAlign w:val="center"/>
          </w:tcPr>
          <w:p w14:paraId="7A16055C">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2</w:t>
            </w:r>
          </w:p>
        </w:tc>
        <w:tc>
          <w:tcPr>
            <w:tcW w:w="1273" w:type="dxa"/>
            <w:vAlign w:val="center"/>
          </w:tcPr>
          <w:p w14:paraId="7F8BB82F">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退换货</w:t>
            </w:r>
          </w:p>
        </w:tc>
        <w:tc>
          <w:tcPr>
            <w:tcW w:w="790" w:type="dxa"/>
            <w:vAlign w:val="center"/>
          </w:tcPr>
          <w:p w14:paraId="118CAB54">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2.1</w:t>
            </w:r>
          </w:p>
        </w:tc>
        <w:tc>
          <w:tcPr>
            <w:tcW w:w="2129" w:type="dxa"/>
            <w:vAlign w:val="center"/>
          </w:tcPr>
          <w:p w14:paraId="40A47E97">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未能给予消费者及时的退换货服务</w:t>
            </w:r>
          </w:p>
        </w:tc>
        <w:tc>
          <w:tcPr>
            <w:tcW w:w="1198" w:type="dxa"/>
            <w:vAlign w:val="center"/>
          </w:tcPr>
          <w:p w14:paraId="12F56363">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操作风险</w:t>
            </w:r>
          </w:p>
        </w:tc>
        <w:tc>
          <w:tcPr>
            <w:tcW w:w="963" w:type="dxa"/>
            <w:vAlign w:val="center"/>
          </w:tcPr>
          <w:p w14:paraId="123B0DDD">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Ⅲ级</w:t>
            </w:r>
          </w:p>
        </w:tc>
        <w:tc>
          <w:tcPr>
            <w:tcW w:w="1400" w:type="dxa"/>
            <w:vMerge w:val="continue"/>
            <w:tcBorders>
              <w:top w:val="nil"/>
            </w:tcBorders>
            <w:vAlign w:val="center"/>
          </w:tcPr>
          <w:p w14:paraId="7EE39852">
            <w:pPr>
              <w:pStyle w:val="22"/>
              <w:jc w:val="center"/>
              <w:rPr>
                <w:rFonts w:hint="eastAsia" w:ascii="宋体" w:hAnsi="Times New Roman" w:eastAsia="宋体" w:cs="Times New Roman"/>
                <w:color w:val="auto"/>
                <w:kern w:val="2"/>
                <w:sz w:val="18"/>
                <w:szCs w:val="20"/>
                <w:lang w:val="en-US" w:eastAsia="zh-CN" w:bidi="ar-SA"/>
              </w:rPr>
            </w:pPr>
          </w:p>
        </w:tc>
      </w:tr>
      <w:tr w14:paraId="683BD3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545" w:type="dxa"/>
            <w:vAlign w:val="center"/>
          </w:tcPr>
          <w:p w14:paraId="7D146326">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3</w:t>
            </w:r>
          </w:p>
        </w:tc>
        <w:tc>
          <w:tcPr>
            <w:tcW w:w="1273" w:type="dxa"/>
            <w:vAlign w:val="center"/>
          </w:tcPr>
          <w:p w14:paraId="412D91AB">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召回</w:t>
            </w:r>
          </w:p>
        </w:tc>
        <w:tc>
          <w:tcPr>
            <w:tcW w:w="790" w:type="dxa"/>
            <w:vAlign w:val="center"/>
          </w:tcPr>
          <w:p w14:paraId="29DAFB5C">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3.1</w:t>
            </w:r>
          </w:p>
        </w:tc>
        <w:tc>
          <w:tcPr>
            <w:tcW w:w="2129" w:type="dxa"/>
            <w:vAlign w:val="center"/>
          </w:tcPr>
          <w:p w14:paraId="030C4A11">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对不合格产品未能及时召回。降低消费者忠诚度，影响产品形象</w:t>
            </w:r>
          </w:p>
        </w:tc>
        <w:tc>
          <w:tcPr>
            <w:tcW w:w="1198" w:type="dxa"/>
            <w:vAlign w:val="center"/>
          </w:tcPr>
          <w:p w14:paraId="21ED3FB5">
            <w:pPr>
              <w:pStyle w:val="22"/>
              <w:jc w:val="center"/>
              <w:rPr>
                <w:rFonts w:hint="eastAsia" w:ascii="宋体" w:hAnsi="Times New Roman" w:eastAsia="宋体" w:cs="Times New Roman"/>
                <w:color w:val="auto"/>
                <w:kern w:val="2"/>
                <w:sz w:val="18"/>
                <w:szCs w:val="20"/>
                <w:lang w:val="en-US" w:eastAsia="zh-CN" w:bidi="ar-SA"/>
              </w:rPr>
            </w:pPr>
          </w:p>
          <w:p w14:paraId="6988B982">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操作风险</w:t>
            </w:r>
          </w:p>
        </w:tc>
        <w:tc>
          <w:tcPr>
            <w:tcW w:w="963" w:type="dxa"/>
            <w:vAlign w:val="center"/>
          </w:tcPr>
          <w:p w14:paraId="436A57BA">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Ⅱ级</w:t>
            </w:r>
          </w:p>
        </w:tc>
        <w:tc>
          <w:tcPr>
            <w:tcW w:w="1400" w:type="dxa"/>
            <w:vAlign w:val="center"/>
          </w:tcPr>
          <w:p w14:paraId="653EAAB9">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确认问题产品的标记及产品批号，对需要召回的制定召回计划，回收问题产品</w:t>
            </w:r>
          </w:p>
        </w:tc>
      </w:tr>
    </w:tbl>
    <w:p w14:paraId="492CA8AF">
      <w:pPr>
        <w:rPr>
          <w:color w:val="auto"/>
        </w:rPr>
        <w:sectPr>
          <w:footerReference r:id="rId13" w:type="default"/>
          <w:pgSz w:w="11906" w:h="16838"/>
          <w:pgMar w:top="1440" w:right="1803" w:bottom="1440" w:left="1803" w:header="850" w:footer="992" w:gutter="0"/>
          <w:pgBorders>
            <w:top w:val="none" w:sz="0" w:space="0"/>
            <w:left w:val="none" w:sz="0" w:space="0"/>
            <w:bottom w:val="none" w:sz="0" w:space="0"/>
            <w:right w:val="none" w:sz="0" w:space="0"/>
          </w:pgBorders>
          <w:pgNumType w:fmt="decimal"/>
          <w:cols w:space="0" w:num="1"/>
          <w:rtlGutter w:val="0"/>
          <w:docGrid w:linePitch="0" w:charSpace="0"/>
        </w:sectPr>
      </w:pPr>
    </w:p>
    <w:p w14:paraId="6F40AB74">
      <w:pPr>
        <w:pStyle w:val="17"/>
        <w:numPr>
          <w:ilvl w:val="2"/>
          <w:numId w:val="0"/>
        </w:numPr>
        <w:spacing w:before="120" w:after="120"/>
        <w:ind w:left="0" w:leftChars="0" w:firstLine="0" w:firstLineChars="0"/>
        <w:outlineLvl w:val="0"/>
        <w:rPr>
          <w:rFonts w:hint="eastAsia"/>
          <w:color w:val="auto"/>
          <w:lang w:val="en-US" w:eastAsia="zh-CN"/>
        </w:rPr>
      </w:pPr>
      <w:bookmarkStart w:id="31" w:name="_Toc567457957"/>
      <w:r>
        <w:rPr>
          <w:rFonts w:hint="eastAsia"/>
          <w:color w:val="auto"/>
          <w:lang w:val="en-US" w:eastAsia="zh-CN"/>
        </w:rPr>
        <w:t>A.2  产业链高风险环节控制方案</w:t>
      </w:r>
      <w:bookmarkEnd w:id="31"/>
    </w:p>
    <w:p w14:paraId="74319F38">
      <w:pPr>
        <w:pStyle w:val="18"/>
        <w:numPr>
          <w:ilvl w:val="3"/>
          <w:numId w:val="0"/>
        </w:numPr>
        <w:spacing w:before="120" w:after="120"/>
        <w:ind w:left="0" w:leftChars="0" w:firstLine="0" w:firstLineChars="0"/>
        <w:outlineLvl w:val="1"/>
        <w:rPr>
          <w:rFonts w:hint="eastAsia" w:ascii="宋体" w:hAnsi="Times New Roman" w:eastAsia="宋体" w:cs="Times New Roman"/>
          <w:color w:val="auto"/>
          <w:sz w:val="21"/>
          <w:lang w:val="en-US" w:eastAsia="zh-CN" w:bidi="ar-SA"/>
        </w:rPr>
      </w:pPr>
      <w:bookmarkStart w:id="32" w:name="_Toc554811234"/>
      <w:r>
        <w:rPr>
          <w:rFonts w:hint="eastAsia" w:ascii="宋体" w:hAnsi="Times New Roman" w:eastAsia="宋体" w:cs="Times New Roman"/>
          <w:color w:val="auto"/>
          <w:sz w:val="21"/>
          <w:lang w:val="en-US" w:eastAsia="zh-CN" w:bidi="ar-SA"/>
        </w:rPr>
        <w:t>A.2.1  苹果种植及采摘</w:t>
      </w:r>
      <w:bookmarkEnd w:id="32"/>
    </w:p>
    <w:tbl>
      <w:tblPr>
        <w:tblStyle w:val="21"/>
        <w:tblW w:w="829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2"/>
        <w:gridCol w:w="1040"/>
        <w:gridCol w:w="875"/>
        <w:gridCol w:w="979"/>
        <w:gridCol w:w="998"/>
        <w:gridCol w:w="731"/>
        <w:gridCol w:w="928"/>
        <w:gridCol w:w="738"/>
        <w:gridCol w:w="731"/>
        <w:gridCol w:w="441"/>
      </w:tblGrid>
      <w:tr w14:paraId="12253F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832" w:type="dxa"/>
            <w:vAlign w:val="center"/>
          </w:tcPr>
          <w:p w14:paraId="394B881D">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控制环节</w:t>
            </w:r>
          </w:p>
        </w:tc>
        <w:tc>
          <w:tcPr>
            <w:tcW w:w="1040" w:type="dxa"/>
            <w:shd w:val="clear" w:color="auto" w:fill="auto"/>
            <w:vAlign w:val="center"/>
          </w:tcPr>
          <w:p w14:paraId="00A85FC0">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控制对象</w:t>
            </w:r>
          </w:p>
        </w:tc>
        <w:tc>
          <w:tcPr>
            <w:tcW w:w="875" w:type="dxa"/>
            <w:tcBorders>
              <w:bottom w:val="nil"/>
            </w:tcBorders>
            <w:shd w:val="clear" w:color="auto" w:fill="auto"/>
            <w:vAlign w:val="center"/>
          </w:tcPr>
          <w:p w14:paraId="1EF84F0C">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控制标准</w:t>
            </w:r>
          </w:p>
        </w:tc>
        <w:tc>
          <w:tcPr>
            <w:tcW w:w="979" w:type="dxa"/>
            <w:shd w:val="clear" w:color="auto" w:fill="auto"/>
            <w:vAlign w:val="center"/>
          </w:tcPr>
          <w:p w14:paraId="0EC3C6D3">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频率</w:t>
            </w:r>
          </w:p>
        </w:tc>
        <w:tc>
          <w:tcPr>
            <w:tcW w:w="998" w:type="dxa"/>
            <w:shd w:val="clear" w:color="auto" w:fill="auto"/>
            <w:vAlign w:val="center"/>
          </w:tcPr>
          <w:p w14:paraId="41BEC5ED">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操作人员</w:t>
            </w:r>
          </w:p>
        </w:tc>
        <w:tc>
          <w:tcPr>
            <w:tcW w:w="731" w:type="dxa"/>
            <w:shd w:val="clear" w:color="auto" w:fill="auto"/>
            <w:vAlign w:val="center"/>
          </w:tcPr>
          <w:p w14:paraId="2D5C7BF7">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记录</w:t>
            </w:r>
          </w:p>
        </w:tc>
        <w:tc>
          <w:tcPr>
            <w:tcW w:w="928" w:type="dxa"/>
            <w:shd w:val="clear" w:color="auto" w:fill="auto"/>
            <w:vAlign w:val="center"/>
          </w:tcPr>
          <w:p w14:paraId="1CD30123">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监控人员</w:t>
            </w:r>
          </w:p>
        </w:tc>
        <w:tc>
          <w:tcPr>
            <w:tcW w:w="738" w:type="dxa"/>
            <w:shd w:val="clear" w:color="auto" w:fill="auto"/>
            <w:vAlign w:val="center"/>
          </w:tcPr>
          <w:p w14:paraId="09035A56">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监控频率</w:t>
            </w:r>
          </w:p>
        </w:tc>
        <w:tc>
          <w:tcPr>
            <w:tcW w:w="731" w:type="dxa"/>
            <w:shd w:val="clear" w:color="auto" w:fill="auto"/>
            <w:vAlign w:val="center"/>
          </w:tcPr>
          <w:p w14:paraId="62E14389">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监控记录</w:t>
            </w:r>
          </w:p>
        </w:tc>
        <w:tc>
          <w:tcPr>
            <w:tcW w:w="441" w:type="dxa"/>
            <w:vAlign w:val="center"/>
          </w:tcPr>
          <w:p w14:paraId="3285AB39">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纠偏</w:t>
            </w:r>
          </w:p>
          <w:p w14:paraId="3DBFCD46">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计划</w:t>
            </w:r>
          </w:p>
        </w:tc>
      </w:tr>
      <w:tr w14:paraId="6F9144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832" w:type="dxa"/>
            <w:vAlign w:val="center"/>
          </w:tcPr>
          <w:p w14:paraId="517E819E">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苹果种植环境</w:t>
            </w:r>
          </w:p>
        </w:tc>
        <w:tc>
          <w:tcPr>
            <w:tcW w:w="1040" w:type="dxa"/>
            <w:vAlign w:val="center"/>
          </w:tcPr>
          <w:p w14:paraId="666F2B48">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土壤</w:t>
            </w:r>
          </w:p>
        </w:tc>
        <w:tc>
          <w:tcPr>
            <w:tcW w:w="875" w:type="dxa"/>
            <w:vMerge w:val="restart"/>
            <w:tcBorders>
              <w:bottom w:val="nil"/>
            </w:tcBorders>
            <w:vAlign w:val="center"/>
          </w:tcPr>
          <w:p w14:paraId="3EAA1A6F">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《农残控制流程及管理办法》《产品质量和食品安全风险监控管理办法》</w:t>
            </w:r>
          </w:p>
        </w:tc>
        <w:tc>
          <w:tcPr>
            <w:tcW w:w="979" w:type="dxa"/>
            <w:vAlign w:val="center"/>
          </w:tcPr>
          <w:p w14:paraId="01DED3A4">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每五年一次</w:t>
            </w:r>
          </w:p>
        </w:tc>
        <w:tc>
          <w:tcPr>
            <w:tcW w:w="998" w:type="dxa"/>
            <w:vAlign w:val="center"/>
          </w:tcPr>
          <w:p w14:paraId="06BDC8C3">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农残管理员</w:t>
            </w:r>
          </w:p>
        </w:tc>
        <w:tc>
          <w:tcPr>
            <w:tcW w:w="731" w:type="dxa"/>
            <w:vAlign w:val="center"/>
          </w:tcPr>
          <w:p w14:paraId="48599543">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土壤取样记录</w:t>
            </w:r>
          </w:p>
        </w:tc>
        <w:tc>
          <w:tcPr>
            <w:tcW w:w="928" w:type="dxa"/>
            <w:vAlign w:val="center"/>
          </w:tcPr>
          <w:p w14:paraId="7B5BE158">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基地负责人</w:t>
            </w:r>
          </w:p>
        </w:tc>
        <w:tc>
          <w:tcPr>
            <w:tcW w:w="738" w:type="dxa"/>
            <w:vAlign w:val="center"/>
          </w:tcPr>
          <w:p w14:paraId="5BD2D221">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抽检</w:t>
            </w:r>
          </w:p>
        </w:tc>
        <w:tc>
          <w:tcPr>
            <w:tcW w:w="731" w:type="dxa"/>
            <w:vAlign w:val="center"/>
          </w:tcPr>
          <w:p w14:paraId="30799962">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土壤取样记录</w:t>
            </w:r>
          </w:p>
        </w:tc>
        <w:tc>
          <w:tcPr>
            <w:tcW w:w="441" w:type="dxa"/>
            <w:vAlign w:val="center"/>
          </w:tcPr>
          <w:p w14:paraId="77E0C14C">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拒种</w:t>
            </w:r>
          </w:p>
        </w:tc>
      </w:tr>
      <w:tr w14:paraId="20DBDE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832" w:type="dxa"/>
            <w:vAlign w:val="center"/>
          </w:tcPr>
          <w:p w14:paraId="3D874AE5">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灌溉施肥</w:t>
            </w:r>
          </w:p>
        </w:tc>
        <w:tc>
          <w:tcPr>
            <w:tcW w:w="1040" w:type="dxa"/>
            <w:vAlign w:val="center"/>
          </w:tcPr>
          <w:p w14:paraId="3B850DB3">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灌溉用水</w:t>
            </w:r>
          </w:p>
        </w:tc>
        <w:tc>
          <w:tcPr>
            <w:tcW w:w="875" w:type="dxa"/>
            <w:vMerge w:val="continue"/>
            <w:tcBorders>
              <w:top w:val="nil"/>
              <w:bottom w:val="nil"/>
            </w:tcBorders>
            <w:vAlign w:val="center"/>
          </w:tcPr>
          <w:p w14:paraId="63AFDB0B">
            <w:pPr>
              <w:pStyle w:val="22"/>
              <w:jc w:val="center"/>
              <w:rPr>
                <w:rFonts w:hint="eastAsia" w:ascii="宋体" w:hAnsi="Times New Roman" w:eastAsia="宋体" w:cs="Times New Roman"/>
                <w:color w:val="auto"/>
                <w:kern w:val="2"/>
                <w:sz w:val="18"/>
                <w:szCs w:val="20"/>
                <w:lang w:val="en-US" w:eastAsia="zh-CN" w:bidi="ar-SA"/>
              </w:rPr>
            </w:pPr>
          </w:p>
        </w:tc>
        <w:tc>
          <w:tcPr>
            <w:tcW w:w="979" w:type="dxa"/>
            <w:vAlign w:val="center"/>
          </w:tcPr>
          <w:p w14:paraId="43642B9C">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每年一次</w:t>
            </w:r>
          </w:p>
        </w:tc>
        <w:tc>
          <w:tcPr>
            <w:tcW w:w="998" w:type="dxa"/>
            <w:vAlign w:val="center"/>
          </w:tcPr>
          <w:p w14:paraId="64357574">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农残管理员</w:t>
            </w:r>
          </w:p>
        </w:tc>
        <w:tc>
          <w:tcPr>
            <w:tcW w:w="731" w:type="dxa"/>
            <w:vAlign w:val="center"/>
          </w:tcPr>
          <w:p w14:paraId="46D83D9B">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水质取样记录</w:t>
            </w:r>
          </w:p>
        </w:tc>
        <w:tc>
          <w:tcPr>
            <w:tcW w:w="928" w:type="dxa"/>
            <w:vAlign w:val="center"/>
          </w:tcPr>
          <w:p w14:paraId="42B955D8">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基地负责人</w:t>
            </w:r>
          </w:p>
        </w:tc>
        <w:tc>
          <w:tcPr>
            <w:tcW w:w="738" w:type="dxa"/>
            <w:vAlign w:val="center"/>
          </w:tcPr>
          <w:p w14:paraId="527D5968">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抽检</w:t>
            </w:r>
          </w:p>
        </w:tc>
        <w:tc>
          <w:tcPr>
            <w:tcW w:w="731" w:type="dxa"/>
            <w:vAlign w:val="center"/>
          </w:tcPr>
          <w:p w14:paraId="229FC305">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水质取样记录</w:t>
            </w:r>
          </w:p>
        </w:tc>
        <w:tc>
          <w:tcPr>
            <w:tcW w:w="441" w:type="dxa"/>
            <w:vAlign w:val="center"/>
          </w:tcPr>
          <w:p w14:paraId="1E2B68D0">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拒收</w:t>
            </w:r>
          </w:p>
        </w:tc>
      </w:tr>
      <w:tr w14:paraId="5D4B0C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832" w:type="dxa"/>
            <w:vMerge w:val="restart"/>
            <w:tcBorders>
              <w:bottom w:val="nil"/>
            </w:tcBorders>
            <w:vAlign w:val="center"/>
          </w:tcPr>
          <w:p w14:paraId="6F2D06F1">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农药选择与使用</w:t>
            </w:r>
          </w:p>
        </w:tc>
        <w:tc>
          <w:tcPr>
            <w:tcW w:w="1040" w:type="dxa"/>
            <w:vAlign w:val="center"/>
          </w:tcPr>
          <w:p w14:paraId="585E8364">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禁用农药</w:t>
            </w:r>
          </w:p>
        </w:tc>
        <w:tc>
          <w:tcPr>
            <w:tcW w:w="875" w:type="dxa"/>
            <w:vMerge w:val="continue"/>
            <w:tcBorders>
              <w:top w:val="nil"/>
              <w:bottom w:val="nil"/>
            </w:tcBorders>
            <w:vAlign w:val="center"/>
          </w:tcPr>
          <w:p w14:paraId="63EE7874">
            <w:pPr>
              <w:pStyle w:val="22"/>
              <w:jc w:val="center"/>
              <w:rPr>
                <w:rFonts w:hint="eastAsia" w:ascii="宋体" w:hAnsi="Times New Roman" w:eastAsia="宋体" w:cs="Times New Roman"/>
                <w:color w:val="auto"/>
                <w:kern w:val="2"/>
                <w:sz w:val="18"/>
                <w:szCs w:val="20"/>
                <w:lang w:val="en-US" w:eastAsia="zh-CN" w:bidi="ar-SA"/>
              </w:rPr>
            </w:pPr>
          </w:p>
        </w:tc>
        <w:tc>
          <w:tcPr>
            <w:tcW w:w="979" w:type="dxa"/>
            <w:vAlign w:val="center"/>
          </w:tcPr>
          <w:p w14:paraId="59D85F79">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根据上年检出情况制定</w:t>
            </w:r>
          </w:p>
        </w:tc>
        <w:tc>
          <w:tcPr>
            <w:tcW w:w="998" w:type="dxa"/>
            <w:vAlign w:val="center"/>
          </w:tcPr>
          <w:p w14:paraId="2B4C8705">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农残管理员、化验员</w:t>
            </w:r>
          </w:p>
        </w:tc>
        <w:tc>
          <w:tcPr>
            <w:tcW w:w="731" w:type="dxa"/>
            <w:vAlign w:val="center"/>
          </w:tcPr>
          <w:p w14:paraId="27FD9AC0">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样品送样记录、检测报告</w:t>
            </w:r>
          </w:p>
        </w:tc>
        <w:tc>
          <w:tcPr>
            <w:tcW w:w="928" w:type="dxa"/>
            <w:vAlign w:val="center"/>
          </w:tcPr>
          <w:p w14:paraId="363721ED">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基地负责人</w:t>
            </w:r>
          </w:p>
        </w:tc>
        <w:tc>
          <w:tcPr>
            <w:tcW w:w="738" w:type="dxa"/>
            <w:vAlign w:val="center"/>
          </w:tcPr>
          <w:p w14:paraId="63B87E87">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抽检</w:t>
            </w:r>
          </w:p>
        </w:tc>
        <w:tc>
          <w:tcPr>
            <w:tcW w:w="731" w:type="dxa"/>
            <w:vAlign w:val="center"/>
          </w:tcPr>
          <w:p w14:paraId="31B07C65">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样品送样记录、检测报告</w:t>
            </w:r>
          </w:p>
        </w:tc>
        <w:tc>
          <w:tcPr>
            <w:tcW w:w="441" w:type="dxa"/>
            <w:vAlign w:val="center"/>
          </w:tcPr>
          <w:p w14:paraId="0ADB7F7E">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拒收</w:t>
            </w:r>
          </w:p>
        </w:tc>
      </w:tr>
      <w:tr w14:paraId="6B2715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832" w:type="dxa"/>
            <w:vMerge w:val="continue"/>
            <w:tcBorders>
              <w:top w:val="nil"/>
            </w:tcBorders>
            <w:vAlign w:val="center"/>
          </w:tcPr>
          <w:p w14:paraId="591F4742">
            <w:pPr>
              <w:pStyle w:val="22"/>
              <w:jc w:val="center"/>
              <w:rPr>
                <w:rFonts w:hint="eastAsia" w:ascii="宋体" w:hAnsi="Times New Roman" w:eastAsia="宋体" w:cs="Times New Roman"/>
                <w:color w:val="auto"/>
                <w:kern w:val="2"/>
                <w:sz w:val="18"/>
                <w:szCs w:val="20"/>
                <w:lang w:val="en-US" w:eastAsia="zh-CN" w:bidi="ar-SA"/>
              </w:rPr>
            </w:pPr>
          </w:p>
        </w:tc>
        <w:tc>
          <w:tcPr>
            <w:tcW w:w="1040" w:type="dxa"/>
            <w:vAlign w:val="center"/>
          </w:tcPr>
          <w:p w14:paraId="24CD7B6B">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喷药遵守安全间隔期</w:t>
            </w:r>
          </w:p>
        </w:tc>
        <w:tc>
          <w:tcPr>
            <w:tcW w:w="875" w:type="dxa"/>
            <w:vMerge w:val="continue"/>
            <w:tcBorders>
              <w:top w:val="nil"/>
            </w:tcBorders>
            <w:vAlign w:val="center"/>
          </w:tcPr>
          <w:p w14:paraId="6383F225">
            <w:pPr>
              <w:pStyle w:val="22"/>
              <w:jc w:val="center"/>
              <w:rPr>
                <w:rFonts w:hint="eastAsia" w:ascii="宋体" w:hAnsi="Times New Roman" w:eastAsia="宋体" w:cs="Times New Roman"/>
                <w:color w:val="auto"/>
                <w:kern w:val="2"/>
                <w:sz w:val="18"/>
                <w:szCs w:val="20"/>
                <w:lang w:val="en-US" w:eastAsia="zh-CN" w:bidi="ar-SA"/>
              </w:rPr>
            </w:pPr>
          </w:p>
        </w:tc>
        <w:tc>
          <w:tcPr>
            <w:tcW w:w="979" w:type="dxa"/>
            <w:vAlign w:val="center"/>
          </w:tcPr>
          <w:p w14:paraId="15E79A39">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根据上年检出情况制定</w:t>
            </w:r>
          </w:p>
        </w:tc>
        <w:tc>
          <w:tcPr>
            <w:tcW w:w="998" w:type="dxa"/>
            <w:vAlign w:val="center"/>
          </w:tcPr>
          <w:p w14:paraId="473483CE">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农残管理员、化验员</w:t>
            </w:r>
          </w:p>
        </w:tc>
        <w:tc>
          <w:tcPr>
            <w:tcW w:w="731" w:type="dxa"/>
            <w:vAlign w:val="center"/>
          </w:tcPr>
          <w:p w14:paraId="1EB625E0">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样品送样记录、检测报告</w:t>
            </w:r>
          </w:p>
        </w:tc>
        <w:tc>
          <w:tcPr>
            <w:tcW w:w="928" w:type="dxa"/>
            <w:vAlign w:val="center"/>
          </w:tcPr>
          <w:p w14:paraId="64CA181C">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基地负责人</w:t>
            </w:r>
          </w:p>
        </w:tc>
        <w:tc>
          <w:tcPr>
            <w:tcW w:w="738" w:type="dxa"/>
            <w:vAlign w:val="center"/>
          </w:tcPr>
          <w:p w14:paraId="3173F781">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抽检</w:t>
            </w:r>
          </w:p>
        </w:tc>
        <w:tc>
          <w:tcPr>
            <w:tcW w:w="731" w:type="dxa"/>
            <w:vAlign w:val="center"/>
          </w:tcPr>
          <w:p w14:paraId="065F81DE">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样品送样记录、检测报告</w:t>
            </w:r>
          </w:p>
        </w:tc>
        <w:tc>
          <w:tcPr>
            <w:tcW w:w="441" w:type="dxa"/>
            <w:vAlign w:val="center"/>
          </w:tcPr>
          <w:p w14:paraId="1F2FDA2B">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拒收</w:t>
            </w:r>
          </w:p>
        </w:tc>
      </w:tr>
    </w:tbl>
    <w:p w14:paraId="74FD7FE6">
      <w:pPr>
        <w:rPr>
          <w:rFonts w:ascii="黑体" w:hAnsi="黑体" w:eastAsia="黑体" w:cs="黑体"/>
          <w:color w:val="auto"/>
          <w:sz w:val="20"/>
          <w:szCs w:val="20"/>
        </w:rPr>
      </w:pPr>
    </w:p>
    <w:p w14:paraId="610414CE">
      <w:pPr>
        <w:pStyle w:val="18"/>
        <w:numPr>
          <w:ilvl w:val="3"/>
          <w:numId w:val="0"/>
        </w:numPr>
        <w:spacing w:before="120" w:after="120"/>
        <w:ind w:left="0" w:leftChars="0" w:firstLine="0" w:firstLineChars="0"/>
        <w:outlineLvl w:val="1"/>
        <w:rPr>
          <w:rFonts w:hint="eastAsia" w:ascii="宋体" w:hAnsi="Times New Roman" w:eastAsia="宋体" w:cs="Times New Roman"/>
          <w:color w:val="auto"/>
          <w:sz w:val="21"/>
          <w:lang w:val="en-US" w:eastAsia="zh-CN" w:bidi="ar-SA"/>
        </w:rPr>
      </w:pPr>
      <w:bookmarkStart w:id="33" w:name="_Toc1407629758"/>
      <w:r>
        <w:rPr>
          <w:rFonts w:hint="eastAsia" w:ascii="宋体" w:hAnsi="Times New Roman" w:eastAsia="宋体" w:cs="Times New Roman"/>
          <w:color w:val="auto"/>
          <w:sz w:val="21"/>
          <w:lang w:val="en-US" w:eastAsia="zh-CN" w:bidi="ar-SA"/>
        </w:rPr>
        <w:t>A.2.2  原辅料采购</w:t>
      </w:r>
      <w:bookmarkEnd w:id="33"/>
    </w:p>
    <w:tbl>
      <w:tblPr>
        <w:tblStyle w:val="21"/>
        <w:tblW w:w="8301" w:type="dxa"/>
        <w:tblInd w:w="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3"/>
        <w:gridCol w:w="1036"/>
        <w:gridCol w:w="877"/>
        <w:gridCol w:w="979"/>
        <w:gridCol w:w="1004"/>
        <w:gridCol w:w="718"/>
        <w:gridCol w:w="934"/>
        <w:gridCol w:w="738"/>
        <w:gridCol w:w="731"/>
        <w:gridCol w:w="451"/>
      </w:tblGrid>
      <w:tr w14:paraId="1BDCD3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8" w:hRule="exact"/>
        </w:trPr>
        <w:tc>
          <w:tcPr>
            <w:tcW w:w="833" w:type="dxa"/>
            <w:tcBorders>
              <w:top w:val="single" w:color="auto" w:sz="4" w:space="0"/>
              <w:bottom w:val="single" w:color="auto" w:sz="4" w:space="0"/>
            </w:tcBorders>
            <w:shd w:val="clear" w:color="auto" w:fill="auto"/>
            <w:vAlign w:val="center"/>
          </w:tcPr>
          <w:p w14:paraId="0CC0C447">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控制环节</w:t>
            </w:r>
          </w:p>
        </w:tc>
        <w:tc>
          <w:tcPr>
            <w:tcW w:w="1036" w:type="dxa"/>
            <w:shd w:val="clear" w:color="auto" w:fill="auto"/>
            <w:vAlign w:val="center"/>
          </w:tcPr>
          <w:p w14:paraId="0C3B6BCA">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控制对象</w:t>
            </w:r>
          </w:p>
        </w:tc>
        <w:tc>
          <w:tcPr>
            <w:tcW w:w="877" w:type="dxa"/>
            <w:shd w:val="clear" w:color="auto" w:fill="auto"/>
            <w:vAlign w:val="center"/>
          </w:tcPr>
          <w:p w14:paraId="5428E68A">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控制标准</w:t>
            </w:r>
          </w:p>
        </w:tc>
        <w:tc>
          <w:tcPr>
            <w:tcW w:w="979" w:type="dxa"/>
            <w:shd w:val="clear" w:color="auto" w:fill="auto"/>
            <w:vAlign w:val="center"/>
          </w:tcPr>
          <w:p w14:paraId="3773451B">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频率</w:t>
            </w:r>
          </w:p>
        </w:tc>
        <w:tc>
          <w:tcPr>
            <w:tcW w:w="1004" w:type="dxa"/>
            <w:shd w:val="clear" w:color="auto" w:fill="auto"/>
            <w:vAlign w:val="center"/>
          </w:tcPr>
          <w:p w14:paraId="74CC3DD5">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操作人员</w:t>
            </w:r>
          </w:p>
        </w:tc>
        <w:tc>
          <w:tcPr>
            <w:tcW w:w="718" w:type="dxa"/>
            <w:shd w:val="clear" w:color="auto" w:fill="auto"/>
            <w:vAlign w:val="center"/>
          </w:tcPr>
          <w:p w14:paraId="0C8421B5">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记录</w:t>
            </w:r>
          </w:p>
        </w:tc>
        <w:tc>
          <w:tcPr>
            <w:tcW w:w="934" w:type="dxa"/>
            <w:tcBorders>
              <w:top w:val="single" w:color="auto" w:sz="4" w:space="0"/>
            </w:tcBorders>
            <w:shd w:val="clear" w:color="auto" w:fill="auto"/>
            <w:vAlign w:val="center"/>
          </w:tcPr>
          <w:p w14:paraId="270CDB3F">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监控人员</w:t>
            </w:r>
          </w:p>
        </w:tc>
        <w:tc>
          <w:tcPr>
            <w:tcW w:w="738" w:type="dxa"/>
            <w:tcBorders>
              <w:top w:val="single" w:color="auto" w:sz="4" w:space="0"/>
            </w:tcBorders>
            <w:shd w:val="clear" w:color="auto" w:fill="auto"/>
            <w:vAlign w:val="center"/>
          </w:tcPr>
          <w:p w14:paraId="31EB2DBB">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监控频率</w:t>
            </w:r>
          </w:p>
        </w:tc>
        <w:tc>
          <w:tcPr>
            <w:tcW w:w="731" w:type="dxa"/>
            <w:tcBorders>
              <w:top w:val="single" w:color="auto" w:sz="4" w:space="0"/>
              <w:bottom w:val="single" w:color="auto" w:sz="4" w:space="0"/>
            </w:tcBorders>
            <w:shd w:val="clear" w:color="auto" w:fill="auto"/>
            <w:vAlign w:val="center"/>
          </w:tcPr>
          <w:p w14:paraId="249B394A">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监控记录</w:t>
            </w:r>
          </w:p>
        </w:tc>
        <w:tc>
          <w:tcPr>
            <w:tcW w:w="451" w:type="dxa"/>
            <w:tcBorders>
              <w:top w:val="single" w:color="auto" w:sz="4" w:space="0"/>
              <w:bottom w:val="single" w:color="auto" w:sz="4" w:space="0"/>
            </w:tcBorders>
            <w:shd w:val="clear" w:color="auto" w:fill="auto"/>
            <w:vAlign w:val="center"/>
          </w:tcPr>
          <w:p w14:paraId="172B6675">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纠偏</w:t>
            </w:r>
          </w:p>
          <w:p w14:paraId="178CDC51">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计划</w:t>
            </w:r>
          </w:p>
        </w:tc>
      </w:tr>
      <w:tr w14:paraId="7611AC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68" w:hRule="exact"/>
        </w:trPr>
        <w:tc>
          <w:tcPr>
            <w:tcW w:w="833" w:type="dxa"/>
            <w:tcBorders>
              <w:top w:val="single" w:color="auto" w:sz="4" w:space="0"/>
            </w:tcBorders>
            <w:shd w:val="clear" w:color="auto" w:fill="auto"/>
            <w:vAlign w:val="center"/>
          </w:tcPr>
          <w:p w14:paraId="549AE9D9">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到货</w:t>
            </w:r>
          </w:p>
          <w:p w14:paraId="2303E6BC">
            <w:pPr>
              <w:pStyle w:val="22"/>
              <w:jc w:val="center"/>
              <w:rPr>
                <w:rFonts w:hint="eastAsia" w:ascii="宋体" w:hAnsi="Times New Roman" w:eastAsia="宋体" w:cs="Times New Roman"/>
                <w:color w:val="auto"/>
                <w:kern w:val="2"/>
                <w:sz w:val="18"/>
                <w:szCs w:val="20"/>
                <w:lang w:val="en-US" w:eastAsia="en-US" w:bidi="ar-SA"/>
              </w:rPr>
            </w:pPr>
            <w:r>
              <w:rPr>
                <w:rFonts w:hint="eastAsia" w:ascii="宋体" w:hAnsi="Times New Roman" w:eastAsia="宋体" w:cs="Times New Roman"/>
                <w:color w:val="auto"/>
                <w:kern w:val="2"/>
                <w:sz w:val="18"/>
                <w:szCs w:val="20"/>
                <w:lang w:val="en-US" w:eastAsia="zh-CN" w:bidi="ar-SA"/>
              </w:rPr>
              <w:t>验收</w:t>
            </w:r>
          </w:p>
        </w:tc>
        <w:tc>
          <w:tcPr>
            <w:tcW w:w="1036" w:type="dxa"/>
            <w:shd w:val="clear" w:color="auto" w:fill="auto"/>
            <w:vAlign w:val="center"/>
          </w:tcPr>
          <w:p w14:paraId="04E7639F">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辅料中含</w:t>
            </w:r>
          </w:p>
          <w:p w14:paraId="1507632F">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有有毒有</w:t>
            </w:r>
          </w:p>
          <w:p w14:paraId="6563EE9A">
            <w:pPr>
              <w:pStyle w:val="22"/>
              <w:jc w:val="center"/>
              <w:rPr>
                <w:rFonts w:hint="eastAsia" w:ascii="宋体" w:hAnsi="Times New Roman" w:eastAsia="宋体" w:cs="Times New Roman"/>
                <w:color w:val="auto"/>
                <w:kern w:val="2"/>
                <w:sz w:val="18"/>
                <w:szCs w:val="20"/>
                <w:lang w:val="en-US" w:eastAsia="en-US" w:bidi="ar-SA"/>
              </w:rPr>
            </w:pPr>
            <w:r>
              <w:rPr>
                <w:rFonts w:hint="eastAsia" w:ascii="宋体" w:hAnsi="Times New Roman" w:eastAsia="宋体" w:cs="Times New Roman"/>
                <w:color w:val="auto"/>
                <w:kern w:val="2"/>
                <w:sz w:val="18"/>
                <w:szCs w:val="20"/>
                <w:lang w:val="en-US" w:eastAsia="zh-CN" w:bidi="ar-SA"/>
              </w:rPr>
              <w:t>害物质</w:t>
            </w:r>
          </w:p>
        </w:tc>
        <w:tc>
          <w:tcPr>
            <w:tcW w:w="877" w:type="dxa"/>
            <w:shd w:val="clear" w:color="auto" w:fill="auto"/>
            <w:vAlign w:val="center"/>
          </w:tcPr>
          <w:p w14:paraId="1083EC7C">
            <w:pPr>
              <w:pStyle w:val="22"/>
              <w:jc w:val="center"/>
              <w:rPr>
                <w:rFonts w:hint="eastAsia" w:ascii="宋体" w:hAnsi="Times New Roman" w:eastAsia="宋体" w:cs="Times New Roman"/>
                <w:color w:val="auto"/>
                <w:kern w:val="2"/>
                <w:sz w:val="18"/>
                <w:szCs w:val="20"/>
                <w:lang w:val="en-US" w:eastAsia="en-US" w:bidi="ar-SA"/>
              </w:rPr>
            </w:pPr>
            <w:r>
              <w:rPr>
                <w:rFonts w:hint="eastAsia" w:ascii="宋体" w:hAnsi="Times New Roman" w:eastAsia="宋体" w:cs="Times New Roman"/>
                <w:color w:val="auto"/>
                <w:kern w:val="2"/>
                <w:sz w:val="18"/>
                <w:szCs w:val="20"/>
                <w:lang w:val="en-US" w:eastAsia="zh-CN" w:bidi="ar-SA"/>
              </w:rPr>
              <w:t>《原辅料验收标准》</w:t>
            </w:r>
          </w:p>
        </w:tc>
        <w:tc>
          <w:tcPr>
            <w:tcW w:w="979" w:type="dxa"/>
            <w:shd w:val="clear" w:color="auto" w:fill="auto"/>
            <w:vAlign w:val="center"/>
          </w:tcPr>
          <w:p w14:paraId="6A2C223C">
            <w:pPr>
              <w:pStyle w:val="22"/>
              <w:jc w:val="center"/>
              <w:rPr>
                <w:rFonts w:hint="eastAsia" w:ascii="宋体" w:hAnsi="Times New Roman" w:eastAsia="宋体" w:cs="Times New Roman"/>
                <w:color w:val="auto"/>
                <w:kern w:val="2"/>
                <w:sz w:val="18"/>
                <w:szCs w:val="20"/>
                <w:lang w:val="en-US" w:eastAsia="en-US" w:bidi="ar-SA"/>
              </w:rPr>
            </w:pPr>
            <w:r>
              <w:rPr>
                <w:rFonts w:hint="eastAsia" w:ascii="宋体" w:hAnsi="Times New Roman" w:eastAsia="宋体" w:cs="Times New Roman"/>
                <w:color w:val="auto"/>
                <w:kern w:val="2"/>
                <w:sz w:val="18"/>
                <w:szCs w:val="20"/>
                <w:lang w:val="en-US" w:eastAsia="zh-CN" w:bidi="ar-SA"/>
              </w:rPr>
              <w:t>每批</w:t>
            </w:r>
          </w:p>
        </w:tc>
        <w:tc>
          <w:tcPr>
            <w:tcW w:w="1004" w:type="dxa"/>
            <w:shd w:val="clear" w:color="auto" w:fill="auto"/>
            <w:vAlign w:val="center"/>
          </w:tcPr>
          <w:p w14:paraId="73756E3F">
            <w:pPr>
              <w:pStyle w:val="22"/>
              <w:jc w:val="center"/>
              <w:rPr>
                <w:rFonts w:hint="eastAsia" w:ascii="宋体" w:hAnsi="Times New Roman" w:eastAsia="宋体" w:cs="Times New Roman"/>
                <w:color w:val="auto"/>
                <w:kern w:val="2"/>
                <w:sz w:val="18"/>
                <w:szCs w:val="20"/>
                <w:lang w:val="en-US" w:eastAsia="en-US" w:bidi="ar-SA"/>
              </w:rPr>
            </w:pPr>
            <w:r>
              <w:rPr>
                <w:rFonts w:hint="eastAsia" w:ascii="宋体" w:hAnsi="Times New Roman" w:eastAsia="宋体" w:cs="Times New Roman"/>
                <w:color w:val="auto"/>
                <w:kern w:val="2"/>
                <w:sz w:val="18"/>
                <w:szCs w:val="20"/>
                <w:lang w:val="en-US" w:eastAsia="zh-CN" w:bidi="ar-SA"/>
              </w:rPr>
              <w:t>化验员</w:t>
            </w:r>
          </w:p>
        </w:tc>
        <w:tc>
          <w:tcPr>
            <w:tcW w:w="718" w:type="dxa"/>
            <w:shd w:val="clear" w:color="auto" w:fill="auto"/>
            <w:vAlign w:val="center"/>
          </w:tcPr>
          <w:p w14:paraId="654F2878">
            <w:pPr>
              <w:pStyle w:val="22"/>
              <w:jc w:val="both"/>
              <w:rPr>
                <w:rFonts w:hint="eastAsia" w:ascii="宋体" w:hAnsi="Times New Roman" w:eastAsia="宋体" w:cs="Times New Roman"/>
                <w:color w:val="auto"/>
                <w:kern w:val="2"/>
                <w:sz w:val="18"/>
                <w:szCs w:val="20"/>
                <w:lang w:val="en-US" w:eastAsia="en-US" w:bidi="ar-SA"/>
              </w:rPr>
            </w:pPr>
            <w:r>
              <w:rPr>
                <w:rFonts w:hint="eastAsia" w:ascii="宋体" w:hAnsi="Times New Roman" w:eastAsia="宋体" w:cs="Times New Roman"/>
                <w:color w:val="auto"/>
                <w:kern w:val="2"/>
                <w:sz w:val="18"/>
                <w:szCs w:val="20"/>
                <w:lang w:val="en-US" w:eastAsia="zh-CN" w:bidi="ar-SA"/>
              </w:rPr>
              <w:t>第三方检测报告、《原辅料、包装物检验结果单》</w:t>
            </w:r>
          </w:p>
        </w:tc>
        <w:tc>
          <w:tcPr>
            <w:tcW w:w="934" w:type="dxa"/>
            <w:shd w:val="clear" w:color="auto" w:fill="auto"/>
            <w:vAlign w:val="center"/>
          </w:tcPr>
          <w:p w14:paraId="0EA48F1F">
            <w:pPr>
              <w:pStyle w:val="22"/>
              <w:jc w:val="center"/>
              <w:rPr>
                <w:rFonts w:hint="eastAsia" w:ascii="宋体" w:hAnsi="Times New Roman" w:eastAsia="宋体" w:cs="Times New Roman"/>
                <w:color w:val="auto"/>
                <w:kern w:val="2"/>
                <w:sz w:val="18"/>
                <w:szCs w:val="20"/>
                <w:lang w:val="en-US" w:eastAsia="en-US" w:bidi="ar-SA"/>
              </w:rPr>
            </w:pPr>
            <w:r>
              <w:rPr>
                <w:rFonts w:hint="eastAsia" w:ascii="宋体" w:hAnsi="Times New Roman" w:eastAsia="宋体" w:cs="Times New Roman"/>
                <w:color w:val="auto"/>
                <w:kern w:val="2"/>
                <w:sz w:val="18"/>
                <w:szCs w:val="20"/>
                <w:lang w:val="en-US" w:eastAsia="zh-CN" w:bidi="ar-SA"/>
              </w:rPr>
              <w:t>质量安全管理负责人</w:t>
            </w:r>
          </w:p>
        </w:tc>
        <w:tc>
          <w:tcPr>
            <w:tcW w:w="738" w:type="dxa"/>
            <w:shd w:val="clear" w:color="auto" w:fill="auto"/>
            <w:vAlign w:val="center"/>
          </w:tcPr>
          <w:p w14:paraId="722FB2BC">
            <w:pPr>
              <w:pStyle w:val="22"/>
              <w:jc w:val="center"/>
              <w:rPr>
                <w:rFonts w:hint="eastAsia" w:ascii="宋体" w:hAnsi="Times New Roman" w:eastAsia="宋体" w:cs="Times New Roman"/>
                <w:color w:val="auto"/>
                <w:kern w:val="2"/>
                <w:sz w:val="18"/>
                <w:szCs w:val="20"/>
                <w:lang w:val="en-US" w:eastAsia="en-US" w:bidi="ar-SA"/>
              </w:rPr>
            </w:pPr>
            <w:r>
              <w:rPr>
                <w:rFonts w:hint="eastAsia" w:ascii="宋体" w:hAnsi="Times New Roman" w:eastAsia="宋体" w:cs="Times New Roman"/>
                <w:color w:val="auto"/>
                <w:kern w:val="2"/>
                <w:sz w:val="18"/>
                <w:szCs w:val="20"/>
                <w:lang w:val="en-US" w:eastAsia="zh-CN" w:bidi="ar-SA"/>
              </w:rPr>
              <w:t>批检</w:t>
            </w:r>
          </w:p>
        </w:tc>
        <w:tc>
          <w:tcPr>
            <w:tcW w:w="731" w:type="dxa"/>
            <w:tcBorders>
              <w:top w:val="single" w:color="auto" w:sz="4" w:space="0"/>
            </w:tcBorders>
            <w:shd w:val="clear" w:color="auto" w:fill="auto"/>
            <w:vAlign w:val="center"/>
          </w:tcPr>
          <w:p w14:paraId="07F822BA">
            <w:pPr>
              <w:pStyle w:val="22"/>
              <w:jc w:val="center"/>
              <w:rPr>
                <w:rFonts w:hint="eastAsia" w:ascii="宋体" w:hAnsi="Times New Roman" w:eastAsia="宋体" w:cs="Times New Roman"/>
                <w:color w:val="auto"/>
                <w:kern w:val="2"/>
                <w:sz w:val="18"/>
                <w:szCs w:val="20"/>
                <w:lang w:val="en-US" w:eastAsia="en-US" w:bidi="ar-SA"/>
              </w:rPr>
            </w:pPr>
            <w:r>
              <w:rPr>
                <w:rFonts w:hint="eastAsia" w:ascii="宋体" w:hAnsi="Times New Roman" w:eastAsia="宋体" w:cs="Times New Roman"/>
                <w:color w:val="auto"/>
                <w:kern w:val="2"/>
                <w:sz w:val="18"/>
                <w:szCs w:val="20"/>
                <w:lang w:val="en-US" w:eastAsia="zh-CN" w:bidi="ar-SA"/>
              </w:rPr>
              <w:t>第三方检测报告、《原辅料、包装物检验结果单》</w:t>
            </w:r>
          </w:p>
        </w:tc>
        <w:tc>
          <w:tcPr>
            <w:tcW w:w="451" w:type="dxa"/>
            <w:tcBorders>
              <w:top w:val="single" w:color="auto" w:sz="4" w:space="0"/>
            </w:tcBorders>
            <w:shd w:val="clear" w:color="auto" w:fill="auto"/>
            <w:vAlign w:val="center"/>
          </w:tcPr>
          <w:p w14:paraId="3B1FE939">
            <w:pPr>
              <w:pStyle w:val="22"/>
              <w:jc w:val="center"/>
              <w:rPr>
                <w:rFonts w:hint="eastAsia" w:ascii="宋体" w:hAnsi="Times New Roman" w:eastAsia="宋体" w:cs="Times New Roman"/>
                <w:color w:val="auto"/>
                <w:kern w:val="2"/>
                <w:sz w:val="18"/>
                <w:szCs w:val="20"/>
                <w:lang w:val="en-US" w:eastAsia="en-US" w:bidi="ar-SA"/>
              </w:rPr>
            </w:pPr>
            <w:r>
              <w:rPr>
                <w:rFonts w:hint="eastAsia" w:ascii="宋体" w:hAnsi="Times New Roman" w:eastAsia="宋体" w:cs="Times New Roman"/>
                <w:color w:val="auto"/>
                <w:kern w:val="2"/>
                <w:sz w:val="18"/>
                <w:szCs w:val="20"/>
                <w:lang w:val="en-US" w:eastAsia="zh-CN" w:bidi="ar-SA"/>
              </w:rPr>
              <w:t>拒收</w:t>
            </w:r>
          </w:p>
        </w:tc>
      </w:tr>
    </w:tbl>
    <w:p w14:paraId="410AA9A4">
      <w:pPr>
        <w:pStyle w:val="3"/>
        <w:rPr>
          <w:color w:val="auto"/>
        </w:rPr>
      </w:pPr>
    </w:p>
    <w:p w14:paraId="7003F355">
      <w:pPr>
        <w:rPr>
          <w:color w:val="auto"/>
        </w:rPr>
        <w:sectPr>
          <w:headerReference r:id="rId14" w:type="default"/>
          <w:footerReference r:id="rId15" w:type="default"/>
          <w:pgSz w:w="11906" w:h="16838"/>
          <w:pgMar w:top="1440" w:right="1803" w:bottom="1440" w:left="1803" w:header="850" w:footer="992" w:gutter="0"/>
          <w:pgBorders>
            <w:top w:val="none" w:sz="0" w:space="0"/>
            <w:left w:val="none" w:sz="0" w:space="0"/>
            <w:bottom w:val="none" w:sz="0" w:space="0"/>
            <w:right w:val="none" w:sz="0" w:space="0"/>
          </w:pgBorders>
          <w:pgNumType w:fmt="decimal"/>
          <w:cols w:space="0" w:num="1"/>
          <w:rtlGutter w:val="0"/>
          <w:docGrid w:linePitch="0" w:charSpace="0"/>
        </w:sectPr>
      </w:pPr>
    </w:p>
    <w:p w14:paraId="28A72BE9">
      <w:pPr>
        <w:pStyle w:val="3"/>
        <w:keepNext w:val="0"/>
        <w:keepLines/>
        <w:pageBreakBefore w:val="0"/>
        <w:widowControl w:val="0"/>
        <w:kinsoku w:val="0"/>
        <w:wordWrap/>
        <w:overflowPunct/>
        <w:topLinePunct w:val="0"/>
        <w:autoSpaceDE w:val="0"/>
        <w:autoSpaceDN w:val="0"/>
        <w:bidi w:val="0"/>
        <w:adjustRightInd w:val="0"/>
        <w:snapToGrid w:val="0"/>
        <w:spacing w:before="65" w:line="230" w:lineRule="auto"/>
        <w:jc w:val="center"/>
        <w:textAlignment w:val="baseline"/>
        <w:outlineLvl w:val="0"/>
        <w:rPr>
          <w:rFonts w:hint="eastAsia" w:ascii="黑体" w:hAnsi="Times New Roman" w:eastAsia="黑体" w:cs="Times New Roman"/>
          <w:snapToGrid w:val="0"/>
          <w:color w:val="auto"/>
          <w:kern w:val="0"/>
          <w:sz w:val="21"/>
          <w:szCs w:val="20"/>
          <w:lang w:val="en-US" w:eastAsia="zh-CN" w:bidi="ar-SA"/>
        </w:rPr>
      </w:pPr>
      <w:bookmarkStart w:id="34" w:name="_Toc935855093"/>
      <w:r>
        <w:rPr>
          <w:rFonts w:hint="eastAsia" w:ascii="黑体" w:hAnsi="Times New Roman" w:eastAsia="黑体" w:cs="Times New Roman"/>
          <w:snapToGrid w:val="0"/>
          <w:color w:val="auto"/>
          <w:kern w:val="0"/>
          <w:sz w:val="21"/>
          <w:szCs w:val="20"/>
          <w:lang w:val="en-US" w:eastAsia="zh-CN" w:bidi="ar-SA"/>
        </w:rPr>
        <w:t>附 录  B</w:t>
      </w:r>
      <w:bookmarkEnd w:id="34"/>
    </w:p>
    <w:p w14:paraId="1DCAC3BF">
      <w:pPr>
        <w:pStyle w:val="3"/>
        <w:keepNext w:val="0"/>
        <w:keepLines/>
        <w:pageBreakBefore w:val="0"/>
        <w:widowControl w:val="0"/>
        <w:kinsoku w:val="0"/>
        <w:wordWrap/>
        <w:overflowPunct/>
        <w:topLinePunct w:val="0"/>
        <w:autoSpaceDE w:val="0"/>
        <w:autoSpaceDN w:val="0"/>
        <w:bidi w:val="0"/>
        <w:adjustRightInd w:val="0"/>
        <w:snapToGrid w:val="0"/>
        <w:spacing w:before="65" w:line="230" w:lineRule="auto"/>
        <w:jc w:val="center"/>
        <w:textAlignment w:val="baseline"/>
        <w:rPr>
          <w:rFonts w:hint="eastAsia" w:ascii="黑体" w:hAnsi="Times New Roman" w:eastAsia="黑体" w:cs="Times New Roman"/>
          <w:snapToGrid w:val="0"/>
          <w:color w:val="auto"/>
          <w:kern w:val="0"/>
          <w:sz w:val="21"/>
          <w:szCs w:val="20"/>
          <w:lang w:val="en-US" w:eastAsia="zh-CN" w:bidi="ar-SA"/>
        </w:rPr>
      </w:pPr>
      <w:r>
        <w:rPr>
          <w:rFonts w:hint="eastAsia" w:ascii="黑体" w:hAnsi="Times New Roman" w:eastAsia="黑体" w:cs="Times New Roman"/>
          <w:snapToGrid w:val="0"/>
          <w:color w:val="auto"/>
          <w:kern w:val="0"/>
          <w:sz w:val="21"/>
          <w:szCs w:val="20"/>
          <w:lang w:val="en-US" w:eastAsia="zh-CN" w:bidi="ar-SA"/>
        </w:rPr>
        <w:t>（</w:t>
      </w:r>
      <w:r>
        <w:rPr>
          <w:rFonts w:hint="eastAsia" w:hAnsi="Times New Roman" w:cs="Times New Roman"/>
          <w:snapToGrid w:val="0"/>
          <w:color w:val="auto"/>
          <w:kern w:val="0"/>
          <w:sz w:val="21"/>
          <w:szCs w:val="20"/>
          <w:lang w:val="en-US" w:eastAsia="zh-CN" w:bidi="ar-SA"/>
        </w:rPr>
        <w:t>规范</w:t>
      </w:r>
      <w:r>
        <w:rPr>
          <w:rFonts w:hint="eastAsia" w:ascii="黑体" w:hAnsi="Times New Roman" w:eastAsia="黑体" w:cs="Times New Roman"/>
          <w:snapToGrid w:val="0"/>
          <w:color w:val="auto"/>
          <w:kern w:val="0"/>
          <w:sz w:val="21"/>
          <w:szCs w:val="20"/>
          <w:lang w:val="en-US" w:eastAsia="zh-CN" w:bidi="ar-SA"/>
        </w:rPr>
        <w:t>性）</w:t>
      </w:r>
    </w:p>
    <w:p w14:paraId="75B45F70">
      <w:pPr>
        <w:pStyle w:val="3"/>
        <w:keepNext w:val="0"/>
        <w:keepLines/>
        <w:pageBreakBefore w:val="0"/>
        <w:widowControl w:val="0"/>
        <w:kinsoku w:val="0"/>
        <w:wordWrap/>
        <w:overflowPunct/>
        <w:topLinePunct w:val="0"/>
        <w:autoSpaceDE w:val="0"/>
        <w:autoSpaceDN w:val="0"/>
        <w:bidi w:val="0"/>
        <w:adjustRightInd w:val="0"/>
        <w:snapToGrid w:val="0"/>
        <w:spacing w:before="65" w:line="230" w:lineRule="auto"/>
        <w:jc w:val="center"/>
        <w:textAlignment w:val="baseline"/>
        <w:rPr>
          <w:rFonts w:hint="eastAsia" w:ascii="黑体" w:hAnsi="Times New Roman" w:eastAsia="黑体" w:cs="Times New Roman"/>
          <w:snapToGrid w:val="0"/>
          <w:color w:val="auto"/>
          <w:kern w:val="0"/>
          <w:sz w:val="21"/>
          <w:szCs w:val="20"/>
          <w:lang w:val="en-US" w:eastAsia="zh-CN" w:bidi="ar-SA"/>
        </w:rPr>
      </w:pPr>
      <w:r>
        <w:rPr>
          <w:rFonts w:hint="eastAsia" w:ascii="黑体" w:hAnsi="Times New Roman" w:eastAsia="黑体" w:cs="Times New Roman"/>
          <w:snapToGrid w:val="0"/>
          <w:color w:val="auto"/>
          <w:kern w:val="0"/>
          <w:sz w:val="21"/>
          <w:szCs w:val="20"/>
          <w:lang w:val="en-US" w:eastAsia="zh-CN" w:bidi="ar-SA"/>
        </w:rPr>
        <w:t>大宁宁粹苹果全产业链质量控制准入符合性判定表</w:t>
      </w:r>
    </w:p>
    <w:p w14:paraId="3FA0BA80">
      <w:pPr>
        <w:pStyle w:val="17"/>
        <w:numPr>
          <w:ilvl w:val="2"/>
          <w:numId w:val="0"/>
        </w:numPr>
        <w:spacing w:before="120" w:after="120"/>
        <w:ind w:left="0" w:leftChars="0" w:firstLine="0" w:firstLineChars="0"/>
        <w:outlineLvl w:val="0"/>
        <w:rPr>
          <w:rFonts w:hint="eastAsia"/>
          <w:color w:val="auto"/>
          <w:lang w:val="en-US" w:eastAsia="zh-CN"/>
        </w:rPr>
      </w:pPr>
      <w:bookmarkStart w:id="35" w:name="_Toc237720344"/>
      <w:r>
        <w:rPr>
          <w:rFonts w:hint="eastAsia"/>
          <w:color w:val="auto"/>
          <w:lang w:val="en-US" w:eastAsia="zh-CN"/>
        </w:rPr>
        <w:t>B.1  基本要求</w:t>
      </w:r>
      <w:bookmarkEnd w:id="35"/>
    </w:p>
    <w:p w14:paraId="795894C2">
      <w:pPr>
        <w:pStyle w:val="18"/>
        <w:numPr>
          <w:ilvl w:val="3"/>
          <w:numId w:val="0"/>
        </w:numPr>
        <w:spacing w:before="120" w:after="120"/>
        <w:ind w:left="0" w:leftChars="0" w:firstLine="0" w:firstLineChars="0"/>
        <w:outlineLvl w:val="1"/>
        <w:rPr>
          <w:color w:val="auto"/>
        </w:rPr>
      </w:pPr>
      <w:bookmarkStart w:id="36" w:name="_Toc920189156"/>
      <w:r>
        <w:rPr>
          <w:rFonts w:hint="eastAsia" w:ascii="宋体" w:hAnsi="Times New Roman" w:eastAsia="宋体" w:cs="Times New Roman"/>
          <w:color w:val="auto"/>
          <w:sz w:val="21"/>
          <w:lang w:val="en-US" w:eastAsia="zh-CN" w:bidi="ar-SA"/>
        </w:rPr>
        <w:t>B.1.1  可追溯性</w:t>
      </w:r>
      <w:bookmarkEnd w:id="36"/>
    </w:p>
    <w:tbl>
      <w:tblPr>
        <w:tblStyle w:val="21"/>
        <w:tblW w:w="8294" w:type="dxa"/>
        <w:tblInd w:w="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4"/>
        <w:gridCol w:w="2456"/>
        <w:gridCol w:w="4067"/>
        <w:gridCol w:w="947"/>
      </w:tblGrid>
      <w:tr w14:paraId="359B5E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824" w:type="dxa"/>
            <w:vAlign w:val="center"/>
          </w:tcPr>
          <w:p w14:paraId="03A998F1">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序号</w:t>
            </w:r>
          </w:p>
        </w:tc>
        <w:tc>
          <w:tcPr>
            <w:tcW w:w="2456" w:type="dxa"/>
            <w:vAlign w:val="center"/>
          </w:tcPr>
          <w:p w14:paraId="2486E70F">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控制点</w:t>
            </w:r>
          </w:p>
        </w:tc>
        <w:tc>
          <w:tcPr>
            <w:tcW w:w="4067" w:type="dxa"/>
            <w:vAlign w:val="center"/>
          </w:tcPr>
          <w:p w14:paraId="7ED5189B">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符合性要求</w:t>
            </w:r>
          </w:p>
        </w:tc>
        <w:tc>
          <w:tcPr>
            <w:tcW w:w="947" w:type="dxa"/>
            <w:vAlign w:val="center"/>
          </w:tcPr>
          <w:p w14:paraId="659765D0">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等级</w:t>
            </w:r>
          </w:p>
        </w:tc>
      </w:tr>
      <w:tr w14:paraId="4F6090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824" w:type="dxa"/>
            <w:vAlign w:val="center"/>
          </w:tcPr>
          <w:p w14:paraId="1D75AAC4">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1</w:t>
            </w:r>
          </w:p>
        </w:tc>
        <w:tc>
          <w:tcPr>
            <w:tcW w:w="2456" w:type="dxa"/>
            <w:vAlign w:val="center"/>
          </w:tcPr>
          <w:p w14:paraId="083833D5">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产品是否可追溯回果园和追踪到直接购买者</w:t>
            </w:r>
          </w:p>
        </w:tc>
        <w:tc>
          <w:tcPr>
            <w:tcW w:w="4067" w:type="dxa"/>
            <w:vAlign w:val="center"/>
          </w:tcPr>
          <w:p w14:paraId="1C619274">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传统溯源：全供应链从生产到销售的完整记录档案信息化溯源：建立追溯系统，确保产品可追溯回果园和追踪到直接购买者</w:t>
            </w:r>
          </w:p>
        </w:tc>
        <w:tc>
          <w:tcPr>
            <w:tcW w:w="947" w:type="dxa"/>
            <w:vAlign w:val="center"/>
          </w:tcPr>
          <w:p w14:paraId="66742EF9">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Ⅰ级</w:t>
            </w:r>
          </w:p>
        </w:tc>
      </w:tr>
    </w:tbl>
    <w:p w14:paraId="45C48A39">
      <w:pPr>
        <w:pStyle w:val="3"/>
        <w:keepNext w:val="0"/>
        <w:keepLines w:val="0"/>
        <w:pageBreakBefore w:val="0"/>
        <w:widowControl w:val="0"/>
        <w:kinsoku/>
        <w:wordWrap/>
        <w:overflowPunct/>
        <w:topLinePunct w:val="0"/>
        <w:autoSpaceDE/>
        <w:autoSpaceDN/>
        <w:bidi w:val="0"/>
        <w:adjustRightInd/>
        <w:snapToGrid/>
        <w:spacing w:line="240" w:lineRule="exact"/>
        <w:textAlignment w:val="auto"/>
        <w:rPr>
          <w:color w:val="auto"/>
        </w:rPr>
      </w:pPr>
    </w:p>
    <w:p w14:paraId="451D62F8">
      <w:pPr>
        <w:pStyle w:val="18"/>
        <w:numPr>
          <w:ilvl w:val="3"/>
          <w:numId w:val="0"/>
        </w:numPr>
        <w:spacing w:before="120" w:after="120"/>
        <w:ind w:left="0" w:leftChars="0" w:firstLine="0" w:firstLineChars="0"/>
        <w:outlineLvl w:val="1"/>
        <w:rPr>
          <w:rFonts w:hint="eastAsia" w:ascii="宋体" w:hAnsi="Times New Roman" w:eastAsia="宋体" w:cs="Times New Roman"/>
          <w:color w:val="auto"/>
          <w:sz w:val="21"/>
          <w:lang w:val="en-US" w:eastAsia="zh-CN" w:bidi="ar-SA"/>
        </w:rPr>
      </w:pPr>
      <w:bookmarkStart w:id="37" w:name="_Toc1443342101"/>
      <w:r>
        <w:rPr>
          <w:rFonts w:hint="eastAsia" w:ascii="宋体" w:hAnsi="Times New Roman" w:eastAsia="宋体" w:cs="Times New Roman"/>
          <w:color w:val="auto"/>
          <w:sz w:val="21"/>
          <w:lang w:val="en-US" w:eastAsia="zh-CN" w:bidi="ar-SA"/>
        </w:rPr>
        <w:t>B.1.2  管理制度及记录保存</w:t>
      </w:r>
      <w:bookmarkEnd w:id="37"/>
    </w:p>
    <w:tbl>
      <w:tblPr>
        <w:tblStyle w:val="10"/>
        <w:tblW w:w="0" w:type="auto"/>
        <w:tblInd w:w="1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3"/>
        <w:gridCol w:w="2440"/>
        <w:gridCol w:w="4074"/>
        <w:gridCol w:w="955"/>
      </w:tblGrid>
      <w:tr w14:paraId="45CA1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3" w:type="dxa"/>
            <w:vAlign w:val="center"/>
          </w:tcPr>
          <w:p w14:paraId="1F3941D7">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序号</w:t>
            </w:r>
          </w:p>
        </w:tc>
        <w:tc>
          <w:tcPr>
            <w:tcW w:w="2440" w:type="dxa"/>
            <w:vAlign w:val="center"/>
          </w:tcPr>
          <w:p w14:paraId="168772A7">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控制点</w:t>
            </w:r>
          </w:p>
        </w:tc>
        <w:tc>
          <w:tcPr>
            <w:tcW w:w="4074" w:type="dxa"/>
            <w:vAlign w:val="center"/>
          </w:tcPr>
          <w:p w14:paraId="226024DD">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符合性要求</w:t>
            </w:r>
          </w:p>
        </w:tc>
        <w:tc>
          <w:tcPr>
            <w:tcW w:w="955" w:type="dxa"/>
            <w:vAlign w:val="center"/>
          </w:tcPr>
          <w:p w14:paraId="12B73E99">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等级</w:t>
            </w:r>
          </w:p>
        </w:tc>
      </w:tr>
      <w:tr w14:paraId="247A8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3" w:type="dxa"/>
            <w:vAlign w:val="center"/>
          </w:tcPr>
          <w:p w14:paraId="215E0426">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2</w:t>
            </w:r>
          </w:p>
        </w:tc>
        <w:tc>
          <w:tcPr>
            <w:tcW w:w="2440" w:type="dxa"/>
            <w:vAlign w:val="center"/>
          </w:tcPr>
          <w:p w14:paraId="15D102DC">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是否建立相应的管理体系</w:t>
            </w:r>
          </w:p>
        </w:tc>
        <w:tc>
          <w:tcPr>
            <w:tcW w:w="4074" w:type="dxa"/>
            <w:vAlign w:val="center"/>
          </w:tcPr>
          <w:p w14:paraId="459F2A99">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体系文件及证书</w:t>
            </w:r>
          </w:p>
        </w:tc>
        <w:tc>
          <w:tcPr>
            <w:tcW w:w="955" w:type="dxa"/>
            <w:vAlign w:val="center"/>
          </w:tcPr>
          <w:p w14:paraId="15556304">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Ⅲ级</w:t>
            </w:r>
          </w:p>
        </w:tc>
      </w:tr>
      <w:tr w14:paraId="70B95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3" w:type="dxa"/>
            <w:vAlign w:val="center"/>
          </w:tcPr>
          <w:p w14:paraId="5BF3AC94">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3</w:t>
            </w:r>
          </w:p>
        </w:tc>
        <w:tc>
          <w:tcPr>
            <w:tcW w:w="2440" w:type="dxa"/>
            <w:vAlign w:val="center"/>
          </w:tcPr>
          <w:p w14:paraId="317DC6CC">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是否制定企业质量管控制度并实施</w:t>
            </w:r>
          </w:p>
        </w:tc>
        <w:tc>
          <w:tcPr>
            <w:tcW w:w="4074" w:type="dxa"/>
            <w:vAlign w:val="center"/>
          </w:tcPr>
          <w:p w14:paraId="51EB6102">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企业质量管控制度</w:t>
            </w:r>
          </w:p>
        </w:tc>
        <w:tc>
          <w:tcPr>
            <w:tcW w:w="955" w:type="dxa"/>
            <w:vAlign w:val="center"/>
          </w:tcPr>
          <w:p w14:paraId="428FD89D">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Ⅱ级</w:t>
            </w:r>
          </w:p>
        </w:tc>
      </w:tr>
      <w:tr w14:paraId="71125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3" w:type="dxa"/>
            <w:vAlign w:val="center"/>
          </w:tcPr>
          <w:p w14:paraId="2AACE3FD">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4</w:t>
            </w:r>
          </w:p>
        </w:tc>
        <w:tc>
          <w:tcPr>
            <w:tcW w:w="2440" w:type="dxa"/>
            <w:vAlign w:val="center"/>
          </w:tcPr>
          <w:p w14:paraId="0801A5AB">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记录文件是否至少保存3年</w:t>
            </w:r>
          </w:p>
        </w:tc>
        <w:tc>
          <w:tcPr>
            <w:tcW w:w="4074" w:type="dxa"/>
            <w:vAlign w:val="center"/>
          </w:tcPr>
          <w:p w14:paraId="58512DE6">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记录文件至少保存3年</w:t>
            </w:r>
          </w:p>
        </w:tc>
        <w:tc>
          <w:tcPr>
            <w:tcW w:w="955" w:type="dxa"/>
            <w:vAlign w:val="center"/>
          </w:tcPr>
          <w:p w14:paraId="53CA72E3">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Ⅱ级</w:t>
            </w:r>
          </w:p>
        </w:tc>
      </w:tr>
      <w:tr w14:paraId="409EB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3" w:type="dxa"/>
            <w:vAlign w:val="center"/>
          </w:tcPr>
          <w:p w14:paraId="469BA434">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5</w:t>
            </w:r>
          </w:p>
        </w:tc>
        <w:tc>
          <w:tcPr>
            <w:tcW w:w="2440" w:type="dxa"/>
            <w:vAlign w:val="center"/>
          </w:tcPr>
          <w:p w14:paraId="5177C910">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是否每年至少对照本标准进行一次自查</w:t>
            </w:r>
          </w:p>
        </w:tc>
        <w:tc>
          <w:tcPr>
            <w:tcW w:w="4074" w:type="dxa"/>
            <w:vAlign w:val="center"/>
          </w:tcPr>
          <w:p w14:paraId="18C4458D">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有记录证明每年至少对照本标准进行了一次自查</w:t>
            </w:r>
          </w:p>
        </w:tc>
        <w:tc>
          <w:tcPr>
            <w:tcW w:w="955" w:type="dxa"/>
            <w:vAlign w:val="center"/>
          </w:tcPr>
          <w:p w14:paraId="0E31F1F3">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Ⅰ级</w:t>
            </w:r>
          </w:p>
        </w:tc>
      </w:tr>
      <w:tr w14:paraId="78893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3" w:type="dxa"/>
            <w:vAlign w:val="center"/>
          </w:tcPr>
          <w:p w14:paraId="66C3D4DB">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6</w:t>
            </w:r>
          </w:p>
        </w:tc>
        <w:tc>
          <w:tcPr>
            <w:tcW w:w="2440" w:type="dxa"/>
            <w:vAlign w:val="center"/>
          </w:tcPr>
          <w:p w14:paraId="09D74580">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是否针对自查发现的问题采取了整改措施</w:t>
            </w:r>
          </w:p>
        </w:tc>
        <w:tc>
          <w:tcPr>
            <w:tcW w:w="4074" w:type="dxa"/>
            <w:vAlign w:val="center"/>
          </w:tcPr>
          <w:p w14:paraId="71C053FD">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有记录证明针对自查发现的问题制定并实施了有效的整改措施</w:t>
            </w:r>
          </w:p>
        </w:tc>
        <w:tc>
          <w:tcPr>
            <w:tcW w:w="955" w:type="dxa"/>
            <w:vAlign w:val="center"/>
          </w:tcPr>
          <w:p w14:paraId="69948D4E">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Ⅰ级</w:t>
            </w:r>
          </w:p>
        </w:tc>
      </w:tr>
    </w:tbl>
    <w:p w14:paraId="083D6CBC">
      <w:pPr>
        <w:pStyle w:val="3"/>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color w:val="auto"/>
          <w:lang w:val="en-US" w:eastAsia="zh-CN"/>
        </w:rPr>
      </w:pPr>
    </w:p>
    <w:p w14:paraId="08E8394A">
      <w:pPr>
        <w:pStyle w:val="17"/>
        <w:numPr>
          <w:ilvl w:val="2"/>
          <w:numId w:val="0"/>
        </w:numPr>
        <w:spacing w:before="120" w:after="120"/>
        <w:ind w:left="0" w:leftChars="0" w:firstLine="0" w:firstLineChars="0"/>
        <w:outlineLvl w:val="0"/>
        <w:rPr>
          <w:color w:val="auto"/>
        </w:rPr>
      </w:pPr>
      <w:bookmarkStart w:id="38" w:name="_Toc428032872"/>
      <w:r>
        <w:rPr>
          <w:rFonts w:hint="eastAsia"/>
          <w:color w:val="auto"/>
          <w:lang w:val="en-US" w:eastAsia="zh-CN"/>
        </w:rPr>
        <w:t>B.2  种植过程管理</w:t>
      </w:r>
      <w:bookmarkEnd w:id="38"/>
    </w:p>
    <w:p w14:paraId="6B2860F1">
      <w:pPr>
        <w:pStyle w:val="18"/>
        <w:numPr>
          <w:ilvl w:val="3"/>
          <w:numId w:val="0"/>
        </w:numPr>
        <w:spacing w:before="120" w:after="120"/>
        <w:ind w:left="0" w:leftChars="0" w:firstLine="0" w:firstLineChars="0"/>
        <w:outlineLvl w:val="1"/>
        <w:rPr>
          <w:rFonts w:hint="eastAsia" w:ascii="宋体" w:hAnsi="Times New Roman" w:eastAsia="宋体" w:cs="Times New Roman"/>
          <w:color w:val="auto"/>
          <w:sz w:val="21"/>
          <w:lang w:val="en-US" w:eastAsia="zh-CN" w:bidi="ar-SA"/>
        </w:rPr>
      </w:pPr>
      <w:bookmarkStart w:id="39" w:name="_Toc970803840"/>
      <w:r>
        <w:rPr>
          <w:rFonts w:hint="eastAsia" w:ascii="宋体" w:hAnsi="Times New Roman" w:eastAsia="宋体" w:cs="Times New Roman"/>
          <w:color w:val="auto"/>
          <w:sz w:val="21"/>
          <w:lang w:val="en-US" w:eastAsia="zh-CN" w:bidi="ar-SA"/>
        </w:rPr>
        <w:t>B.2.1  种苗质量</w:t>
      </w:r>
      <w:bookmarkEnd w:id="39"/>
    </w:p>
    <w:tbl>
      <w:tblPr>
        <w:tblStyle w:val="10"/>
        <w:tblW w:w="0" w:type="auto"/>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0"/>
        <w:gridCol w:w="2438"/>
        <w:gridCol w:w="4062"/>
        <w:gridCol w:w="972"/>
      </w:tblGrid>
      <w:tr w14:paraId="57F0C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0" w:type="dxa"/>
            <w:vAlign w:val="center"/>
          </w:tcPr>
          <w:p w14:paraId="002237C7">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序号</w:t>
            </w:r>
          </w:p>
        </w:tc>
        <w:tc>
          <w:tcPr>
            <w:tcW w:w="2438" w:type="dxa"/>
            <w:vAlign w:val="center"/>
          </w:tcPr>
          <w:p w14:paraId="13DD33FD">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控制点</w:t>
            </w:r>
          </w:p>
        </w:tc>
        <w:tc>
          <w:tcPr>
            <w:tcW w:w="4062" w:type="dxa"/>
            <w:vAlign w:val="center"/>
          </w:tcPr>
          <w:p w14:paraId="6BB9370C">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符合性要求</w:t>
            </w:r>
          </w:p>
        </w:tc>
        <w:tc>
          <w:tcPr>
            <w:tcW w:w="972" w:type="dxa"/>
            <w:vAlign w:val="center"/>
          </w:tcPr>
          <w:p w14:paraId="52B26181">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等级</w:t>
            </w:r>
          </w:p>
        </w:tc>
      </w:tr>
      <w:tr w14:paraId="480CA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0" w:type="dxa"/>
            <w:vAlign w:val="center"/>
          </w:tcPr>
          <w:p w14:paraId="11441A58">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7</w:t>
            </w:r>
          </w:p>
        </w:tc>
        <w:tc>
          <w:tcPr>
            <w:tcW w:w="2438" w:type="dxa"/>
            <w:vAlign w:val="center"/>
          </w:tcPr>
          <w:p w14:paraId="699652F7">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所购苗木及其生产者是否</w:t>
            </w:r>
          </w:p>
          <w:p w14:paraId="747E7782">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符合《种子管理法》的有</w:t>
            </w:r>
          </w:p>
          <w:p w14:paraId="24108395">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关规定</w:t>
            </w:r>
          </w:p>
        </w:tc>
        <w:tc>
          <w:tcPr>
            <w:tcW w:w="4062" w:type="dxa"/>
            <w:vAlign w:val="center"/>
          </w:tcPr>
          <w:p w14:paraId="2AC7D63B">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保存苗木供应商合法资质证明，苗木质量合格证，苗木购买合同</w:t>
            </w:r>
          </w:p>
        </w:tc>
        <w:tc>
          <w:tcPr>
            <w:tcW w:w="972" w:type="dxa"/>
            <w:vAlign w:val="center"/>
          </w:tcPr>
          <w:p w14:paraId="06F3C12F">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Ⅱ级</w:t>
            </w:r>
          </w:p>
        </w:tc>
      </w:tr>
    </w:tbl>
    <w:p w14:paraId="1B389805">
      <w:pPr>
        <w:pStyle w:val="3"/>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color w:val="auto"/>
          <w:lang w:val="en-US" w:eastAsia="zh-CN"/>
        </w:rPr>
      </w:pPr>
    </w:p>
    <w:p w14:paraId="1D795266">
      <w:pPr>
        <w:pStyle w:val="18"/>
        <w:numPr>
          <w:ilvl w:val="3"/>
          <w:numId w:val="0"/>
        </w:numPr>
        <w:spacing w:before="120" w:after="120"/>
        <w:ind w:left="0" w:leftChars="0" w:firstLine="0" w:firstLineChars="0"/>
        <w:outlineLvl w:val="1"/>
        <w:rPr>
          <w:color w:val="auto"/>
        </w:rPr>
      </w:pPr>
      <w:bookmarkStart w:id="40" w:name="_Toc1296887301"/>
      <w:r>
        <w:rPr>
          <w:rFonts w:hint="eastAsia" w:ascii="宋体" w:hAnsi="Times New Roman" w:eastAsia="宋体" w:cs="Times New Roman"/>
          <w:color w:val="auto"/>
          <w:sz w:val="21"/>
          <w:lang w:val="en-US" w:eastAsia="zh-CN" w:bidi="ar-SA"/>
        </w:rPr>
        <w:t>B.2.2  种苗栽植</w:t>
      </w:r>
      <w:bookmarkEnd w:id="40"/>
    </w:p>
    <w:tbl>
      <w:tblPr>
        <w:tblStyle w:val="21"/>
        <w:tblW w:w="831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0"/>
        <w:gridCol w:w="2438"/>
        <w:gridCol w:w="4062"/>
        <w:gridCol w:w="972"/>
      </w:tblGrid>
      <w:tr w14:paraId="7264F9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840" w:type="dxa"/>
            <w:vAlign w:val="center"/>
          </w:tcPr>
          <w:p w14:paraId="41FD7352">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序号</w:t>
            </w:r>
          </w:p>
        </w:tc>
        <w:tc>
          <w:tcPr>
            <w:tcW w:w="2438" w:type="dxa"/>
            <w:vAlign w:val="center"/>
          </w:tcPr>
          <w:p w14:paraId="42F56BBF">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控制点</w:t>
            </w:r>
          </w:p>
        </w:tc>
        <w:tc>
          <w:tcPr>
            <w:tcW w:w="4062" w:type="dxa"/>
            <w:vAlign w:val="center"/>
          </w:tcPr>
          <w:p w14:paraId="773DA43B">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符合性要求</w:t>
            </w:r>
          </w:p>
        </w:tc>
        <w:tc>
          <w:tcPr>
            <w:tcW w:w="972" w:type="dxa"/>
            <w:vAlign w:val="center"/>
          </w:tcPr>
          <w:p w14:paraId="737A4621">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等级</w:t>
            </w:r>
          </w:p>
        </w:tc>
      </w:tr>
      <w:tr w14:paraId="39F6C5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840" w:type="dxa"/>
            <w:vAlign w:val="center"/>
          </w:tcPr>
          <w:p w14:paraId="18DA44A3">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8</w:t>
            </w:r>
          </w:p>
        </w:tc>
        <w:tc>
          <w:tcPr>
            <w:tcW w:w="2438" w:type="dxa"/>
            <w:vAlign w:val="center"/>
          </w:tcPr>
          <w:p w14:paraId="40B3709F">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是否保留了栽植方法、栽植数量、栽植日期等记</w:t>
            </w:r>
          </w:p>
        </w:tc>
        <w:tc>
          <w:tcPr>
            <w:tcW w:w="4062" w:type="dxa"/>
            <w:vAlign w:val="center"/>
          </w:tcPr>
          <w:p w14:paraId="14DC1AD4">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栽植方法、栽植数量和栽植日期等</w:t>
            </w:r>
          </w:p>
          <w:p w14:paraId="52F6530E">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记录</w:t>
            </w:r>
          </w:p>
        </w:tc>
        <w:tc>
          <w:tcPr>
            <w:tcW w:w="972" w:type="dxa"/>
            <w:vAlign w:val="center"/>
          </w:tcPr>
          <w:p w14:paraId="59E84EA2">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Ⅱ级</w:t>
            </w:r>
          </w:p>
        </w:tc>
      </w:tr>
    </w:tbl>
    <w:p w14:paraId="15F1158B">
      <w:pPr>
        <w:pStyle w:val="3"/>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color w:val="auto"/>
          <w:lang w:val="en-US" w:eastAsia="zh-CN"/>
        </w:rPr>
      </w:pPr>
    </w:p>
    <w:p w14:paraId="23AD8DBB">
      <w:pPr>
        <w:pStyle w:val="18"/>
        <w:numPr>
          <w:ilvl w:val="3"/>
          <w:numId w:val="0"/>
        </w:numPr>
        <w:spacing w:before="120" w:after="120"/>
        <w:ind w:left="0" w:leftChars="0" w:firstLine="0" w:firstLineChars="0"/>
        <w:outlineLvl w:val="1"/>
        <w:rPr>
          <w:rFonts w:hint="eastAsia" w:ascii="宋体" w:hAnsi="Times New Roman" w:eastAsia="宋体" w:cs="Times New Roman"/>
          <w:color w:val="auto"/>
          <w:sz w:val="21"/>
          <w:lang w:val="en-US" w:eastAsia="zh-CN" w:bidi="ar-SA"/>
        </w:rPr>
      </w:pPr>
      <w:bookmarkStart w:id="41" w:name="_Toc1068754875"/>
      <w:r>
        <w:rPr>
          <w:rFonts w:hint="eastAsia" w:ascii="宋体" w:hAnsi="Times New Roman" w:eastAsia="宋体" w:cs="Times New Roman"/>
          <w:color w:val="auto"/>
          <w:sz w:val="21"/>
          <w:lang w:val="en-US" w:eastAsia="zh-CN" w:bidi="ar-SA"/>
        </w:rPr>
        <w:t>B.2.3  基地管理</w:t>
      </w:r>
      <w:bookmarkEnd w:id="41"/>
    </w:p>
    <w:tbl>
      <w:tblPr>
        <w:tblStyle w:val="10"/>
        <w:tblW w:w="0" w:type="auto"/>
        <w:tblInd w:w="10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7"/>
        <w:gridCol w:w="2438"/>
        <w:gridCol w:w="4062"/>
        <w:gridCol w:w="979"/>
      </w:tblGrid>
      <w:tr w14:paraId="2F18A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14:paraId="367E0E76">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序号</w:t>
            </w:r>
          </w:p>
        </w:tc>
        <w:tc>
          <w:tcPr>
            <w:tcW w:w="2438" w:type="dxa"/>
            <w:vAlign w:val="center"/>
          </w:tcPr>
          <w:p w14:paraId="7BB0A876">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控制点</w:t>
            </w:r>
          </w:p>
        </w:tc>
        <w:tc>
          <w:tcPr>
            <w:tcW w:w="4062" w:type="dxa"/>
            <w:vAlign w:val="center"/>
          </w:tcPr>
          <w:p w14:paraId="0BF97A68">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符合性要求</w:t>
            </w:r>
          </w:p>
        </w:tc>
        <w:tc>
          <w:tcPr>
            <w:tcW w:w="979" w:type="dxa"/>
            <w:vAlign w:val="center"/>
          </w:tcPr>
          <w:p w14:paraId="067938CF">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等级</w:t>
            </w:r>
          </w:p>
        </w:tc>
      </w:tr>
      <w:tr w14:paraId="7EFF5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14:paraId="6C31D7DB">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9</w:t>
            </w:r>
          </w:p>
        </w:tc>
        <w:tc>
          <w:tcPr>
            <w:tcW w:w="2438" w:type="dxa"/>
            <w:vAlign w:val="center"/>
          </w:tcPr>
          <w:p w14:paraId="4B0F7003">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是否为每个地块建立了记录系统</w:t>
            </w:r>
          </w:p>
        </w:tc>
        <w:tc>
          <w:tcPr>
            <w:tcW w:w="4062" w:type="dxa"/>
            <w:vAlign w:val="center"/>
          </w:tcPr>
          <w:p w14:paraId="4C6F0F98">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每个地块的农事活动均有文件记录</w:t>
            </w:r>
          </w:p>
        </w:tc>
        <w:tc>
          <w:tcPr>
            <w:tcW w:w="979" w:type="dxa"/>
            <w:vAlign w:val="center"/>
          </w:tcPr>
          <w:p w14:paraId="74E890AE">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Ⅰ级</w:t>
            </w:r>
          </w:p>
        </w:tc>
      </w:tr>
      <w:tr w14:paraId="4F6DE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14:paraId="59A497DE">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10</w:t>
            </w:r>
          </w:p>
        </w:tc>
        <w:tc>
          <w:tcPr>
            <w:tcW w:w="2438" w:type="dxa"/>
            <w:vAlign w:val="center"/>
          </w:tcPr>
          <w:p w14:paraId="337A4444">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是否每个果园进行了编号，并均设有标识牌，并在果园规划图上标明</w:t>
            </w:r>
          </w:p>
        </w:tc>
        <w:tc>
          <w:tcPr>
            <w:tcW w:w="4062" w:type="dxa"/>
            <w:vAlign w:val="center"/>
          </w:tcPr>
          <w:p w14:paraId="26028B2D">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每个果园均设有标识牌，并在果园规划图上标明</w:t>
            </w:r>
          </w:p>
        </w:tc>
        <w:tc>
          <w:tcPr>
            <w:tcW w:w="979" w:type="dxa"/>
            <w:vAlign w:val="center"/>
          </w:tcPr>
          <w:p w14:paraId="465E60A2">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Ⅱ级</w:t>
            </w:r>
          </w:p>
        </w:tc>
      </w:tr>
      <w:tr w14:paraId="412E9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14:paraId="573FF2D9">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11</w:t>
            </w:r>
          </w:p>
        </w:tc>
        <w:tc>
          <w:tcPr>
            <w:tcW w:w="2438" w:type="dxa"/>
            <w:vAlign w:val="center"/>
          </w:tcPr>
          <w:p w14:paraId="1270CA5D">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建园前是否对园址进行了风险评估</w:t>
            </w:r>
          </w:p>
        </w:tc>
        <w:tc>
          <w:tcPr>
            <w:tcW w:w="4062" w:type="dxa"/>
            <w:vAlign w:val="center"/>
          </w:tcPr>
          <w:p w14:paraId="4FF041BA">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建园前，就果品质量安全、操作者健康、栽植历史、环境影响等对同址进行了风险评估</w:t>
            </w:r>
          </w:p>
        </w:tc>
        <w:tc>
          <w:tcPr>
            <w:tcW w:w="979" w:type="dxa"/>
            <w:vAlign w:val="center"/>
          </w:tcPr>
          <w:p w14:paraId="7CC74F2C">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Ⅱ级</w:t>
            </w:r>
          </w:p>
        </w:tc>
      </w:tr>
      <w:tr w14:paraId="5A4E3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14:paraId="15C7AD4B">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12</w:t>
            </w:r>
          </w:p>
        </w:tc>
        <w:tc>
          <w:tcPr>
            <w:tcW w:w="2438" w:type="dxa"/>
            <w:vAlign w:val="center"/>
          </w:tcPr>
          <w:p w14:paraId="0799213C">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基地环境是否符合苹果种植产地环境安全相关标准要求，并实施监测计划</w:t>
            </w:r>
          </w:p>
        </w:tc>
        <w:tc>
          <w:tcPr>
            <w:tcW w:w="4062" w:type="dxa"/>
            <w:vAlign w:val="center"/>
          </w:tcPr>
          <w:p w14:paraId="0EE77BC4">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对基地环境实施监测活动并保持测试记录</w:t>
            </w:r>
          </w:p>
        </w:tc>
        <w:tc>
          <w:tcPr>
            <w:tcW w:w="979" w:type="dxa"/>
            <w:vAlign w:val="center"/>
          </w:tcPr>
          <w:p w14:paraId="6C4924B2">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Ⅰ级</w:t>
            </w:r>
          </w:p>
        </w:tc>
      </w:tr>
    </w:tbl>
    <w:p w14:paraId="0FBFDF1F">
      <w:pPr>
        <w:rPr>
          <w:rFonts w:hint="eastAsia"/>
          <w:color w:val="auto"/>
          <w:lang w:val="en-US" w:eastAsia="zh-CN"/>
        </w:rPr>
      </w:pPr>
      <w:r>
        <w:rPr>
          <w:rFonts w:hint="eastAsia" w:ascii="宋体" w:hAnsi="Times New Roman" w:eastAsia="宋体" w:cs="Times New Roman"/>
          <w:color w:val="auto"/>
          <w:sz w:val="21"/>
          <w:lang w:val="en-US" w:eastAsia="zh-CN" w:bidi="ar-SA"/>
        </w:rPr>
        <w:br w:type="page"/>
      </w:r>
    </w:p>
    <w:p w14:paraId="5AE08B16">
      <w:pPr>
        <w:pStyle w:val="18"/>
        <w:numPr>
          <w:ilvl w:val="3"/>
          <w:numId w:val="0"/>
        </w:numPr>
        <w:spacing w:before="120" w:after="120"/>
        <w:ind w:left="0" w:leftChars="0" w:firstLine="0" w:firstLineChars="0"/>
        <w:outlineLvl w:val="1"/>
        <w:rPr>
          <w:rFonts w:hint="eastAsia" w:ascii="宋体" w:hAnsi="Times New Roman" w:eastAsia="宋体" w:cs="Times New Roman"/>
          <w:color w:val="auto"/>
          <w:sz w:val="21"/>
          <w:lang w:val="en-US" w:eastAsia="zh-CN" w:bidi="ar-SA"/>
        </w:rPr>
      </w:pPr>
      <w:bookmarkStart w:id="42" w:name="_Toc1172208090"/>
      <w:r>
        <w:rPr>
          <w:rFonts w:hint="eastAsia" w:ascii="宋体" w:hAnsi="Times New Roman" w:eastAsia="宋体" w:cs="Times New Roman"/>
          <w:color w:val="auto"/>
          <w:sz w:val="21"/>
          <w:lang w:val="en-US" w:eastAsia="zh-CN" w:bidi="ar-SA"/>
        </w:rPr>
        <w:t>B.2.4  土壤管理</w:t>
      </w:r>
      <w:bookmarkEnd w:id="42"/>
    </w:p>
    <w:tbl>
      <w:tblPr>
        <w:tblStyle w:val="10"/>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
        <w:gridCol w:w="2511"/>
        <w:gridCol w:w="3991"/>
        <w:gridCol w:w="973"/>
      </w:tblGrid>
      <w:tr w14:paraId="2C010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 w:type="dxa"/>
            <w:vAlign w:val="center"/>
          </w:tcPr>
          <w:p w14:paraId="53B34591">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序号</w:t>
            </w:r>
          </w:p>
        </w:tc>
        <w:tc>
          <w:tcPr>
            <w:tcW w:w="2511" w:type="dxa"/>
            <w:vAlign w:val="center"/>
          </w:tcPr>
          <w:p w14:paraId="2C08CC4B">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控制点</w:t>
            </w:r>
          </w:p>
        </w:tc>
        <w:tc>
          <w:tcPr>
            <w:tcW w:w="3991" w:type="dxa"/>
            <w:vAlign w:val="center"/>
          </w:tcPr>
          <w:p w14:paraId="717259A7">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符合性要求</w:t>
            </w:r>
          </w:p>
        </w:tc>
        <w:tc>
          <w:tcPr>
            <w:tcW w:w="973" w:type="dxa"/>
            <w:vAlign w:val="center"/>
          </w:tcPr>
          <w:p w14:paraId="06EB51AE">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等级</w:t>
            </w:r>
          </w:p>
        </w:tc>
      </w:tr>
      <w:tr w14:paraId="35A22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 w:type="dxa"/>
            <w:vAlign w:val="center"/>
          </w:tcPr>
          <w:p w14:paraId="04CEAD3E">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13</w:t>
            </w:r>
          </w:p>
        </w:tc>
        <w:tc>
          <w:tcPr>
            <w:tcW w:w="2511" w:type="dxa"/>
            <w:vAlign w:val="center"/>
          </w:tcPr>
          <w:p w14:paraId="1540A3C5">
            <w:pPr>
              <w:pStyle w:val="22"/>
              <w:jc w:val="both"/>
              <w:rPr>
                <w:color w:val="auto"/>
                <w:vertAlign w:val="baseline"/>
              </w:rPr>
            </w:pPr>
            <w:r>
              <w:rPr>
                <w:rFonts w:hint="eastAsia" w:ascii="宋体" w:hAnsi="Times New Roman" w:eastAsia="宋体" w:cs="Times New Roman"/>
                <w:color w:val="auto"/>
                <w:kern w:val="2"/>
                <w:sz w:val="18"/>
                <w:szCs w:val="20"/>
                <w:lang w:val="en-US" w:eastAsia="zh-CN" w:bidi="ar-SA"/>
              </w:rPr>
              <w:t>是否采用了适当的土壤管理技术，以保持或改良土壤结构</w:t>
            </w:r>
          </w:p>
        </w:tc>
        <w:tc>
          <w:tcPr>
            <w:tcW w:w="3991" w:type="dxa"/>
            <w:vAlign w:val="center"/>
          </w:tcPr>
          <w:p w14:paraId="1B0AB87A">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所用土壤管理技术适用于该地块，土壤板结现象</w:t>
            </w:r>
          </w:p>
        </w:tc>
        <w:tc>
          <w:tcPr>
            <w:tcW w:w="973" w:type="dxa"/>
            <w:vAlign w:val="center"/>
          </w:tcPr>
          <w:p w14:paraId="5EC8536F">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Ⅲ级</w:t>
            </w:r>
          </w:p>
        </w:tc>
      </w:tr>
      <w:tr w14:paraId="05474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 w:type="dxa"/>
            <w:vAlign w:val="center"/>
          </w:tcPr>
          <w:p w14:paraId="67F1286F">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14</w:t>
            </w:r>
          </w:p>
        </w:tc>
        <w:tc>
          <w:tcPr>
            <w:tcW w:w="2511" w:type="dxa"/>
            <w:vAlign w:val="center"/>
          </w:tcPr>
          <w:p w14:paraId="5936C4F3">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是否采用了可降低土壤流失的耕作技术</w:t>
            </w:r>
          </w:p>
        </w:tc>
        <w:tc>
          <w:tcPr>
            <w:tcW w:w="3991" w:type="dxa"/>
            <w:vAlign w:val="center"/>
          </w:tcPr>
          <w:p w14:paraId="42DE4DC2">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采用了防止土壤流失的耕作技术（如树盘覆盖、种草、建排水沟等），无土壤流失现象</w:t>
            </w:r>
          </w:p>
        </w:tc>
        <w:tc>
          <w:tcPr>
            <w:tcW w:w="973" w:type="dxa"/>
            <w:vAlign w:val="center"/>
          </w:tcPr>
          <w:p w14:paraId="4832DE05">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Ⅱ级</w:t>
            </w:r>
          </w:p>
        </w:tc>
      </w:tr>
    </w:tbl>
    <w:p w14:paraId="70C68456">
      <w:pPr>
        <w:pStyle w:val="3"/>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color w:val="auto"/>
          <w:lang w:val="en-US" w:eastAsia="zh-CN"/>
        </w:rPr>
      </w:pPr>
    </w:p>
    <w:p w14:paraId="77E3A75B">
      <w:pPr>
        <w:pStyle w:val="18"/>
        <w:numPr>
          <w:ilvl w:val="3"/>
          <w:numId w:val="0"/>
        </w:numPr>
        <w:spacing w:before="120" w:after="120"/>
        <w:ind w:left="0" w:leftChars="0" w:firstLine="0" w:firstLineChars="0"/>
        <w:outlineLvl w:val="1"/>
        <w:rPr>
          <w:rFonts w:hint="eastAsia" w:ascii="宋体" w:hAnsi="Times New Roman" w:eastAsia="宋体" w:cs="Times New Roman"/>
          <w:color w:val="auto"/>
          <w:sz w:val="21"/>
          <w:lang w:val="en-US" w:eastAsia="zh-CN" w:bidi="ar-SA"/>
        </w:rPr>
      </w:pPr>
      <w:bookmarkStart w:id="43" w:name="_Toc1943564762"/>
      <w:r>
        <w:rPr>
          <w:rFonts w:hint="eastAsia" w:ascii="宋体" w:hAnsi="Times New Roman" w:eastAsia="宋体" w:cs="Times New Roman"/>
          <w:color w:val="auto"/>
          <w:sz w:val="21"/>
          <w:lang w:val="en-US" w:eastAsia="zh-CN" w:bidi="ar-SA"/>
        </w:rPr>
        <w:t>B.2.</w:t>
      </w:r>
      <w:r>
        <w:rPr>
          <w:rFonts w:hint="eastAsia" w:ascii="宋体" w:eastAsia="宋体" w:cs="Times New Roman"/>
          <w:color w:val="auto"/>
          <w:sz w:val="21"/>
          <w:lang w:val="en-US" w:eastAsia="zh-CN" w:bidi="ar-SA"/>
        </w:rPr>
        <w:t>5</w:t>
      </w:r>
      <w:r>
        <w:rPr>
          <w:rFonts w:hint="eastAsia" w:ascii="宋体" w:hAnsi="Times New Roman" w:eastAsia="宋体" w:cs="Times New Roman"/>
          <w:color w:val="auto"/>
          <w:sz w:val="21"/>
          <w:lang w:val="en-US" w:eastAsia="zh-CN" w:bidi="ar-SA"/>
        </w:rPr>
        <w:t xml:space="preserve">  </w:t>
      </w:r>
      <w:r>
        <w:rPr>
          <w:rFonts w:hint="eastAsia" w:ascii="宋体" w:eastAsia="宋体" w:cs="Times New Roman"/>
          <w:color w:val="auto"/>
          <w:sz w:val="21"/>
          <w:lang w:val="en-US" w:eastAsia="zh-CN" w:bidi="ar-SA"/>
        </w:rPr>
        <w:t>肥料管理</w:t>
      </w:r>
      <w:bookmarkEnd w:id="43"/>
    </w:p>
    <w:p w14:paraId="57E7CAE8">
      <w:pPr>
        <w:pStyle w:val="18"/>
        <w:numPr>
          <w:ilvl w:val="3"/>
          <w:numId w:val="0"/>
        </w:numPr>
        <w:spacing w:before="120" w:after="120"/>
        <w:ind w:leftChars="0"/>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B.2.5.1  肥料来源及质量</w:t>
      </w:r>
    </w:p>
    <w:tbl>
      <w:tblPr>
        <w:tblStyle w:val="21"/>
        <w:tblW w:w="8327" w:type="dxa"/>
        <w:tblInd w:w="-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2"/>
        <w:gridCol w:w="2531"/>
        <w:gridCol w:w="3991"/>
        <w:gridCol w:w="973"/>
      </w:tblGrid>
      <w:tr w14:paraId="0BC60F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832" w:type="dxa"/>
            <w:vAlign w:val="center"/>
          </w:tcPr>
          <w:p w14:paraId="228C7BA1">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序号</w:t>
            </w:r>
          </w:p>
        </w:tc>
        <w:tc>
          <w:tcPr>
            <w:tcW w:w="2531" w:type="dxa"/>
            <w:vAlign w:val="center"/>
          </w:tcPr>
          <w:p w14:paraId="72500F83">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控制点</w:t>
            </w:r>
          </w:p>
        </w:tc>
        <w:tc>
          <w:tcPr>
            <w:tcW w:w="3991" w:type="dxa"/>
            <w:vAlign w:val="center"/>
          </w:tcPr>
          <w:p w14:paraId="3D1903DD">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符合性要求</w:t>
            </w:r>
          </w:p>
        </w:tc>
        <w:tc>
          <w:tcPr>
            <w:tcW w:w="973" w:type="dxa"/>
            <w:vAlign w:val="center"/>
          </w:tcPr>
          <w:p w14:paraId="62634C3E">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等级</w:t>
            </w:r>
          </w:p>
        </w:tc>
      </w:tr>
      <w:tr w14:paraId="0F7713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832" w:type="dxa"/>
            <w:vAlign w:val="center"/>
          </w:tcPr>
          <w:p w14:paraId="4598606C">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15</w:t>
            </w:r>
          </w:p>
        </w:tc>
        <w:tc>
          <w:tcPr>
            <w:tcW w:w="2531" w:type="dxa"/>
            <w:vAlign w:val="center"/>
          </w:tcPr>
          <w:p w14:paraId="2A460EC7">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从有资质的单位购买肥料产品，肥料质量应符合相应法规、标准要求</w:t>
            </w:r>
          </w:p>
        </w:tc>
        <w:tc>
          <w:tcPr>
            <w:tcW w:w="3991" w:type="dxa"/>
            <w:vAlign w:val="center"/>
          </w:tcPr>
          <w:p w14:paraId="456E07E4">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保留购买肥料产品的票据，保持肥料的有营养成分的文件说明</w:t>
            </w:r>
          </w:p>
        </w:tc>
        <w:tc>
          <w:tcPr>
            <w:tcW w:w="973" w:type="dxa"/>
            <w:vAlign w:val="center"/>
          </w:tcPr>
          <w:p w14:paraId="4273BCB6">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Ⅱ级</w:t>
            </w:r>
          </w:p>
        </w:tc>
      </w:tr>
      <w:tr w14:paraId="32BAE3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832" w:type="dxa"/>
            <w:vAlign w:val="center"/>
          </w:tcPr>
          <w:p w14:paraId="174776B5">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16</w:t>
            </w:r>
          </w:p>
        </w:tc>
        <w:tc>
          <w:tcPr>
            <w:tcW w:w="2531" w:type="dxa"/>
            <w:vAlign w:val="center"/>
          </w:tcPr>
          <w:p w14:paraId="07D8EF37">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施肥技术员是否具有资质和能力</w:t>
            </w:r>
          </w:p>
        </w:tc>
        <w:tc>
          <w:tcPr>
            <w:tcW w:w="3991" w:type="dxa"/>
            <w:vAlign w:val="center"/>
          </w:tcPr>
          <w:p w14:paraId="681B4F6A">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施肥技术员有相关的资格证书或培训证明</w:t>
            </w:r>
          </w:p>
        </w:tc>
        <w:tc>
          <w:tcPr>
            <w:tcW w:w="973" w:type="dxa"/>
            <w:vAlign w:val="center"/>
          </w:tcPr>
          <w:p w14:paraId="6913FDE7">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Ⅱ级</w:t>
            </w:r>
          </w:p>
        </w:tc>
      </w:tr>
    </w:tbl>
    <w:p w14:paraId="1DEF36DC">
      <w:pPr>
        <w:pStyle w:val="18"/>
        <w:numPr>
          <w:ilvl w:val="3"/>
          <w:numId w:val="0"/>
        </w:numPr>
        <w:spacing w:before="120" w:after="120"/>
        <w:ind w:leftChars="0"/>
        <w:outlineLvl w:val="9"/>
        <w:rPr>
          <w:rFonts w:hint="eastAsia" w:ascii="宋体" w:hAnsi="Times New Roman" w:eastAsia="宋体" w:cs="Times New Roman"/>
          <w:color w:val="auto"/>
          <w:sz w:val="21"/>
          <w:lang w:val="en-US" w:eastAsia="zh-CN" w:bidi="ar-SA"/>
        </w:rPr>
      </w:pPr>
    </w:p>
    <w:p w14:paraId="2879BAFC">
      <w:pPr>
        <w:pStyle w:val="18"/>
        <w:numPr>
          <w:ilvl w:val="3"/>
          <w:numId w:val="0"/>
        </w:numPr>
        <w:spacing w:before="120" w:after="120"/>
        <w:ind w:leftChars="0"/>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B.2.5.2  有机肥</w:t>
      </w:r>
    </w:p>
    <w:tbl>
      <w:tblPr>
        <w:tblStyle w:val="10"/>
        <w:tblW w:w="0" w:type="auto"/>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7"/>
        <w:gridCol w:w="2507"/>
        <w:gridCol w:w="3986"/>
        <w:gridCol w:w="979"/>
      </w:tblGrid>
      <w:tr w14:paraId="098D3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14:paraId="1BFA517F">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序号</w:t>
            </w:r>
          </w:p>
        </w:tc>
        <w:tc>
          <w:tcPr>
            <w:tcW w:w="2507" w:type="dxa"/>
            <w:vAlign w:val="center"/>
          </w:tcPr>
          <w:p w14:paraId="38C22B5B">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控制点</w:t>
            </w:r>
          </w:p>
        </w:tc>
        <w:tc>
          <w:tcPr>
            <w:tcW w:w="3986" w:type="dxa"/>
            <w:vAlign w:val="center"/>
          </w:tcPr>
          <w:p w14:paraId="143434F7">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符合性要求</w:t>
            </w:r>
          </w:p>
        </w:tc>
        <w:tc>
          <w:tcPr>
            <w:tcW w:w="979" w:type="dxa"/>
            <w:vAlign w:val="center"/>
          </w:tcPr>
          <w:p w14:paraId="7C430D95">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等级</w:t>
            </w:r>
          </w:p>
        </w:tc>
      </w:tr>
      <w:tr w14:paraId="50F44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14:paraId="67245EB4">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17</w:t>
            </w:r>
          </w:p>
        </w:tc>
        <w:tc>
          <w:tcPr>
            <w:tcW w:w="2507" w:type="dxa"/>
            <w:vAlign w:val="center"/>
          </w:tcPr>
          <w:p w14:paraId="5375DD8C">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是否禁止使用生活污水淤泥</w:t>
            </w:r>
          </w:p>
        </w:tc>
        <w:tc>
          <w:tcPr>
            <w:tcW w:w="3986" w:type="dxa"/>
            <w:vAlign w:val="center"/>
          </w:tcPr>
          <w:p w14:paraId="743818AD">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未使用生活污水淤泥</w:t>
            </w:r>
          </w:p>
        </w:tc>
        <w:tc>
          <w:tcPr>
            <w:tcW w:w="979" w:type="dxa"/>
            <w:vAlign w:val="center"/>
          </w:tcPr>
          <w:p w14:paraId="2556711C">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Ⅰ级</w:t>
            </w:r>
          </w:p>
        </w:tc>
      </w:tr>
      <w:tr w14:paraId="298CC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14:paraId="393DC2D8">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18</w:t>
            </w:r>
          </w:p>
        </w:tc>
        <w:tc>
          <w:tcPr>
            <w:tcW w:w="2507" w:type="dxa"/>
            <w:vAlign w:val="center"/>
          </w:tcPr>
          <w:p w14:paraId="4FCC27AC">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有机肥施用前，是否进行了风险评估</w:t>
            </w:r>
          </w:p>
        </w:tc>
        <w:tc>
          <w:tcPr>
            <w:tcW w:w="3986" w:type="dxa"/>
            <w:vAlign w:val="center"/>
          </w:tcPr>
          <w:p w14:paraId="2C11011F">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有记录证明有机肥使用前分析了潜在风险（如疾病传播、杂草种子含量、堆肥方法、重金属含量）</w:t>
            </w:r>
          </w:p>
        </w:tc>
        <w:tc>
          <w:tcPr>
            <w:tcW w:w="979" w:type="dxa"/>
            <w:vAlign w:val="center"/>
          </w:tcPr>
          <w:p w14:paraId="18206A60">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Ⅱ级</w:t>
            </w:r>
          </w:p>
        </w:tc>
      </w:tr>
      <w:tr w14:paraId="369DB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14:paraId="1505590B">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19</w:t>
            </w:r>
          </w:p>
        </w:tc>
        <w:tc>
          <w:tcPr>
            <w:tcW w:w="2507" w:type="dxa"/>
            <w:vAlign w:val="center"/>
          </w:tcPr>
          <w:p w14:paraId="00956A6E">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是否考虑到了所施有机肥的养分</w:t>
            </w:r>
          </w:p>
        </w:tc>
        <w:tc>
          <w:tcPr>
            <w:tcW w:w="3986" w:type="dxa"/>
            <w:vAlign w:val="center"/>
          </w:tcPr>
          <w:p w14:paraId="7388D089">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对所施有机肥进行了N、P、K养分分析</w:t>
            </w:r>
          </w:p>
        </w:tc>
        <w:tc>
          <w:tcPr>
            <w:tcW w:w="979" w:type="dxa"/>
            <w:vAlign w:val="center"/>
          </w:tcPr>
          <w:p w14:paraId="6DBACDB3">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Ⅲ级</w:t>
            </w:r>
          </w:p>
        </w:tc>
      </w:tr>
    </w:tbl>
    <w:p w14:paraId="58173DAE">
      <w:pPr>
        <w:pStyle w:val="3"/>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color w:val="auto"/>
          <w:lang w:val="en-US" w:eastAsia="zh-CN"/>
        </w:rPr>
      </w:pPr>
    </w:p>
    <w:p w14:paraId="0329BD8F">
      <w:pPr>
        <w:pStyle w:val="18"/>
        <w:numPr>
          <w:ilvl w:val="3"/>
          <w:numId w:val="0"/>
        </w:numPr>
        <w:spacing w:before="120" w:after="120"/>
        <w:ind w:leftChars="0"/>
        <w:rPr>
          <w:color w:val="auto"/>
        </w:rPr>
      </w:pPr>
      <w:r>
        <w:rPr>
          <w:rFonts w:hint="eastAsia" w:ascii="宋体" w:hAnsi="Times New Roman" w:eastAsia="宋体" w:cs="Times New Roman"/>
          <w:color w:val="auto"/>
          <w:sz w:val="21"/>
          <w:lang w:val="en-US" w:eastAsia="zh-CN" w:bidi="ar-SA"/>
        </w:rPr>
        <w:t>B.2.5.3  化肥</w:t>
      </w:r>
    </w:p>
    <w:tbl>
      <w:tblPr>
        <w:tblStyle w:val="21"/>
        <w:tblW w:w="8319"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7"/>
        <w:gridCol w:w="2521"/>
        <w:gridCol w:w="3979"/>
        <w:gridCol w:w="972"/>
      </w:tblGrid>
      <w:tr w14:paraId="171B72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847" w:type="dxa"/>
            <w:vAlign w:val="center"/>
          </w:tcPr>
          <w:p w14:paraId="5723DEAE">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序号</w:t>
            </w:r>
          </w:p>
        </w:tc>
        <w:tc>
          <w:tcPr>
            <w:tcW w:w="2521" w:type="dxa"/>
            <w:vAlign w:val="center"/>
          </w:tcPr>
          <w:p w14:paraId="54283FF1">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控制点</w:t>
            </w:r>
          </w:p>
        </w:tc>
        <w:tc>
          <w:tcPr>
            <w:tcW w:w="3979" w:type="dxa"/>
            <w:vAlign w:val="center"/>
          </w:tcPr>
          <w:p w14:paraId="7F86DD27">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符合性要求</w:t>
            </w:r>
          </w:p>
        </w:tc>
        <w:tc>
          <w:tcPr>
            <w:tcW w:w="972" w:type="dxa"/>
            <w:vAlign w:val="center"/>
          </w:tcPr>
          <w:p w14:paraId="41CC9058">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等级</w:t>
            </w:r>
          </w:p>
        </w:tc>
      </w:tr>
      <w:tr w14:paraId="6642A9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847" w:type="dxa"/>
            <w:vAlign w:val="center"/>
          </w:tcPr>
          <w:p w14:paraId="5AAD5678">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20</w:t>
            </w:r>
          </w:p>
        </w:tc>
        <w:tc>
          <w:tcPr>
            <w:tcW w:w="2521" w:type="dxa"/>
            <w:vAlign w:val="center"/>
          </w:tcPr>
          <w:p w14:paraId="281775F9">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所购化肥是否附有养分和杂质说明</w:t>
            </w:r>
          </w:p>
        </w:tc>
        <w:tc>
          <w:tcPr>
            <w:tcW w:w="3979" w:type="dxa"/>
            <w:vAlign w:val="center"/>
          </w:tcPr>
          <w:p w14:paraId="433BD2A9">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有最近12个月所施化肥的养分和杂质（包括重金属）含量证明文件Ⅱ级金属）含量证明文件</w:t>
            </w:r>
          </w:p>
        </w:tc>
        <w:tc>
          <w:tcPr>
            <w:tcW w:w="972" w:type="dxa"/>
            <w:vAlign w:val="center"/>
          </w:tcPr>
          <w:p w14:paraId="31DDE8E7">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Ⅱ级</w:t>
            </w:r>
          </w:p>
        </w:tc>
      </w:tr>
    </w:tbl>
    <w:p w14:paraId="4FA0DA7F">
      <w:pPr>
        <w:pStyle w:val="3"/>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color w:val="auto"/>
          <w:lang w:val="en-US" w:eastAsia="zh-CN"/>
        </w:rPr>
      </w:pPr>
    </w:p>
    <w:p w14:paraId="26B74E71">
      <w:pPr>
        <w:pStyle w:val="18"/>
        <w:numPr>
          <w:ilvl w:val="3"/>
          <w:numId w:val="0"/>
        </w:numPr>
        <w:spacing w:before="120" w:after="120"/>
        <w:ind w:leftChars="0"/>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B.2.</w:t>
      </w:r>
      <w:r>
        <w:rPr>
          <w:rFonts w:hint="eastAsia" w:ascii="宋体" w:eastAsia="宋体" w:cs="Times New Roman"/>
          <w:color w:val="auto"/>
          <w:sz w:val="21"/>
          <w:lang w:val="en-US" w:eastAsia="zh-CN" w:bidi="ar-SA"/>
        </w:rPr>
        <w:t>5.4</w:t>
      </w:r>
      <w:r>
        <w:rPr>
          <w:rFonts w:hint="eastAsia" w:ascii="宋体" w:hAnsi="Times New Roman" w:eastAsia="宋体" w:cs="Times New Roman"/>
          <w:color w:val="auto"/>
          <w:sz w:val="21"/>
          <w:lang w:val="en-US" w:eastAsia="zh-CN" w:bidi="ar-SA"/>
        </w:rPr>
        <w:t xml:space="preserve">  施肥记录</w:t>
      </w:r>
    </w:p>
    <w:tbl>
      <w:tblPr>
        <w:tblStyle w:val="10"/>
        <w:tblW w:w="0" w:type="auto"/>
        <w:tblInd w:w="10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7"/>
        <w:gridCol w:w="2514"/>
        <w:gridCol w:w="3993"/>
        <w:gridCol w:w="1059"/>
      </w:tblGrid>
      <w:tr w14:paraId="2214C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14:paraId="276EB5FF">
            <w:pPr>
              <w:pStyle w:val="22"/>
              <w:jc w:val="center"/>
              <w:rPr>
                <w:rFonts w:hint="default"/>
                <w:color w:val="auto"/>
                <w:vertAlign w:val="baseline"/>
                <w:lang w:val="en-US" w:eastAsia="zh-CN"/>
              </w:rPr>
            </w:pPr>
            <w:r>
              <w:rPr>
                <w:rFonts w:hint="eastAsia" w:ascii="宋体" w:hAnsi="Times New Roman" w:eastAsia="宋体" w:cs="Times New Roman"/>
                <w:color w:val="auto"/>
                <w:kern w:val="2"/>
                <w:sz w:val="18"/>
                <w:szCs w:val="20"/>
                <w:lang w:val="en-US" w:eastAsia="zh-CN" w:bidi="ar-SA"/>
              </w:rPr>
              <w:t>序号</w:t>
            </w:r>
          </w:p>
        </w:tc>
        <w:tc>
          <w:tcPr>
            <w:tcW w:w="2514" w:type="dxa"/>
            <w:vAlign w:val="center"/>
          </w:tcPr>
          <w:p w14:paraId="11562C8F">
            <w:pPr>
              <w:pStyle w:val="22"/>
              <w:jc w:val="center"/>
              <w:rPr>
                <w:rFonts w:hint="default"/>
                <w:color w:val="auto"/>
                <w:vertAlign w:val="baseline"/>
                <w:lang w:val="en-US" w:eastAsia="zh-CN"/>
              </w:rPr>
            </w:pPr>
            <w:r>
              <w:rPr>
                <w:rFonts w:hint="eastAsia" w:ascii="宋体" w:hAnsi="Times New Roman" w:eastAsia="宋体" w:cs="Times New Roman"/>
                <w:color w:val="auto"/>
                <w:kern w:val="2"/>
                <w:sz w:val="18"/>
                <w:szCs w:val="20"/>
                <w:lang w:val="en-US" w:eastAsia="zh-CN" w:bidi="ar-SA"/>
              </w:rPr>
              <w:t>控制点</w:t>
            </w:r>
          </w:p>
        </w:tc>
        <w:tc>
          <w:tcPr>
            <w:tcW w:w="3993" w:type="dxa"/>
            <w:vAlign w:val="center"/>
          </w:tcPr>
          <w:p w14:paraId="1D52C6DE">
            <w:pPr>
              <w:pStyle w:val="22"/>
              <w:jc w:val="center"/>
              <w:rPr>
                <w:rFonts w:hint="default"/>
                <w:color w:val="auto"/>
                <w:vertAlign w:val="baseline"/>
                <w:lang w:val="en-US" w:eastAsia="zh-CN"/>
              </w:rPr>
            </w:pPr>
            <w:r>
              <w:rPr>
                <w:rFonts w:hint="eastAsia" w:ascii="宋体" w:hAnsi="Times New Roman" w:eastAsia="宋体" w:cs="Times New Roman"/>
                <w:color w:val="auto"/>
                <w:kern w:val="2"/>
                <w:sz w:val="18"/>
                <w:szCs w:val="20"/>
                <w:lang w:val="en-US" w:eastAsia="zh-CN" w:bidi="ar-SA"/>
              </w:rPr>
              <w:t>符合性要求</w:t>
            </w:r>
          </w:p>
        </w:tc>
        <w:tc>
          <w:tcPr>
            <w:tcW w:w="1059" w:type="dxa"/>
            <w:vAlign w:val="center"/>
          </w:tcPr>
          <w:p w14:paraId="77EF156D">
            <w:pPr>
              <w:pStyle w:val="22"/>
              <w:jc w:val="center"/>
              <w:rPr>
                <w:rFonts w:hint="default"/>
                <w:color w:val="auto"/>
                <w:vertAlign w:val="baseline"/>
                <w:lang w:val="en-US" w:eastAsia="zh-CN"/>
              </w:rPr>
            </w:pPr>
            <w:r>
              <w:rPr>
                <w:rFonts w:hint="eastAsia" w:ascii="宋体" w:hAnsi="Times New Roman" w:eastAsia="宋体" w:cs="Times New Roman"/>
                <w:color w:val="auto"/>
                <w:kern w:val="2"/>
                <w:sz w:val="18"/>
                <w:szCs w:val="20"/>
                <w:lang w:val="en-US" w:eastAsia="zh-CN" w:bidi="ar-SA"/>
              </w:rPr>
              <w:t>等级</w:t>
            </w:r>
          </w:p>
        </w:tc>
      </w:tr>
      <w:tr w14:paraId="02933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14:paraId="57925D86">
            <w:pPr>
              <w:pStyle w:val="22"/>
              <w:jc w:val="center"/>
              <w:rPr>
                <w:rFonts w:hint="default"/>
                <w:color w:val="auto"/>
                <w:vertAlign w:val="baseline"/>
                <w:lang w:val="en-US" w:eastAsia="zh-CN"/>
              </w:rPr>
            </w:pPr>
            <w:r>
              <w:rPr>
                <w:rFonts w:hint="eastAsia" w:ascii="宋体" w:hAnsi="Times New Roman" w:eastAsia="宋体" w:cs="Times New Roman"/>
                <w:color w:val="auto"/>
                <w:kern w:val="2"/>
                <w:sz w:val="18"/>
                <w:szCs w:val="20"/>
                <w:lang w:val="en-US" w:eastAsia="zh-CN" w:bidi="ar-SA"/>
              </w:rPr>
              <w:t>21</w:t>
            </w:r>
          </w:p>
        </w:tc>
        <w:tc>
          <w:tcPr>
            <w:tcW w:w="2514" w:type="dxa"/>
            <w:vAlign w:val="center"/>
          </w:tcPr>
          <w:p w14:paraId="6A17DDF6">
            <w:pPr>
              <w:pStyle w:val="22"/>
              <w:jc w:val="center"/>
              <w:rPr>
                <w:rFonts w:hint="default"/>
                <w:color w:val="auto"/>
                <w:vertAlign w:val="baseline"/>
                <w:lang w:val="en-US" w:eastAsia="zh-CN"/>
              </w:rPr>
            </w:pPr>
            <w:r>
              <w:rPr>
                <w:rFonts w:hint="eastAsia" w:ascii="宋体" w:hAnsi="Times New Roman" w:eastAsia="宋体" w:cs="Times New Roman"/>
                <w:color w:val="auto"/>
                <w:kern w:val="2"/>
                <w:sz w:val="18"/>
                <w:szCs w:val="20"/>
                <w:lang w:val="en-US" w:eastAsia="zh-CN" w:bidi="ar-SA"/>
              </w:rPr>
              <w:t>是否对肥料的施用进行了详细记录</w:t>
            </w:r>
          </w:p>
        </w:tc>
        <w:tc>
          <w:tcPr>
            <w:tcW w:w="3993" w:type="dxa"/>
            <w:vAlign w:val="center"/>
          </w:tcPr>
          <w:p w14:paraId="2B64DB80">
            <w:pPr>
              <w:pStyle w:val="22"/>
              <w:jc w:val="center"/>
              <w:rPr>
                <w:rFonts w:hint="default"/>
                <w:color w:val="auto"/>
                <w:vertAlign w:val="baseline"/>
                <w:lang w:val="en-US" w:eastAsia="zh-CN"/>
              </w:rPr>
            </w:pPr>
            <w:r>
              <w:rPr>
                <w:rFonts w:hint="eastAsia" w:ascii="宋体" w:hAnsi="Times New Roman" w:eastAsia="宋体" w:cs="Times New Roman"/>
                <w:color w:val="auto"/>
                <w:kern w:val="2"/>
                <w:sz w:val="18"/>
                <w:szCs w:val="20"/>
                <w:lang w:val="en-US" w:eastAsia="zh-CN" w:bidi="ar-SA"/>
              </w:rPr>
              <w:t>记录并保留了施用地块、施用日期、肥料名称、有效成分及含量、施用量、施用方法、操作者等施肥信息</w:t>
            </w:r>
          </w:p>
        </w:tc>
        <w:tc>
          <w:tcPr>
            <w:tcW w:w="1059" w:type="dxa"/>
            <w:vAlign w:val="center"/>
          </w:tcPr>
          <w:p w14:paraId="3380E009">
            <w:pPr>
              <w:pStyle w:val="22"/>
              <w:jc w:val="center"/>
              <w:rPr>
                <w:rFonts w:hint="default"/>
                <w:color w:val="auto"/>
                <w:vertAlign w:val="baseline"/>
                <w:lang w:val="en-US" w:eastAsia="zh-CN"/>
              </w:rPr>
            </w:pPr>
            <w:r>
              <w:rPr>
                <w:rFonts w:hint="eastAsia" w:ascii="宋体" w:hAnsi="Times New Roman" w:eastAsia="宋体" w:cs="Times New Roman"/>
                <w:color w:val="auto"/>
                <w:kern w:val="2"/>
                <w:sz w:val="18"/>
                <w:szCs w:val="20"/>
                <w:lang w:val="en-US" w:eastAsia="zh-CN" w:bidi="ar-SA"/>
              </w:rPr>
              <w:t>Ⅱ级</w:t>
            </w:r>
          </w:p>
        </w:tc>
      </w:tr>
    </w:tbl>
    <w:p w14:paraId="4885D4E8">
      <w:pPr>
        <w:pStyle w:val="3"/>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color w:val="auto"/>
          <w:lang w:val="en-US" w:eastAsia="zh-CN"/>
        </w:rPr>
      </w:pPr>
    </w:p>
    <w:p w14:paraId="092F0B31">
      <w:pPr>
        <w:pStyle w:val="18"/>
        <w:numPr>
          <w:ilvl w:val="3"/>
          <w:numId w:val="0"/>
        </w:numPr>
        <w:spacing w:before="120" w:after="120"/>
        <w:ind w:leftChars="0"/>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B.2.5.5  肥料储存</w:t>
      </w:r>
    </w:p>
    <w:tbl>
      <w:tblPr>
        <w:tblStyle w:val="10"/>
        <w:tblW w:w="0" w:type="auto"/>
        <w:tblInd w:w="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4"/>
        <w:gridCol w:w="2514"/>
        <w:gridCol w:w="3993"/>
        <w:gridCol w:w="1059"/>
      </w:tblGrid>
      <w:tr w14:paraId="28C2F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4" w:type="dxa"/>
            <w:vAlign w:val="center"/>
          </w:tcPr>
          <w:p w14:paraId="432749F9">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序号</w:t>
            </w:r>
          </w:p>
        </w:tc>
        <w:tc>
          <w:tcPr>
            <w:tcW w:w="2514" w:type="dxa"/>
            <w:vAlign w:val="center"/>
          </w:tcPr>
          <w:p w14:paraId="2B4A0740">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控制点</w:t>
            </w:r>
          </w:p>
        </w:tc>
        <w:tc>
          <w:tcPr>
            <w:tcW w:w="3993" w:type="dxa"/>
            <w:vAlign w:val="center"/>
          </w:tcPr>
          <w:p w14:paraId="78A9B905">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符合性要求</w:t>
            </w:r>
          </w:p>
        </w:tc>
        <w:tc>
          <w:tcPr>
            <w:tcW w:w="1059" w:type="dxa"/>
            <w:vAlign w:val="center"/>
          </w:tcPr>
          <w:p w14:paraId="49335158">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等级</w:t>
            </w:r>
          </w:p>
        </w:tc>
      </w:tr>
      <w:tr w14:paraId="5944A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4" w:type="dxa"/>
            <w:vAlign w:val="center"/>
          </w:tcPr>
          <w:p w14:paraId="6E363DC3">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22</w:t>
            </w:r>
          </w:p>
        </w:tc>
        <w:tc>
          <w:tcPr>
            <w:tcW w:w="2514" w:type="dxa"/>
            <w:vAlign w:val="center"/>
          </w:tcPr>
          <w:p w14:paraId="04C7E179">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是否有化肥储存清单</w:t>
            </w:r>
          </w:p>
        </w:tc>
        <w:tc>
          <w:tcPr>
            <w:tcW w:w="3993" w:type="dxa"/>
            <w:vAlign w:val="center"/>
          </w:tcPr>
          <w:p w14:paraId="2C6A44BF">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有化肥储存清单，且每3个月更新一次</w:t>
            </w:r>
          </w:p>
        </w:tc>
        <w:tc>
          <w:tcPr>
            <w:tcW w:w="1059" w:type="dxa"/>
            <w:vAlign w:val="center"/>
          </w:tcPr>
          <w:p w14:paraId="781EB5EF">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Ⅱ级</w:t>
            </w:r>
          </w:p>
        </w:tc>
      </w:tr>
      <w:tr w14:paraId="62163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4" w:type="dxa"/>
            <w:vAlign w:val="center"/>
          </w:tcPr>
          <w:p w14:paraId="1B139C0C">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23</w:t>
            </w:r>
          </w:p>
        </w:tc>
        <w:tc>
          <w:tcPr>
            <w:tcW w:w="2514" w:type="dxa"/>
            <w:vAlign w:val="center"/>
          </w:tcPr>
          <w:p w14:paraId="0028793E">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化肥是否与农药分开储存</w:t>
            </w:r>
          </w:p>
        </w:tc>
        <w:tc>
          <w:tcPr>
            <w:tcW w:w="3993" w:type="dxa"/>
            <w:vAlign w:val="center"/>
          </w:tcPr>
          <w:p w14:paraId="33218C2A">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化肥与农药分开储存</w:t>
            </w:r>
          </w:p>
        </w:tc>
        <w:tc>
          <w:tcPr>
            <w:tcW w:w="1059" w:type="dxa"/>
            <w:vAlign w:val="center"/>
          </w:tcPr>
          <w:p w14:paraId="08C02AAD">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Ⅱ级</w:t>
            </w:r>
          </w:p>
        </w:tc>
      </w:tr>
      <w:tr w14:paraId="0741A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4" w:type="dxa"/>
            <w:vAlign w:val="center"/>
          </w:tcPr>
          <w:p w14:paraId="2AD7737C">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24</w:t>
            </w:r>
          </w:p>
        </w:tc>
        <w:tc>
          <w:tcPr>
            <w:tcW w:w="2514" w:type="dxa"/>
            <w:vAlign w:val="center"/>
          </w:tcPr>
          <w:p w14:paraId="797B9B1D">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化肥是否储存在适宜的区域</w:t>
            </w:r>
          </w:p>
        </w:tc>
        <w:tc>
          <w:tcPr>
            <w:tcW w:w="3993" w:type="dxa"/>
            <w:vAlign w:val="center"/>
          </w:tcPr>
          <w:p w14:paraId="00009A44">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化肥储存区域、干燥，并适当遮盖</w:t>
            </w:r>
          </w:p>
        </w:tc>
        <w:tc>
          <w:tcPr>
            <w:tcW w:w="1059" w:type="dxa"/>
            <w:vAlign w:val="center"/>
          </w:tcPr>
          <w:p w14:paraId="12D99F0A">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Ⅱ级</w:t>
            </w:r>
          </w:p>
        </w:tc>
      </w:tr>
      <w:tr w14:paraId="7A612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4" w:type="dxa"/>
            <w:vAlign w:val="center"/>
          </w:tcPr>
          <w:p w14:paraId="1CE429D8">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25</w:t>
            </w:r>
          </w:p>
        </w:tc>
        <w:tc>
          <w:tcPr>
            <w:tcW w:w="2514" w:type="dxa"/>
            <w:vAlign w:val="center"/>
          </w:tcPr>
          <w:p w14:paraId="5264C847">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化肥是否以降低水源污染风险的方式储存</w:t>
            </w:r>
          </w:p>
        </w:tc>
        <w:tc>
          <w:tcPr>
            <w:tcW w:w="3993" w:type="dxa"/>
            <w:vAlign w:val="center"/>
          </w:tcPr>
          <w:p w14:paraId="75F31DEA">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化肥以对水源污染风险最低的方式储存。液体化肥料储存不会出现渗漏的设施中</w:t>
            </w:r>
          </w:p>
        </w:tc>
        <w:tc>
          <w:tcPr>
            <w:tcW w:w="1059" w:type="dxa"/>
            <w:vAlign w:val="center"/>
          </w:tcPr>
          <w:p w14:paraId="2053B715">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Ⅱ级</w:t>
            </w:r>
          </w:p>
        </w:tc>
      </w:tr>
      <w:tr w14:paraId="038CC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4" w:type="dxa"/>
            <w:vAlign w:val="center"/>
          </w:tcPr>
          <w:p w14:paraId="01C96A1E">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26</w:t>
            </w:r>
          </w:p>
        </w:tc>
        <w:tc>
          <w:tcPr>
            <w:tcW w:w="2514" w:type="dxa"/>
            <w:vAlign w:val="center"/>
          </w:tcPr>
          <w:p w14:paraId="462BEE32">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有机肥是否以降低环境污染风险的方式储存</w:t>
            </w:r>
          </w:p>
        </w:tc>
        <w:tc>
          <w:tcPr>
            <w:tcW w:w="3993" w:type="dxa"/>
            <w:vAlign w:val="center"/>
          </w:tcPr>
          <w:p w14:paraId="47717DFA">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有机肥储存在能避免污染地表水的设施中</w:t>
            </w:r>
          </w:p>
        </w:tc>
        <w:tc>
          <w:tcPr>
            <w:tcW w:w="1059" w:type="dxa"/>
            <w:vAlign w:val="center"/>
          </w:tcPr>
          <w:p w14:paraId="25299261">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Ⅱ级</w:t>
            </w:r>
          </w:p>
        </w:tc>
      </w:tr>
      <w:tr w14:paraId="7C2BC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4" w:type="dxa"/>
            <w:vAlign w:val="center"/>
          </w:tcPr>
          <w:p w14:paraId="4DE7117B">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27</w:t>
            </w:r>
          </w:p>
        </w:tc>
        <w:tc>
          <w:tcPr>
            <w:tcW w:w="2514" w:type="dxa"/>
            <w:vAlign w:val="center"/>
          </w:tcPr>
          <w:p w14:paraId="7453CA93">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肥料是否与苹果分开储存</w:t>
            </w:r>
          </w:p>
        </w:tc>
        <w:tc>
          <w:tcPr>
            <w:tcW w:w="3993" w:type="dxa"/>
            <w:vAlign w:val="center"/>
          </w:tcPr>
          <w:p w14:paraId="277C5C05">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肥料未与苹果储存在一起</w:t>
            </w:r>
          </w:p>
        </w:tc>
        <w:tc>
          <w:tcPr>
            <w:tcW w:w="1059" w:type="dxa"/>
            <w:vAlign w:val="center"/>
          </w:tcPr>
          <w:p w14:paraId="21BE2C9E">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Ⅰ级</w:t>
            </w:r>
          </w:p>
        </w:tc>
      </w:tr>
    </w:tbl>
    <w:p w14:paraId="0BC4FB17">
      <w:pPr>
        <w:pStyle w:val="18"/>
        <w:numPr>
          <w:ilvl w:val="3"/>
          <w:numId w:val="0"/>
        </w:numPr>
        <w:spacing w:before="120" w:after="120"/>
        <w:ind w:leftChars="0"/>
        <w:outlineLvl w:val="9"/>
        <w:rPr>
          <w:rFonts w:hint="eastAsia" w:ascii="宋体" w:hAnsi="Times New Roman" w:eastAsia="宋体" w:cs="Times New Roman"/>
          <w:color w:val="auto"/>
          <w:sz w:val="21"/>
          <w:lang w:val="en-US" w:eastAsia="zh-CN" w:bidi="ar-SA"/>
        </w:rPr>
      </w:pPr>
    </w:p>
    <w:p w14:paraId="4D74DE64">
      <w:pPr>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br w:type="page"/>
      </w:r>
    </w:p>
    <w:p w14:paraId="1E32322A">
      <w:pPr>
        <w:pStyle w:val="18"/>
        <w:numPr>
          <w:ilvl w:val="3"/>
          <w:numId w:val="0"/>
        </w:numPr>
        <w:spacing w:before="120" w:after="120"/>
        <w:ind w:left="0" w:leftChars="0" w:firstLine="0" w:firstLineChars="0"/>
        <w:outlineLvl w:val="1"/>
        <w:rPr>
          <w:rFonts w:hint="eastAsia" w:ascii="宋体" w:hAnsi="Times New Roman" w:eastAsia="宋体" w:cs="Times New Roman"/>
          <w:color w:val="auto"/>
          <w:sz w:val="21"/>
          <w:lang w:val="en-US" w:eastAsia="zh-CN" w:bidi="ar-SA"/>
        </w:rPr>
      </w:pPr>
      <w:bookmarkStart w:id="44" w:name="_Toc616614425"/>
      <w:r>
        <w:rPr>
          <w:rFonts w:hint="eastAsia" w:ascii="宋体" w:hAnsi="Times New Roman" w:eastAsia="宋体" w:cs="Times New Roman"/>
          <w:color w:val="auto"/>
          <w:sz w:val="21"/>
          <w:lang w:val="en-US" w:eastAsia="zh-CN" w:bidi="ar-SA"/>
        </w:rPr>
        <w:t>B.2.6  灌溉</w:t>
      </w:r>
      <w:bookmarkEnd w:id="44"/>
    </w:p>
    <w:p w14:paraId="4E734A88">
      <w:pPr>
        <w:pStyle w:val="18"/>
        <w:numPr>
          <w:ilvl w:val="3"/>
          <w:numId w:val="0"/>
        </w:numPr>
        <w:spacing w:before="120" w:after="120"/>
        <w:ind w:leftChars="0"/>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B.2.6.1  灌溉水源及水质</w:t>
      </w:r>
    </w:p>
    <w:tbl>
      <w:tblPr>
        <w:tblStyle w:val="10"/>
        <w:tblW w:w="0" w:type="auto"/>
        <w:tblInd w:w="10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0"/>
        <w:gridCol w:w="2521"/>
        <w:gridCol w:w="3993"/>
        <w:gridCol w:w="962"/>
      </w:tblGrid>
      <w:tr w14:paraId="114FD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0" w:type="dxa"/>
            <w:vAlign w:val="center"/>
          </w:tcPr>
          <w:p w14:paraId="0E7299F6">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序号</w:t>
            </w:r>
          </w:p>
        </w:tc>
        <w:tc>
          <w:tcPr>
            <w:tcW w:w="2521" w:type="dxa"/>
            <w:vAlign w:val="center"/>
          </w:tcPr>
          <w:p w14:paraId="25B518DE">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控制点</w:t>
            </w:r>
          </w:p>
        </w:tc>
        <w:tc>
          <w:tcPr>
            <w:tcW w:w="3993" w:type="dxa"/>
            <w:vAlign w:val="center"/>
          </w:tcPr>
          <w:p w14:paraId="1F58FCF2">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符合性要求</w:t>
            </w:r>
          </w:p>
        </w:tc>
        <w:tc>
          <w:tcPr>
            <w:tcW w:w="962" w:type="dxa"/>
            <w:vAlign w:val="center"/>
          </w:tcPr>
          <w:p w14:paraId="085DCF03">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等级</w:t>
            </w:r>
          </w:p>
        </w:tc>
      </w:tr>
      <w:tr w14:paraId="6B51F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0" w:type="dxa"/>
            <w:vAlign w:val="center"/>
          </w:tcPr>
          <w:p w14:paraId="6E8F69D6">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28</w:t>
            </w:r>
          </w:p>
        </w:tc>
        <w:tc>
          <w:tcPr>
            <w:tcW w:w="2521" w:type="dxa"/>
            <w:vAlign w:val="center"/>
          </w:tcPr>
          <w:p w14:paraId="677C86BE">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灌溉水是否取自可持续水源，灌溉取水是否符合国家有关规定</w:t>
            </w:r>
          </w:p>
        </w:tc>
        <w:tc>
          <w:tcPr>
            <w:tcW w:w="3993" w:type="dxa"/>
            <w:vAlign w:val="center"/>
          </w:tcPr>
          <w:p w14:paraId="08EAABB8">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灌溉水取自可持续水源，以保护环境灌</w:t>
            </w:r>
          </w:p>
          <w:p w14:paraId="679B30E4">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溉取水执行了《取水许可和水资源管理</w:t>
            </w:r>
          </w:p>
          <w:p w14:paraId="57BE00A2">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条例》的有关规定费征收</w:t>
            </w:r>
          </w:p>
        </w:tc>
        <w:tc>
          <w:tcPr>
            <w:tcW w:w="962" w:type="dxa"/>
            <w:vAlign w:val="center"/>
          </w:tcPr>
          <w:p w14:paraId="0CB4D256">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Ⅱ级</w:t>
            </w:r>
          </w:p>
        </w:tc>
      </w:tr>
      <w:tr w14:paraId="14D74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0" w:type="dxa"/>
            <w:vAlign w:val="center"/>
          </w:tcPr>
          <w:p w14:paraId="5E36C311">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29</w:t>
            </w:r>
          </w:p>
        </w:tc>
        <w:tc>
          <w:tcPr>
            <w:tcW w:w="2521" w:type="dxa"/>
            <w:vAlign w:val="center"/>
          </w:tcPr>
          <w:p w14:paraId="09B6EFBB">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是否用未处理的生活污水进行灌溉</w:t>
            </w:r>
          </w:p>
        </w:tc>
        <w:tc>
          <w:tcPr>
            <w:tcW w:w="3993" w:type="dxa"/>
            <w:vAlign w:val="center"/>
          </w:tcPr>
          <w:p w14:paraId="6D2BBF83">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未将未处理的生活污水用于灌溉，处理后的污水用于灌溉，其水质符合GB/T22103的要求</w:t>
            </w:r>
          </w:p>
        </w:tc>
        <w:tc>
          <w:tcPr>
            <w:tcW w:w="962" w:type="dxa"/>
            <w:vAlign w:val="center"/>
          </w:tcPr>
          <w:p w14:paraId="506B9FE8">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Ⅰ级</w:t>
            </w:r>
          </w:p>
        </w:tc>
      </w:tr>
      <w:tr w14:paraId="7E6C7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0" w:type="dxa"/>
            <w:vAlign w:val="center"/>
          </w:tcPr>
          <w:p w14:paraId="7CBEF34F">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30</w:t>
            </w:r>
          </w:p>
        </w:tc>
        <w:tc>
          <w:tcPr>
            <w:tcW w:w="2521" w:type="dxa"/>
            <w:vAlign w:val="center"/>
          </w:tcPr>
          <w:p w14:paraId="19B0ECDD">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是否每年对灌溉水进行风险评估</w:t>
            </w:r>
          </w:p>
        </w:tc>
        <w:tc>
          <w:tcPr>
            <w:tcW w:w="3993" w:type="dxa"/>
            <w:vAlign w:val="center"/>
          </w:tcPr>
          <w:p w14:paraId="7BA5D164">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每年至少进行一次灌溉水风险评估，评估考虑了潜在污染、污染源、果树敏感性、灌溉方法、水源、环境、水质分析频率等</w:t>
            </w:r>
          </w:p>
        </w:tc>
        <w:tc>
          <w:tcPr>
            <w:tcW w:w="962" w:type="dxa"/>
            <w:vAlign w:val="center"/>
          </w:tcPr>
          <w:p w14:paraId="341B9559">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Ⅱ级</w:t>
            </w:r>
          </w:p>
        </w:tc>
      </w:tr>
      <w:tr w14:paraId="13938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0" w:type="dxa"/>
            <w:vAlign w:val="center"/>
          </w:tcPr>
          <w:p w14:paraId="5A61B7D5">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31</w:t>
            </w:r>
          </w:p>
        </w:tc>
        <w:tc>
          <w:tcPr>
            <w:tcW w:w="2521" w:type="dxa"/>
            <w:vAlign w:val="center"/>
          </w:tcPr>
          <w:p w14:paraId="43C3ECCB">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水质分析频率与风险评估确定的频率是否一致</w:t>
            </w:r>
          </w:p>
        </w:tc>
        <w:tc>
          <w:tcPr>
            <w:tcW w:w="3993" w:type="dxa"/>
            <w:vAlign w:val="center"/>
          </w:tcPr>
          <w:p w14:paraId="7CF8CCE7">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水质分析频率不低于风险评估确定的分析频率</w:t>
            </w:r>
          </w:p>
        </w:tc>
        <w:tc>
          <w:tcPr>
            <w:tcW w:w="962" w:type="dxa"/>
            <w:vAlign w:val="center"/>
          </w:tcPr>
          <w:p w14:paraId="60071253">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Ⅱ级</w:t>
            </w:r>
          </w:p>
        </w:tc>
      </w:tr>
      <w:tr w14:paraId="1A21F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0" w:type="dxa"/>
            <w:vAlign w:val="center"/>
          </w:tcPr>
          <w:p w14:paraId="25C06722">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32</w:t>
            </w:r>
          </w:p>
        </w:tc>
        <w:tc>
          <w:tcPr>
            <w:tcW w:w="2521" w:type="dxa"/>
            <w:vAlign w:val="center"/>
          </w:tcPr>
          <w:p w14:paraId="08A5F8AC">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水质分析是否由有资质的实验室进行</w:t>
            </w:r>
          </w:p>
        </w:tc>
        <w:tc>
          <w:tcPr>
            <w:tcW w:w="3993" w:type="dxa"/>
            <w:vAlign w:val="center"/>
          </w:tcPr>
          <w:p w14:paraId="1E8AFD1B">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水质分析实验室有资质证明文件</w:t>
            </w:r>
          </w:p>
        </w:tc>
        <w:tc>
          <w:tcPr>
            <w:tcW w:w="962" w:type="dxa"/>
            <w:vAlign w:val="center"/>
          </w:tcPr>
          <w:p w14:paraId="766E4F4E">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Ⅲ级</w:t>
            </w:r>
          </w:p>
        </w:tc>
      </w:tr>
      <w:tr w14:paraId="45DAF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0" w:type="dxa"/>
            <w:vAlign w:val="center"/>
          </w:tcPr>
          <w:p w14:paraId="7613D239">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33</w:t>
            </w:r>
          </w:p>
        </w:tc>
        <w:tc>
          <w:tcPr>
            <w:tcW w:w="2521" w:type="dxa"/>
            <w:vAlign w:val="center"/>
          </w:tcPr>
          <w:p w14:paraId="0653C1EE">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是其对水质分析发现的异常情况采取了措施</w:t>
            </w:r>
          </w:p>
        </w:tc>
        <w:tc>
          <w:tcPr>
            <w:tcW w:w="3993" w:type="dxa"/>
            <w:vAlign w:val="center"/>
          </w:tcPr>
          <w:p w14:paraId="5CDD31E9">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对水质分析发现的异常情况采取了措施，并有措施及结果有记录</w:t>
            </w:r>
          </w:p>
        </w:tc>
        <w:tc>
          <w:tcPr>
            <w:tcW w:w="962" w:type="dxa"/>
            <w:vAlign w:val="center"/>
          </w:tcPr>
          <w:p w14:paraId="2D0D253C">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Ⅲ级</w:t>
            </w:r>
          </w:p>
        </w:tc>
      </w:tr>
    </w:tbl>
    <w:p w14:paraId="3E62766B">
      <w:pPr>
        <w:pStyle w:val="18"/>
        <w:numPr>
          <w:ilvl w:val="3"/>
          <w:numId w:val="0"/>
        </w:numPr>
        <w:spacing w:before="120" w:after="120"/>
        <w:ind w:leftChars="0"/>
        <w:outlineLvl w:val="9"/>
        <w:rPr>
          <w:rFonts w:hint="eastAsia" w:ascii="宋体" w:hAnsi="Times New Roman" w:eastAsia="宋体" w:cs="Times New Roman"/>
          <w:color w:val="auto"/>
          <w:sz w:val="21"/>
          <w:lang w:val="en-US" w:eastAsia="zh-CN" w:bidi="ar-SA"/>
        </w:rPr>
      </w:pPr>
    </w:p>
    <w:p w14:paraId="34A9CB26">
      <w:pPr>
        <w:pStyle w:val="18"/>
        <w:numPr>
          <w:ilvl w:val="3"/>
          <w:numId w:val="0"/>
        </w:numPr>
        <w:spacing w:before="120" w:after="120"/>
        <w:ind w:leftChars="0"/>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B.2.6.2  灌溉方法</w:t>
      </w:r>
    </w:p>
    <w:tbl>
      <w:tblPr>
        <w:tblStyle w:val="10"/>
        <w:tblW w:w="0" w:type="auto"/>
        <w:tblInd w:w="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7"/>
        <w:gridCol w:w="2521"/>
        <w:gridCol w:w="3993"/>
        <w:gridCol w:w="962"/>
      </w:tblGrid>
      <w:tr w14:paraId="2E17C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14:paraId="12DA375B">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序号</w:t>
            </w:r>
          </w:p>
        </w:tc>
        <w:tc>
          <w:tcPr>
            <w:tcW w:w="2521" w:type="dxa"/>
            <w:vAlign w:val="center"/>
          </w:tcPr>
          <w:p w14:paraId="7B85F084">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控制点</w:t>
            </w:r>
          </w:p>
        </w:tc>
        <w:tc>
          <w:tcPr>
            <w:tcW w:w="3993" w:type="dxa"/>
            <w:vAlign w:val="center"/>
          </w:tcPr>
          <w:p w14:paraId="19E2F9D5">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符合性要求</w:t>
            </w:r>
          </w:p>
        </w:tc>
        <w:tc>
          <w:tcPr>
            <w:tcW w:w="962" w:type="dxa"/>
            <w:vAlign w:val="center"/>
          </w:tcPr>
          <w:p w14:paraId="195C89E3">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等级</w:t>
            </w:r>
          </w:p>
        </w:tc>
      </w:tr>
      <w:tr w14:paraId="2EA8B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14:paraId="13913858">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34</w:t>
            </w:r>
          </w:p>
        </w:tc>
        <w:tc>
          <w:tcPr>
            <w:tcW w:w="2521" w:type="dxa"/>
            <w:vAlign w:val="center"/>
          </w:tcPr>
          <w:p w14:paraId="2488640B">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所用灌溉方法是否考虑了水资源保护</w:t>
            </w:r>
          </w:p>
        </w:tc>
        <w:tc>
          <w:tcPr>
            <w:tcW w:w="3993" w:type="dxa"/>
            <w:vAlign w:val="center"/>
          </w:tcPr>
          <w:p w14:paraId="35CB2C7C">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采用沟灌、喷灌、滴灌、渗灌等节水灌溉方法，避免水资源浪费</w:t>
            </w:r>
          </w:p>
        </w:tc>
        <w:tc>
          <w:tcPr>
            <w:tcW w:w="962" w:type="dxa"/>
            <w:vAlign w:val="center"/>
          </w:tcPr>
          <w:p w14:paraId="0E74EAA7">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Ⅱ级</w:t>
            </w:r>
          </w:p>
        </w:tc>
      </w:tr>
      <w:tr w14:paraId="7D1DE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14:paraId="184169EB">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35</w:t>
            </w:r>
          </w:p>
        </w:tc>
        <w:tc>
          <w:tcPr>
            <w:tcW w:w="2521" w:type="dxa"/>
            <w:vAlign w:val="center"/>
          </w:tcPr>
          <w:p w14:paraId="3BF2F409">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是否有灌溉用水计划</w:t>
            </w:r>
          </w:p>
        </w:tc>
        <w:tc>
          <w:tcPr>
            <w:tcW w:w="3993" w:type="dxa"/>
            <w:vAlign w:val="center"/>
          </w:tcPr>
          <w:p w14:paraId="2C29F11A">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有书面的灌溉用水计划，以优化水资源、利用和减少浪费，并列出了灌溉方法</w:t>
            </w:r>
          </w:p>
        </w:tc>
        <w:tc>
          <w:tcPr>
            <w:tcW w:w="962" w:type="dxa"/>
            <w:vAlign w:val="center"/>
          </w:tcPr>
          <w:p w14:paraId="04F476A0">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Ⅲ级</w:t>
            </w:r>
          </w:p>
        </w:tc>
      </w:tr>
      <w:tr w14:paraId="19D1C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14:paraId="5AB745B1">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36</w:t>
            </w:r>
          </w:p>
        </w:tc>
        <w:tc>
          <w:tcPr>
            <w:tcW w:w="2521" w:type="dxa"/>
            <w:vAlign w:val="center"/>
          </w:tcPr>
          <w:p w14:paraId="72573780">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是否保留了灌溉记录</w:t>
            </w:r>
          </w:p>
        </w:tc>
        <w:tc>
          <w:tcPr>
            <w:tcW w:w="3993" w:type="dxa"/>
            <w:vAlign w:val="center"/>
          </w:tcPr>
          <w:p w14:paraId="7C3387D5">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保留灌溉记录（包括灌溉地块、灌溉日期、灌溉方法、灌水量等）</w:t>
            </w:r>
          </w:p>
        </w:tc>
        <w:tc>
          <w:tcPr>
            <w:tcW w:w="962" w:type="dxa"/>
            <w:vAlign w:val="center"/>
          </w:tcPr>
          <w:p w14:paraId="1BCAE3D4">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Ⅰ级</w:t>
            </w:r>
          </w:p>
        </w:tc>
      </w:tr>
    </w:tbl>
    <w:p w14:paraId="4F88656D">
      <w:pPr>
        <w:pStyle w:val="18"/>
        <w:numPr>
          <w:ilvl w:val="3"/>
          <w:numId w:val="0"/>
        </w:numPr>
        <w:spacing w:before="120" w:after="120"/>
        <w:ind w:leftChars="0"/>
        <w:outlineLvl w:val="9"/>
        <w:rPr>
          <w:rFonts w:hint="eastAsia" w:ascii="宋体" w:hAnsi="Times New Roman" w:eastAsia="宋体" w:cs="Times New Roman"/>
          <w:color w:val="auto"/>
          <w:sz w:val="21"/>
          <w:lang w:val="en-US" w:eastAsia="zh-CN" w:bidi="ar-SA"/>
        </w:rPr>
      </w:pPr>
    </w:p>
    <w:p w14:paraId="081F030D">
      <w:pPr>
        <w:pStyle w:val="18"/>
        <w:numPr>
          <w:ilvl w:val="3"/>
          <w:numId w:val="0"/>
        </w:numPr>
        <w:spacing w:before="120" w:after="120"/>
        <w:ind w:left="0" w:leftChars="0" w:firstLine="0" w:firstLineChars="0"/>
        <w:outlineLvl w:val="0"/>
        <w:rPr>
          <w:color w:val="auto"/>
        </w:rPr>
      </w:pPr>
      <w:bookmarkStart w:id="45" w:name="_Toc183550611"/>
      <w:r>
        <w:rPr>
          <w:rFonts w:hint="eastAsia" w:ascii="宋体" w:hAnsi="Times New Roman" w:eastAsia="宋体" w:cs="Times New Roman"/>
          <w:color w:val="auto"/>
          <w:sz w:val="21"/>
          <w:lang w:val="en-US" w:eastAsia="zh-CN" w:bidi="ar-SA"/>
        </w:rPr>
        <w:t>B.3  植物保护</w:t>
      </w:r>
      <w:bookmarkEnd w:id="45"/>
    </w:p>
    <w:p w14:paraId="0865136A">
      <w:pPr>
        <w:pStyle w:val="18"/>
        <w:numPr>
          <w:ilvl w:val="3"/>
          <w:numId w:val="0"/>
        </w:numPr>
        <w:spacing w:before="120" w:after="120"/>
        <w:ind w:left="0" w:leftChars="0" w:firstLine="0" w:firstLineChars="0"/>
        <w:outlineLvl w:val="1"/>
        <w:rPr>
          <w:rFonts w:hint="eastAsia" w:ascii="宋体" w:hAnsi="Times New Roman" w:eastAsia="宋体" w:cs="Times New Roman"/>
          <w:color w:val="auto"/>
          <w:sz w:val="21"/>
          <w:lang w:val="en-US" w:eastAsia="zh-CN" w:bidi="ar-SA"/>
        </w:rPr>
      </w:pPr>
      <w:bookmarkStart w:id="46" w:name="_Toc828923660"/>
      <w:r>
        <w:rPr>
          <w:rFonts w:hint="eastAsia" w:ascii="宋体" w:hAnsi="Times New Roman" w:eastAsia="宋体" w:cs="Times New Roman"/>
          <w:color w:val="auto"/>
          <w:sz w:val="21"/>
          <w:lang w:val="en-US" w:eastAsia="zh-CN" w:bidi="ar-SA"/>
        </w:rPr>
        <w:t>B.3.1  病虫害综合防治</w:t>
      </w:r>
      <w:bookmarkEnd w:id="46"/>
    </w:p>
    <w:tbl>
      <w:tblPr>
        <w:tblStyle w:val="10"/>
        <w:tblW w:w="0" w:type="auto"/>
        <w:tblInd w:w="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0"/>
        <w:gridCol w:w="2519"/>
        <w:gridCol w:w="3990"/>
        <w:gridCol w:w="964"/>
      </w:tblGrid>
      <w:tr w14:paraId="25618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vAlign w:val="center"/>
          </w:tcPr>
          <w:p w14:paraId="32A8878F">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序号</w:t>
            </w:r>
          </w:p>
        </w:tc>
        <w:tc>
          <w:tcPr>
            <w:tcW w:w="2519" w:type="dxa"/>
            <w:vAlign w:val="center"/>
          </w:tcPr>
          <w:p w14:paraId="529D72CC">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控制点</w:t>
            </w:r>
          </w:p>
        </w:tc>
        <w:tc>
          <w:tcPr>
            <w:tcW w:w="3990" w:type="dxa"/>
            <w:vAlign w:val="center"/>
          </w:tcPr>
          <w:p w14:paraId="782C3593">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符合性要求</w:t>
            </w:r>
          </w:p>
        </w:tc>
        <w:tc>
          <w:tcPr>
            <w:tcW w:w="964" w:type="dxa"/>
            <w:vAlign w:val="center"/>
          </w:tcPr>
          <w:p w14:paraId="4264F167">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等级</w:t>
            </w:r>
          </w:p>
        </w:tc>
      </w:tr>
      <w:tr w14:paraId="4966D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vAlign w:val="center"/>
          </w:tcPr>
          <w:p w14:paraId="4FF9E806">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37</w:t>
            </w:r>
          </w:p>
        </w:tc>
        <w:tc>
          <w:tcPr>
            <w:tcW w:w="2519" w:type="dxa"/>
            <w:vAlign w:val="center"/>
          </w:tcPr>
          <w:p w14:paraId="02723F85">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是否通过培训或建议来实施病虫害综合防治（IPM）</w:t>
            </w:r>
          </w:p>
        </w:tc>
        <w:tc>
          <w:tcPr>
            <w:tcW w:w="3990" w:type="dxa"/>
            <w:vAlign w:val="center"/>
          </w:tcPr>
          <w:p w14:paraId="5E213BC3">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技术员接受了正式的培训。外部IPM顾问能证明其资质</w:t>
            </w:r>
          </w:p>
        </w:tc>
        <w:tc>
          <w:tcPr>
            <w:tcW w:w="964" w:type="dxa"/>
            <w:vAlign w:val="center"/>
          </w:tcPr>
          <w:p w14:paraId="713FC470">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Ⅱ级</w:t>
            </w:r>
          </w:p>
        </w:tc>
      </w:tr>
      <w:tr w14:paraId="648CD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vAlign w:val="center"/>
          </w:tcPr>
          <w:p w14:paraId="4C14A218">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38</w:t>
            </w:r>
          </w:p>
        </w:tc>
        <w:tc>
          <w:tcPr>
            <w:tcW w:w="2519" w:type="dxa"/>
            <w:vAlign w:val="center"/>
          </w:tcPr>
          <w:p w14:paraId="3FAD4B51">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是否至少采取了一种预防</w:t>
            </w:r>
          </w:p>
          <w:p w14:paraId="5D5A4ACC">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措施</w:t>
            </w:r>
          </w:p>
        </w:tc>
        <w:tc>
          <w:tcPr>
            <w:tcW w:w="3990" w:type="dxa"/>
            <w:vAlign w:val="center"/>
          </w:tcPr>
          <w:p w14:paraId="635B8A8D">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至少采取了一种预防措施（如降低病虫害危害的栽培措施），以减少对干预措施的需求</w:t>
            </w:r>
          </w:p>
        </w:tc>
        <w:tc>
          <w:tcPr>
            <w:tcW w:w="964" w:type="dxa"/>
            <w:vAlign w:val="center"/>
          </w:tcPr>
          <w:p w14:paraId="75BF3B30">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Ⅱ级</w:t>
            </w:r>
          </w:p>
        </w:tc>
      </w:tr>
      <w:tr w14:paraId="76C00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vAlign w:val="center"/>
          </w:tcPr>
          <w:p w14:paraId="497BC88F">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39</w:t>
            </w:r>
          </w:p>
        </w:tc>
        <w:tc>
          <w:tcPr>
            <w:tcW w:w="2519" w:type="dxa"/>
            <w:vAlign w:val="center"/>
          </w:tcPr>
          <w:p w14:paraId="0C9C1B44">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是否至少采取了一种监测</w:t>
            </w:r>
          </w:p>
          <w:p w14:paraId="42055A4E">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措施</w:t>
            </w:r>
          </w:p>
        </w:tc>
        <w:tc>
          <w:tcPr>
            <w:tcW w:w="3990" w:type="dxa"/>
            <w:vAlign w:val="center"/>
          </w:tcPr>
          <w:p w14:paraId="4E350946">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至少采取了一种监测措施，以确定病虫害和天敌出现的时间、数量，并据此确定防治技术</w:t>
            </w:r>
          </w:p>
        </w:tc>
        <w:tc>
          <w:tcPr>
            <w:tcW w:w="964" w:type="dxa"/>
            <w:vAlign w:val="center"/>
          </w:tcPr>
          <w:p w14:paraId="1259F32B">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Ⅱ级</w:t>
            </w:r>
          </w:p>
        </w:tc>
      </w:tr>
      <w:tr w14:paraId="63060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vAlign w:val="center"/>
          </w:tcPr>
          <w:p w14:paraId="0FB75B58">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40</w:t>
            </w:r>
          </w:p>
        </w:tc>
        <w:tc>
          <w:tcPr>
            <w:tcW w:w="2519" w:type="dxa"/>
            <w:vAlign w:val="center"/>
          </w:tcPr>
          <w:p w14:paraId="79823C15">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是否至少采取了一种干预</w:t>
            </w:r>
          </w:p>
          <w:p w14:paraId="650CF040">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措施</w:t>
            </w:r>
          </w:p>
        </w:tc>
        <w:tc>
          <w:tcPr>
            <w:tcW w:w="3990" w:type="dxa"/>
            <w:vAlign w:val="center"/>
          </w:tcPr>
          <w:p w14:paraId="7B233361">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仅在病虫害影响到果树经济价值时，才采取病虫害控制措施，并尽可能考虑了非化学方法</w:t>
            </w:r>
          </w:p>
        </w:tc>
        <w:tc>
          <w:tcPr>
            <w:tcW w:w="964" w:type="dxa"/>
            <w:vAlign w:val="center"/>
          </w:tcPr>
          <w:p w14:paraId="322B528F">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Ⅱ级</w:t>
            </w:r>
          </w:p>
        </w:tc>
      </w:tr>
      <w:tr w14:paraId="4FE3F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vAlign w:val="center"/>
          </w:tcPr>
          <w:p w14:paraId="13882595">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41</w:t>
            </w:r>
          </w:p>
        </w:tc>
        <w:tc>
          <w:tcPr>
            <w:tcW w:w="2519" w:type="dxa"/>
            <w:vAlign w:val="center"/>
          </w:tcPr>
          <w:p w14:paraId="4FC4A4F2">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农药的使用量是否尽可能低</w:t>
            </w:r>
          </w:p>
        </w:tc>
        <w:tc>
          <w:tcPr>
            <w:tcW w:w="3990" w:type="dxa"/>
            <w:vAlign w:val="center"/>
          </w:tcPr>
          <w:p w14:paraId="7C74D00B">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在保证病虫害防治效果的前提下，农药使用量尽可能低</w:t>
            </w:r>
          </w:p>
        </w:tc>
        <w:tc>
          <w:tcPr>
            <w:tcW w:w="964" w:type="dxa"/>
            <w:vAlign w:val="center"/>
          </w:tcPr>
          <w:p w14:paraId="70DE60D6">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Ⅱ级</w:t>
            </w:r>
          </w:p>
        </w:tc>
      </w:tr>
      <w:tr w14:paraId="32E70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vAlign w:val="center"/>
          </w:tcPr>
          <w:p w14:paraId="7E21BF6C">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42</w:t>
            </w:r>
          </w:p>
        </w:tc>
        <w:tc>
          <w:tcPr>
            <w:tcW w:w="2519" w:type="dxa"/>
            <w:vAlign w:val="center"/>
          </w:tcPr>
          <w:p w14:paraId="72791C84">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是否采纳了农药标签上推荐的措施预防抗性产生</w:t>
            </w:r>
          </w:p>
        </w:tc>
        <w:tc>
          <w:tcPr>
            <w:tcW w:w="3990" w:type="dxa"/>
            <w:vAlign w:val="center"/>
          </w:tcPr>
          <w:p w14:paraId="4A88FAC5">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采纳了农药标签上推荐的措施，预防抗药性产生和保持农药有效性</w:t>
            </w:r>
          </w:p>
        </w:tc>
        <w:tc>
          <w:tcPr>
            <w:tcW w:w="964" w:type="dxa"/>
            <w:vAlign w:val="center"/>
          </w:tcPr>
          <w:p w14:paraId="5E095B6E">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Ⅱ级</w:t>
            </w:r>
          </w:p>
        </w:tc>
      </w:tr>
    </w:tbl>
    <w:p w14:paraId="04517092">
      <w:pPr>
        <w:pStyle w:val="14"/>
        <w:ind w:left="0" w:leftChars="0" w:firstLine="0" w:firstLineChars="0"/>
        <w:rPr>
          <w:rFonts w:hint="eastAsia"/>
          <w:color w:val="auto"/>
          <w:lang w:val="en-US" w:eastAsia="zh-CN"/>
        </w:rPr>
      </w:pPr>
    </w:p>
    <w:p w14:paraId="55D46421">
      <w:pPr>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br w:type="page"/>
      </w:r>
    </w:p>
    <w:p w14:paraId="3C971FF5">
      <w:pPr>
        <w:outlineLvl w:val="1"/>
        <w:rPr>
          <w:rFonts w:hint="eastAsia" w:ascii="宋体" w:hAnsi="Times New Roman" w:eastAsia="宋体" w:cs="Times New Roman"/>
          <w:color w:val="auto"/>
          <w:sz w:val="21"/>
          <w:lang w:val="en-US" w:eastAsia="zh-CN" w:bidi="ar-SA"/>
        </w:rPr>
      </w:pPr>
      <w:bookmarkStart w:id="47" w:name="_Toc1860896307"/>
      <w:r>
        <w:rPr>
          <w:rFonts w:hint="eastAsia" w:ascii="宋体" w:hAnsi="Times New Roman" w:eastAsia="宋体" w:cs="Times New Roman"/>
          <w:color w:val="auto"/>
          <w:sz w:val="21"/>
          <w:lang w:val="en-US" w:eastAsia="zh-CN" w:bidi="ar-SA"/>
        </w:rPr>
        <w:t>B.3.2  农药</w:t>
      </w:r>
      <w:bookmarkEnd w:id="47"/>
    </w:p>
    <w:p w14:paraId="032EF938">
      <w:pPr>
        <w:pStyle w:val="18"/>
        <w:numPr>
          <w:ilvl w:val="3"/>
          <w:numId w:val="0"/>
        </w:numPr>
        <w:spacing w:before="120" w:after="120"/>
        <w:ind w:leftChars="0"/>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B.3.2.1  选择</w:t>
      </w:r>
    </w:p>
    <w:tbl>
      <w:tblPr>
        <w:tblStyle w:val="10"/>
        <w:tblW w:w="0" w:type="auto"/>
        <w:tblInd w:w="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6"/>
        <w:gridCol w:w="2525"/>
        <w:gridCol w:w="3990"/>
        <w:gridCol w:w="942"/>
      </w:tblGrid>
      <w:tr w14:paraId="39D17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vAlign w:val="center"/>
          </w:tcPr>
          <w:p w14:paraId="608DF303">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序号</w:t>
            </w:r>
          </w:p>
        </w:tc>
        <w:tc>
          <w:tcPr>
            <w:tcW w:w="2525" w:type="dxa"/>
            <w:vAlign w:val="center"/>
          </w:tcPr>
          <w:p w14:paraId="2C253C86">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控制点</w:t>
            </w:r>
          </w:p>
        </w:tc>
        <w:tc>
          <w:tcPr>
            <w:tcW w:w="3990" w:type="dxa"/>
            <w:vAlign w:val="center"/>
          </w:tcPr>
          <w:p w14:paraId="5EFA57DB">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符合性要求</w:t>
            </w:r>
          </w:p>
        </w:tc>
        <w:tc>
          <w:tcPr>
            <w:tcW w:w="942" w:type="dxa"/>
            <w:vAlign w:val="center"/>
          </w:tcPr>
          <w:p w14:paraId="6A2CD9A9">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等级</w:t>
            </w:r>
          </w:p>
        </w:tc>
      </w:tr>
      <w:tr w14:paraId="404F0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vAlign w:val="center"/>
          </w:tcPr>
          <w:p w14:paraId="2F47A267">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43</w:t>
            </w:r>
          </w:p>
        </w:tc>
        <w:tc>
          <w:tcPr>
            <w:tcW w:w="2525" w:type="dxa"/>
            <w:vAlign w:val="center"/>
          </w:tcPr>
          <w:p w14:paraId="6A976D75">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所售农药是否已取得登记证，并适于拟防治的对象</w:t>
            </w:r>
          </w:p>
        </w:tc>
        <w:tc>
          <w:tcPr>
            <w:tcW w:w="3990" w:type="dxa"/>
            <w:vAlign w:val="center"/>
          </w:tcPr>
          <w:p w14:paraId="3F78AFA4">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所用农药已取得农药登记证，并按标签注明的防治对象、用药量、施药适期和施用方法合理使用</w:t>
            </w:r>
          </w:p>
        </w:tc>
        <w:tc>
          <w:tcPr>
            <w:tcW w:w="942" w:type="dxa"/>
            <w:vAlign w:val="center"/>
          </w:tcPr>
          <w:p w14:paraId="1564691A">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Ⅰ级</w:t>
            </w:r>
          </w:p>
        </w:tc>
      </w:tr>
      <w:tr w14:paraId="2A502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vAlign w:val="center"/>
          </w:tcPr>
          <w:p w14:paraId="323D970C">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44</w:t>
            </w:r>
          </w:p>
        </w:tc>
        <w:tc>
          <w:tcPr>
            <w:tcW w:w="2525" w:type="dxa"/>
            <w:vAlign w:val="center"/>
          </w:tcPr>
          <w:p w14:paraId="605DD821">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是否保留了农药购买发票和使用清单</w:t>
            </w:r>
          </w:p>
        </w:tc>
        <w:tc>
          <w:tcPr>
            <w:tcW w:w="3990" w:type="dxa"/>
            <w:vAlign w:val="center"/>
          </w:tcPr>
          <w:p w14:paraId="63C869CA">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保留了农药购买发票和最近12个月所用农药的书面清单（包括商品名、有效成分、生产厂家等）</w:t>
            </w:r>
          </w:p>
        </w:tc>
        <w:tc>
          <w:tcPr>
            <w:tcW w:w="942" w:type="dxa"/>
            <w:vAlign w:val="center"/>
          </w:tcPr>
          <w:p w14:paraId="687C26F8">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Ⅱ级</w:t>
            </w:r>
          </w:p>
        </w:tc>
      </w:tr>
      <w:tr w14:paraId="11CB4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vAlign w:val="center"/>
          </w:tcPr>
          <w:p w14:paraId="08C1C065">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45</w:t>
            </w:r>
          </w:p>
        </w:tc>
        <w:tc>
          <w:tcPr>
            <w:tcW w:w="2525" w:type="dxa"/>
            <w:vAlign w:val="center"/>
          </w:tcPr>
          <w:p w14:paraId="5EB4E8AF">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负责选择农药的人是否具有相应的能力</w:t>
            </w:r>
          </w:p>
        </w:tc>
        <w:tc>
          <w:tcPr>
            <w:tcW w:w="3990" w:type="dxa"/>
            <w:vAlign w:val="center"/>
          </w:tcPr>
          <w:p w14:paraId="6D919AFB">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负责农药选择的人员应有资格证书或培训证书</w:t>
            </w:r>
          </w:p>
        </w:tc>
        <w:tc>
          <w:tcPr>
            <w:tcW w:w="942" w:type="dxa"/>
            <w:vAlign w:val="center"/>
          </w:tcPr>
          <w:p w14:paraId="50197AD8">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Ⅰ级</w:t>
            </w:r>
          </w:p>
        </w:tc>
      </w:tr>
    </w:tbl>
    <w:p w14:paraId="2484CDF3">
      <w:pPr>
        <w:pStyle w:val="18"/>
        <w:numPr>
          <w:ilvl w:val="3"/>
          <w:numId w:val="0"/>
        </w:numPr>
        <w:spacing w:before="120" w:after="120"/>
        <w:ind w:leftChars="0"/>
        <w:outlineLvl w:val="9"/>
        <w:rPr>
          <w:rFonts w:hint="eastAsia" w:ascii="宋体" w:hAnsi="Times New Roman" w:eastAsia="宋体" w:cs="Times New Roman"/>
          <w:color w:val="auto"/>
          <w:sz w:val="21"/>
          <w:lang w:val="en-US" w:eastAsia="zh-CN" w:bidi="ar-SA"/>
        </w:rPr>
      </w:pPr>
    </w:p>
    <w:p w14:paraId="57FDFE37">
      <w:pPr>
        <w:pStyle w:val="18"/>
        <w:numPr>
          <w:ilvl w:val="3"/>
          <w:numId w:val="0"/>
        </w:numPr>
        <w:spacing w:before="120" w:after="120"/>
        <w:ind w:leftChars="0"/>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B.3.2.2  施药记录</w:t>
      </w:r>
    </w:p>
    <w:tbl>
      <w:tblPr>
        <w:tblStyle w:val="10"/>
        <w:tblW w:w="0" w:type="auto"/>
        <w:tblInd w:w="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0"/>
        <w:gridCol w:w="2525"/>
        <w:gridCol w:w="3990"/>
        <w:gridCol w:w="947"/>
      </w:tblGrid>
      <w:tr w14:paraId="2545F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vAlign w:val="center"/>
          </w:tcPr>
          <w:p w14:paraId="2B5B8B57">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序号</w:t>
            </w:r>
          </w:p>
        </w:tc>
        <w:tc>
          <w:tcPr>
            <w:tcW w:w="2525" w:type="dxa"/>
            <w:vAlign w:val="center"/>
          </w:tcPr>
          <w:p w14:paraId="6F233253">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控制点</w:t>
            </w:r>
          </w:p>
        </w:tc>
        <w:tc>
          <w:tcPr>
            <w:tcW w:w="3990" w:type="dxa"/>
            <w:vAlign w:val="center"/>
          </w:tcPr>
          <w:p w14:paraId="67D78AC7">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符合性要求</w:t>
            </w:r>
          </w:p>
        </w:tc>
        <w:tc>
          <w:tcPr>
            <w:tcW w:w="947" w:type="dxa"/>
            <w:vAlign w:val="center"/>
          </w:tcPr>
          <w:p w14:paraId="068FFEC5">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等级</w:t>
            </w:r>
          </w:p>
        </w:tc>
      </w:tr>
      <w:tr w14:paraId="30CA4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vAlign w:val="center"/>
          </w:tcPr>
          <w:p w14:paraId="09014FF7">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46</w:t>
            </w:r>
          </w:p>
        </w:tc>
        <w:tc>
          <w:tcPr>
            <w:tcW w:w="2525" w:type="dxa"/>
            <w:vAlign w:val="center"/>
          </w:tcPr>
          <w:p w14:paraId="1E58ED14">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是否记录了使用农药的树种和品种、地块、日期、商品名、安全间隔期等信息</w:t>
            </w:r>
          </w:p>
        </w:tc>
        <w:tc>
          <w:tcPr>
            <w:tcW w:w="3990" w:type="dxa"/>
            <w:vAlign w:val="center"/>
          </w:tcPr>
          <w:p w14:paraId="3EEA6C2A">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详细记录了使用农药的树种和品种、地块、日期、商品名、安全间隔期等信息、</w:t>
            </w:r>
          </w:p>
        </w:tc>
        <w:tc>
          <w:tcPr>
            <w:tcW w:w="947" w:type="dxa"/>
            <w:vAlign w:val="center"/>
          </w:tcPr>
          <w:p w14:paraId="7C98AB9C">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Ⅰ级</w:t>
            </w:r>
          </w:p>
        </w:tc>
      </w:tr>
      <w:tr w14:paraId="73681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vAlign w:val="center"/>
          </w:tcPr>
          <w:p w14:paraId="7BF05A08">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47</w:t>
            </w:r>
          </w:p>
        </w:tc>
        <w:tc>
          <w:tcPr>
            <w:tcW w:w="2525" w:type="dxa"/>
            <w:vAlign w:val="center"/>
          </w:tcPr>
          <w:p w14:paraId="5459FB0A">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是否记录了使用理由、使用量、使用方法、施药机械、操作人员、技术员等信息</w:t>
            </w:r>
          </w:p>
        </w:tc>
        <w:tc>
          <w:tcPr>
            <w:tcW w:w="3990" w:type="dxa"/>
            <w:vAlign w:val="center"/>
          </w:tcPr>
          <w:p w14:paraId="4C3353D2">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详细记录了防治对象、使用量、使用方法、施药机械、操作人员、技术员等信息</w:t>
            </w:r>
          </w:p>
        </w:tc>
        <w:tc>
          <w:tcPr>
            <w:tcW w:w="947" w:type="dxa"/>
            <w:vAlign w:val="center"/>
          </w:tcPr>
          <w:p w14:paraId="5D60899B">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Ⅱ级</w:t>
            </w:r>
          </w:p>
        </w:tc>
      </w:tr>
    </w:tbl>
    <w:p w14:paraId="3769FEFE">
      <w:pPr>
        <w:pStyle w:val="18"/>
        <w:numPr>
          <w:ilvl w:val="3"/>
          <w:numId w:val="0"/>
        </w:numPr>
        <w:spacing w:before="120" w:after="120"/>
        <w:ind w:leftChars="0"/>
        <w:outlineLvl w:val="9"/>
        <w:rPr>
          <w:rFonts w:hint="eastAsia" w:ascii="宋体" w:hAnsi="Times New Roman" w:eastAsia="宋体" w:cs="Times New Roman"/>
          <w:color w:val="auto"/>
          <w:sz w:val="21"/>
          <w:lang w:val="en-US" w:eastAsia="zh-CN" w:bidi="ar-SA"/>
        </w:rPr>
      </w:pPr>
    </w:p>
    <w:p w14:paraId="6AD2BCF7">
      <w:pPr>
        <w:pStyle w:val="18"/>
        <w:numPr>
          <w:ilvl w:val="3"/>
          <w:numId w:val="0"/>
        </w:numPr>
        <w:spacing w:before="120" w:after="120"/>
        <w:ind w:leftChars="0"/>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B.3.2.3  安全间隔期</w:t>
      </w:r>
    </w:p>
    <w:tbl>
      <w:tblPr>
        <w:tblStyle w:val="10"/>
        <w:tblW w:w="0" w:type="auto"/>
        <w:tblInd w:w="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0"/>
        <w:gridCol w:w="2525"/>
        <w:gridCol w:w="3990"/>
        <w:gridCol w:w="947"/>
      </w:tblGrid>
      <w:tr w14:paraId="6757B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vAlign w:val="center"/>
          </w:tcPr>
          <w:p w14:paraId="3B578568">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序号</w:t>
            </w:r>
          </w:p>
        </w:tc>
        <w:tc>
          <w:tcPr>
            <w:tcW w:w="2525" w:type="dxa"/>
            <w:vAlign w:val="center"/>
          </w:tcPr>
          <w:p w14:paraId="5560AE53">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控制点</w:t>
            </w:r>
          </w:p>
        </w:tc>
        <w:tc>
          <w:tcPr>
            <w:tcW w:w="3990" w:type="dxa"/>
            <w:vAlign w:val="center"/>
          </w:tcPr>
          <w:p w14:paraId="79BDA6C7">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符合性要求</w:t>
            </w:r>
          </w:p>
        </w:tc>
        <w:tc>
          <w:tcPr>
            <w:tcW w:w="947" w:type="dxa"/>
            <w:vAlign w:val="center"/>
          </w:tcPr>
          <w:p w14:paraId="22A9D37B">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等级</w:t>
            </w:r>
          </w:p>
        </w:tc>
      </w:tr>
      <w:tr w14:paraId="7D30F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vAlign w:val="center"/>
          </w:tcPr>
          <w:p w14:paraId="3736D6DC">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48</w:t>
            </w:r>
          </w:p>
        </w:tc>
        <w:tc>
          <w:tcPr>
            <w:tcW w:w="2525" w:type="dxa"/>
            <w:vAlign w:val="center"/>
          </w:tcPr>
          <w:p w14:paraId="09DEA655">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是否遵守了登记的安全间</w:t>
            </w:r>
          </w:p>
          <w:p w14:paraId="4DB0B6F6">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隔期</w:t>
            </w:r>
          </w:p>
        </w:tc>
        <w:tc>
          <w:tcPr>
            <w:tcW w:w="3990" w:type="dxa"/>
            <w:vAlign w:val="center"/>
          </w:tcPr>
          <w:p w14:paraId="71D6BD6A">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有农药使用记录、果实采收记录等证明遵守了所用农药的安全间隔期。连续采收时，应设立安全间隔期警示标志</w:t>
            </w:r>
          </w:p>
        </w:tc>
        <w:tc>
          <w:tcPr>
            <w:tcW w:w="947" w:type="dxa"/>
            <w:vAlign w:val="center"/>
          </w:tcPr>
          <w:p w14:paraId="1EBB422F">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Ⅰ级</w:t>
            </w:r>
          </w:p>
        </w:tc>
      </w:tr>
    </w:tbl>
    <w:p w14:paraId="2189EBE5">
      <w:pPr>
        <w:pStyle w:val="18"/>
        <w:numPr>
          <w:ilvl w:val="3"/>
          <w:numId w:val="0"/>
        </w:numPr>
        <w:spacing w:before="120" w:after="120"/>
        <w:ind w:leftChars="0"/>
        <w:outlineLvl w:val="9"/>
        <w:rPr>
          <w:rFonts w:hint="eastAsia" w:ascii="宋体" w:hAnsi="Times New Roman" w:eastAsia="宋体" w:cs="Times New Roman"/>
          <w:color w:val="auto"/>
          <w:sz w:val="21"/>
          <w:lang w:val="en-US" w:eastAsia="zh-CN" w:bidi="ar-SA"/>
        </w:rPr>
      </w:pPr>
    </w:p>
    <w:p w14:paraId="4B1597C3">
      <w:pPr>
        <w:pStyle w:val="18"/>
        <w:numPr>
          <w:ilvl w:val="3"/>
          <w:numId w:val="0"/>
        </w:numPr>
        <w:spacing w:before="120" w:after="120"/>
        <w:ind w:leftChars="0"/>
        <w:rPr>
          <w:rFonts w:hint="eastAsia"/>
          <w:color w:val="auto"/>
          <w:lang w:val="en-US" w:eastAsia="zh-CN"/>
        </w:rPr>
      </w:pPr>
      <w:r>
        <w:rPr>
          <w:rFonts w:hint="eastAsia" w:ascii="宋体" w:hAnsi="Times New Roman" w:eastAsia="宋体" w:cs="Times New Roman"/>
          <w:color w:val="auto"/>
          <w:sz w:val="21"/>
          <w:lang w:val="en-US" w:eastAsia="zh-CN" w:bidi="ar-SA"/>
        </w:rPr>
        <w:t>B.3.2.4剩余药液处理</w:t>
      </w:r>
    </w:p>
    <w:tbl>
      <w:tblPr>
        <w:tblStyle w:val="10"/>
        <w:tblW w:w="0" w:type="auto"/>
        <w:tblInd w:w="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0"/>
        <w:gridCol w:w="2525"/>
        <w:gridCol w:w="3990"/>
        <w:gridCol w:w="942"/>
      </w:tblGrid>
      <w:tr w14:paraId="0C124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vAlign w:val="center"/>
          </w:tcPr>
          <w:p w14:paraId="6DD830DB">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序号</w:t>
            </w:r>
          </w:p>
        </w:tc>
        <w:tc>
          <w:tcPr>
            <w:tcW w:w="2525" w:type="dxa"/>
            <w:vAlign w:val="center"/>
          </w:tcPr>
          <w:p w14:paraId="33294AF0">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控制点</w:t>
            </w:r>
          </w:p>
        </w:tc>
        <w:tc>
          <w:tcPr>
            <w:tcW w:w="3990" w:type="dxa"/>
            <w:vAlign w:val="center"/>
          </w:tcPr>
          <w:p w14:paraId="3A3BDFF4">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符合性要求</w:t>
            </w:r>
          </w:p>
        </w:tc>
        <w:tc>
          <w:tcPr>
            <w:tcW w:w="942" w:type="dxa"/>
            <w:vAlign w:val="center"/>
          </w:tcPr>
          <w:p w14:paraId="248BE854">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等级</w:t>
            </w:r>
          </w:p>
        </w:tc>
      </w:tr>
      <w:tr w14:paraId="7C9B9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vAlign w:val="center"/>
          </w:tcPr>
          <w:p w14:paraId="5A7DA76F">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49</w:t>
            </w:r>
          </w:p>
        </w:tc>
        <w:tc>
          <w:tcPr>
            <w:tcW w:w="2525" w:type="dxa"/>
            <w:vAlign w:val="center"/>
          </w:tcPr>
          <w:p w14:paraId="3737FC3D">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剩余药液和药罐清洗液的处理是否符合国家有关规定</w:t>
            </w:r>
          </w:p>
        </w:tc>
        <w:tc>
          <w:tcPr>
            <w:tcW w:w="3990" w:type="dxa"/>
            <w:vAlign w:val="center"/>
          </w:tcPr>
          <w:p w14:paraId="64523762">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剩余药液和药罐清洗液的处理符合《中华人民共和国河道管理条例》的规定</w:t>
            </w:r>
          </w:p>
        </w:tc>
        <w:tc>
          <w:tcPr>
            <w:tcW w:w="942" w:type="dxa"/>
            <w:vAlign w:val="center"/>
          </w:tcPr>
          <w:p w14:paraId="1EF95D44">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Ⅱ级</w:t>
            </w:r>
          </w:p>
        </w:tc>
      </w:tr>
    </w:tbl>
    <w:p w14:paraId="6167844B">
      <w:pPr>
        <w:spacing w:line="20" w:lineRule="exact"/>
        <w:rPr>
          <w:color w:val="auto"/>
        </w:rPr>
      </w:pPr>
    </w:p>
    <w:p w14:paraId="2571BC5E">
      <w:pPr>
        <w:spacing w:before="81" w:line="272" w:lineRule="exact"/>
        <w:ind w:left="176"/>
        <w:outlineLvl w:val="9"/>
        <w:rPr>
          <w:rFonts w:ascii="黑体" w:hAnsi="黑体" w:eastAsia="黑体" w:cs="黑体"/>
          <w:color w:val="auto"/>
          <w:spacing w:val="3"/>
          <w:position w:val="1"/>
          <w:sz w:val="20"/>
          <w:szCs w:val="20"/>
        </w:rPr>
      </w:pPr>
    </w:p>
    <w:p w14:paraId="3195E05E">
      <w:pPr>
        <w:pStyle w:val="18"/>
        <w:numPr>
          <w:ilvl w:val="3"/>
          <w:numId w:val="0"/>
        </w:numPr>
        <w:spacing w:before="120" w:after="120"/>
        <w:ind w:leftChars="0"/>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B.3.2.5  残留分析</w:t>
      </w:r>
    </w:p>
    <w:tbl>
      <w:tblPr>
        <w:tblStyle w:val="10"/>
        <w:tblW w:w="0" w:type="auto"/>
        <w:tblInd w:w="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0"/>
        <w:gridCol w:w="2525"/>
        <w:gridCol w:w="3990"/>
        <w:gridCol w:w="947"/>
      </w:tblGrid>
      <w:tr w14:paraId="6FE7E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vAlign w:val="center"/>
          </w:tcPr>
          <w:p w14:paraId="7AA4A426">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序号</w:t>
            </w:r>
          </w:p>
        </w:tc>
        <w:tc>
          <w:tcPr>
            <w:tcW w:w="2525" w:type="dxa"/>
            <w:vAlign w:val="center"/>
          </w:tcPr>
          <w:p w14:paraId="554BE917">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控制点</w:t>
            </w:r>
          </w:p>
        </w:tc>
        <w:tc>
          <w:tcPr>
            <w:tcW w:w="3990" w:type="dxa"/>
            <w:vAlign w:val="center"/>
          </w:tcPr>
          <w:p w14:paraId="1372561A">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符合性要求</w:t>
            </w:r>
          </w:p>
        </w:tc>
        <w:tc>
          <w:tcPr>
            <w:tcW w:w="947" w:type="dxa"/>
            <w:vAlign w:val="center"/>
          </w:tcPr>
          <w:p w14:paraId="1829F553">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等级</w:t>
            </w:r>
          </w:p>
        </w:tc>
      </w:tr>
      <w:tr w14:paraId="34F2D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vAlign w:val="center"/>
          </w:tcPr>
          <w:p w14:paraId="53CAA167">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50</w:t>
            </w:r>
          </w:p>
        </w:tc>
        <w:tc>
          <w:tcPr>
            <w:tcW w:w="2525" w:type="dxa"/>
            <w:vAlign w:val="center"/>
          </w:tcPr>
          <w:p w14:paraId="06218721">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是否遵守了正确的取样方法</w:t>
            </w:r>
          </w:p>
        </w:tc>
        <w:tc>
          <w:tcPr>
            <w:tcW w:w="3990" w:type="dxa"/>
            <w:vAlign w:val="center"/>
          </w:tcPr>
          <w:p w14:paraId="30C613B3">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取样按GB/T 8855规定执行</w:t>
            </w:r>
          </w:p>
        </w:tc>
        <w:tc>
          <w:tcPr>
            <w:tcW w:w="947" w:type="dxa"/>
            <w:vAlign w:val="center"/>
          </w:tcPr>
          <w:p w14:paraId="6F8C5E7E">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Ⅱ级</w:t>
            </w:r>
          </w:p>
        </w:tc>
      </w:tr>
      <w:tr w14:paraId="72A10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vAlign w:val="center"/>
          </w:tcPr>
          <w:p w14:paraId="6CD821EE">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51</w:t>
            </w:r>
          </w:p>
        </w:tc>
        <w:tc>
          <w:tcPr>
            <w:tcW w:w="2525" w:type="dxa"/>
            <w:vAlign w:val="center"/>
          </w:tcPr>
          <w:p w14:paraId="05793EBB">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是否进行了农药残留分析</w:t>
            </w:r>
          </w:p>
        </w:tc>
        <w:tc>
          <w:tcPr>
            <w:tcW w:w="3990" w:type="dxa"/>
            <w:vAlign w:val="center"/>
          </w:tcPr>
          <w:p w14:paraId="1B9694F1">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有果品采收后的农药残留分析报告</w:t>
            </w:r>
          </w:p>
        </w:tc>
        <w:tc>
          <w:tcPr>
            <w:tcW w:w="947" w:type="dxa"/>
            <w:vAlign w:val="center"/>
          </w:tcPr>
          <w:p w14:paraId="72326124">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l级</w:t>
            </w:r>
          </w:p>
        </w:tc>
      </w:tr>
      <w:tr w14:paraId="3CD4C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vAlign w:val="center"/>
          </w:tcPr>
          <w:p w14:paraId="159583A5">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52</w:t>
            </w:r>
          </w:p>
        </w:tc>
        <w:tc>
          <w:tcPr>
            <w:tcW w:w="2525" w:type="dxa"/>
            <w:vAlign w:val="center"/>
          </w:tcPr>
          <w:p w14:paraId="7AE40ACE">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是否了解并遵守产品销售目的市场的最大残留限量（MRLs）</w:t>
            </w:r>
          </w:p>
        </w:tc>
        <w:tc>
          <w:tcPr>
            <w:tcW w:w="3990" w:type="dxa"/>
            <w:vAlign w:val="center"/>
          </w:tcPr>
          <w:p w14:paraId="786CACD4">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掌握目的市场现行MRLs清单，以及出现残留超标时应采取的措施</w:t>
            </w:r>
          </w:p>
        </w:tc>
        <w:tc>
          <w:tcPr>
            <w:tcW w:w="947" w:type="dxa"/>
            <w:vAlign w:val="center"/>
          </w:tcPr>
          <w:p w14:paraId="7ACB5FA5">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Ⅰ级</w:t>
            </w:r>
          </w:p>
        </w:tc>
      </w:tr>
      <w:tr w14:paraId="7301F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vAlign w:val="center"/>
          </w:tcPr>
          <w:p w14:paraId="2D476F8E">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53</w:t>
            </w:r>
          </w:p>
        </w:tc>
        <w:tc>
          <w:tcPr>
            <w:tcW w:w="2525" w:type="dxa"/>
            <w:vAlign w:val="center"/>
          </w:tcPr>
          <w:p w14:paraId="35516781">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残留分析实验室是否具备</w:t>
            </w:r>
          </w:p>
          <w:p w14:paraId="1B2583EA">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资质</w:t>
            </w:r>
          </w:p>
        </w:tc>
        <w:tc>
          <w:tcPr>
            <w:tcW w:w="3990" w:type="dxa"/>
            <w:vAlign w:val="center"/>
          </w:tcPr>
          <w:p w14:paraId="738CF7AE">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残留分析实验室有国家认可的资质证明</w:t>
            </w:r>
          </w:p>
        </w:tc>
        <w:tc>
          <w:tcPr>
            <w:tcW w:w="947" w:type="dxa"/>
            <w:vAlign w:val="center"/>
          </w:tcPr>
          <w:p w14:paraId="17B89CD9">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Ⅱ级</w:t>
            </w:r>
          </w:p>
        </w:tc>
      </w:tr>
    </w:tbl>
    <w:p w14:paraId="6A74DB4E">
      <w:pPr>
        <w:pStyle w:val="18"/>
        <w:numPr>
          <w:ilvl w:val="3"/>
          <w:numId w:val="0"/>
        </w:numPr>
        <w:spacing w:before="120" w:after="120"/>
        <w:ind w:leftChars="0"/>
        <w:outlineLvl w:val="9"/>
        <w:rPr>
          <w:rFonts w:hint="eastAsia" w:ascii="宋体" w:hAnsi="Times New Roman" w:eastAsia="宋体" w:cs="Times New Roman"/>
          <w:color w:val="auto"/>
          <w:sz w:val="21"/>
          <w:lang w:val="en-US" w:eastAsia="zh-CN" w:bidi="ar-SA"/>
        </w:rPr>
      </w:pPr>
    </w:p>
    <w:p w14:paraId="000D8EA6">
      <w:pPr>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br w:type="page"/>
      </w:r>
    </w:p>
    <w:p w14:paraId="6ABE31AC">
      <w:pPr>
        <w:pStyle w:val="18"/>
        <w:numPr>
          <w:ilvl w:val="3"/>
          <w:numId w:val="0"/>
        </w:numPr>
        <w:spacing w:before="120" w:after="120"/>
        <w:ind w:leftChars="0"/>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B.3.2.6  农药储存</w:t>
      </w:r>
    </w:p>
    <w:tbl>
      <w:tblPr>
        <w:tblStyle w:val="10"/>
        <w:tblW w:w="0" w:type="auto"/>
        <w:tblInd w:w="1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4"/>
        <w:gridCol w:w="2525"/>
        <w:gridCol w:w="3990"/>
        <w:gridCol w:w="952"/>
      </w:tblGrid>
      <w:tr w14:paraId="39CFF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4" w:type="dxa"/>
            <w:vAlign w:val="center"/>
          </w:tcPr>
          <w:p w14:paraId="4B7F39B5">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序号</w:t>
            </w:r>
          </w:p>
        </w:tc>
        <w:tc>
          <w:tcPr>
            <w:tcW w:w="2525" w:type="dxa"/>
            <w:vAlign w:val="center"/>
          </w:tcPr>
          <w:p w14:paraId="7D9DE85C">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控制点</w:t>
            </w:r>
          </w:p>
        </w:tc>
        <w:tc>
          <w:tcPr>
            <w:tcW w:w="3990" w:type="dxa"/>
            <w:vAlign w:val="center"/>
          </w:tcPr>
          <w:p w14:paraId="0E9BBFF1">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符合性要求</w:t>
            </w:r>
          </w:p>
        </w:tc>
        <w:tc>
          <w:tcPr>
            <w:tcW w:w="952" w:type="dxa"/>
            <w:vAlign w:val="center"/>
          </w:tcPr>
          <w:p w14:paraId="6E4A1361">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等级</w:t>
            </w:r>
          </w:p>
        </w:tc>
      </w:tr>
      <w:tr w14:paraId="03718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4" w:type="dxa"/>
            <w:vAlign w:val="center"/>
          </w:tcPr>
          <w:p w14:paraId="25365E2D">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54</w:t>
            </w:r>
          </w:p>
        </w:tc>
        <w:tc>
          <w:tcPr>
            <w:tcW w:w="2525" w:type="dxa"/>
            <w:vAlign w:val="center"/>
          </w:tcPr>
          <w:p w14:paraId="1569D8ED">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农药储存是否符合法律法规的要求</w:t>
            </w:r>
          </w:p>
        </w:tc>
        <w:tc>
          <w:tcPr>
            <w:tcW w:w="3990" w:type="dxa"/>
            <w:vAlign w:val="center"/>
          </w:tcPr>
          <w:p w14:paraId="76A005A2">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农药储存设施符合国家和地方法律法规的要求</w:t>
            </w:r>
          </w:p>
        </w:tc>
        <w:tc>
          <w:tcPr>
            <w:tcW w:w="952" w:type="dxa"/>
            <w:vAlign w:val="center"/>
          </w:tcPr>
          <w:p w14:paraId="409DC586">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Ⅰ级</w:t>
            </w:r>
          </w:p>
        </w:tc>
      </w:tr>
      <w:tr w14:paraId="25FB0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4" w:type="dxa"/>
            <w:vAlign w:val="center"/>
          </w:tcPr>
          <w:p w14:paraId="6ADA5D17">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55</w:t>
            </w:r>
          </w:p>
        </w:tc>
        <w:tc>
          <w:tcPr>
            <w:tcW w:w="2525" w:type="dxa"/>
            <w:vAlign w:val="center"/>
          </w:tcPr>
          <w:p w14:paraId="3AD1A320">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农药是否以原包装储存在安全的地方</w:t>
            </w:r>
          </w:p>
        </w:tc>
        <w:tc>
          <w:tcPr>
            <w:tcW w:w="3990" w:type="dxa"/>
            <w:vAlign w:val="center"/>
          </w:tcPr>
          <w:p w14:paraId="4E7B4CD0">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农药以原包装储存，原包装发生破损时，新包装有原包装标签上的所有信息</w:t>
            </w:r>
          </w:p>
        </w:tc>
        <w:tc>
          <w:tcPr>
            <w:tcW w:w="952" w:type="dxa"/>
            <w:vAlign w:val="center"/>
          </w:tcPr>
          <w:p w14:paraId="67EBCBF2">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Ⅰ级</w:t>
            </w:r>
          </w:p>
        </w:tc>
      </w:tr>
      <w:tr w14:paraId="66683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4" w:type="dxa"/>
            <w:vAlign w:val="center"/>
          </w:tcPr>
          <w:p w14:paraId="56219AA9">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56</w:t>
            </w:r>
          </w:p>
        </w:tc>
        <w:tc>
          <w:tcPr>
            <w:tcW w:w="2525" w:type="dxa"/>
            <w:vAlign w:val="center"/>
          </w:tcPr>
          <w:p w14:paraId="050F5EE1">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农药储存设施是否合适</w:t>
            </w:r>
          </w:p>
        </w:tc>
        <w:tc>
          <w:tcPr>
            <w:tcW w:w="3990" w:type="dxa"/>
            <w:vAlign w:val="center"/>
          </w:tcPr>
          <w:p w14:paraId="70FE51B7">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农药储存设施远离其他设施、坚固耐用、结构合理、防火、照明和通风良好、能抵御极端气温影响储存容器容量至少比最大储量大10%，有农药量取工具、农药混配设施和农药泄漏处理工具</w:t>
            </w:r>
          </w:p>
        </w:tc>
        <w:tc>
          <w:tcPr>
            <w:tcW w:w="952" w:type="dxa"/>
            <w:vAlign w:val="center"/>
          </w:tcPr>
          <w:p w14:paraId="40DAFB06">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Ⅱ级</w:t>
            </w:r>
          </w:p>
        </w:tc>
      </w:tr>
      <w:tr w14:paraId="7FC74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4" w:type="dxa"/>
            <w:vAlign w:val="center"/>
          </w:tcPr>
          <w:p w14:paraId="3D274512">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57</w:t>
            </w:r>
          </w:p>
        </w:tc>
        <w:tc>
          <w:tcPr>
            <w:tcW w:w="2525" w:type="dxa"/>
            <w:vAlign w:val="center"/>
          </w:tcPr>
          <w:p w14:paraId="758E0493">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存放农药的货架是否采用非吸收性材料</w:t>
            </w:r>
          </w:p>
        </w:tc>
        <w:tc>
          <w:tcPr>
            <w:tcW w:w="3990" w:type="dxa"/>
            <w:vAlign w:val="center"/>
          </w:tcPr>
          <w:p w14:paraId="5564BF93">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存放农药的货架采用不吸收农药的材料</w:t>
            </w:r>
          </w:p>
        </w:tc>
        <w:tc>
          <w:tcPr>
            <w:tcW w:w="952" w:type="dxa"/>
            <w:vAlign w:val="center"/>
          </w:tcPr>
          <w:p w14:paraId="20391C57">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Ⅲ级</w:t>
            </w:r>
          </w:p>
        </w:tc>
      </w:tr>
      <w:tr w14:paraId="780D4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4" w:type="dxa"/>
            <w:vAlign w:val="center"/>
          </w:tcPr>
          <w:p w14:paraId="5629D527">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58</w:t>
            </w:r>
          </w:p>
        </w:tc>
        <w:tc>
          <w:tcPr>
            <w:tcW w:w="2525" w:type="dxa"/>
            <w:vAlign w:val="center"/>
          </w:tcPr>
          <w:p w14:paraId="302AAA52">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是否只有受过正规培训的人员进入农药仓库</w:t>
            </w:r>
          </w:p>
        </w:tc>
        <w:tc>
          <w:tcPr>
            <w:tcW w:w="3990" w:type="dxa"/>
            <w:vAlign w:val="center"/>
          </w:tcPr>
          <w:p w14:paraId="4BCAF392">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只有受过农药安全处理与使用正规培训的人在场时才允许其他人员进入农药仓库</w:t>
            </w:r>
          </w:p>
        </w:tc>
        <w:tc>
          <w:tcPr>
            <w:tcW w:w="952" w:type="dxa"/>
            <w:vAlign w:val="center"/>
          </w:tcPr>
          <w:p w14:paraId="730B1F2A">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Ⅱ级</w:t>
            </w:r>
          </w:p>
        </w:tc>
      </w:tr>
      <w:tr w14:paraId="38643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4" w:type="dxa"/>
            <w:vAlign w:val="center"/>
          </w:tcPr>
          <w:p w14:paraId="0C9A202B">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59</w:t>
            </w:r>
          </w:p>
        </w:tc>
        <w:tc>
          <w:tcPr>
            <w:tcW w:w="2525" w:type="dxa"/>
            <w:vAlign w:val="center"/>
          </w:tcPr>
          <w:p w14:paraId="2C05B6B2">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是否有农药储存清单</w:t>
            </w:r>
          </w:p>
        </w:tc>
        <w:tc>
          <w:tcPr>
            <w:tcW w:w="3990" w:type="dxa"/>
            <w:vAlign w:val="center"/>
          </w:tcPr>
          <w:p w14:paraId="773BEC30">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有农药储存清单，并及时更新</w:t>
            </w:r>
          </w:p>
        </w:tc>
        <w:tc>
          <w:tcPr>
            <w:tcW w:w="952" w:type="dxa"/>
            <w:vAlign w:val="center"/>
          </w:tcPr>
          <w:p w14:paraId="2DC3EC4A">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Ⅱ级</w:t>
            </w:r>
          </w:p>
        </w:tc>
      </w:tr>
      <w:tr w14:paraId="4430D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4" w:type="dxa"/>
            <w:vAlign w:val="center"/>
          </w:tcPr>
          <w:p w14:paraId="3CA747F2">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60</w:t>
            </w:r>
          </w:p>
        </w:tc>
        <w:tc>
          <w:tcPr>
            <w:tcW w:w="2525" w:type="dxa"/>
            <w:vAlign w:val="center"/>
          </w:tcPr>
          <w:p w14:paraId="0A299763">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液体农药在货架上的存放位置是否妥当</w:t>
            </w:r>
          </w:p>
        </w:tc>
        <w:tc>
          <w:tcPr>
            <w:tcW w:w="3990" w:type="dxa"/>
            <w:vAlign w:val="center"/>
          </w:tcPr>
          <w:p w14:paraId="252AB176">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固体农药未放在液体农药的上方</w:t>
            </w:r>
          </w:p>
        </w:tc>
        <w:tc>
          <w:tcPr>
            <w:tcW w:w="952" w:type="dxa"/>
            <w:vAlign w:val="center"/>
          </w:tcPr>
          <w:p w14:paraId="43E26502">
            <w:pPr>
              <w:pStyle w:val="22"/>
              <w:jc w:val="center"/>
              <w:rPr>
                <w:rFonts w:hint="eastAsia"/>
                <w:color w:val="auto"/>
                <w:vertAlign w:val="baseline"/>
                <w:lang w:val="en-US" w:eastAsia="zh-CN"/>
              </w:rPr>
            </w:pPr>
            <w:r>
              <w:rPr>
                <w:rFonts w:hint="eastAsia" w:ascii="宋体" w:hAnsi="Times New Roman" w:eastAsia="宋体" w:cs="Times New Roman"/>
                <w:color w:val="auto"/>
                <w:kern w:val="2"/>
                <w:sz w:val="18"/>
                <w:szCs w:val="20"/>
                <w:lang w:val="en-US" w:eastAsia="zh-CN" w:bidi="ar-SA"/>
              </w:rPr>
              <w:t>Ⅱ级</w:t>
            </w:r>
          </w:p>
        </w:tc>
      </w:tr>
    </w:tbl>
    <w:p w14:paraId="31AEF598">
      <w:pPr>
        <w:pStyle w:val="18"/>
        <w:numPr>
          <w:ilvl w:val="3"/>
          <w:numId w:val="0"/>
        </w:numPr>
        <w:spacing w:before="120" w:after="120"/>
        <w:ind w:leftChars="0"/>
        <w:outlineLvl w:val="9"/>
        <w:rPr>
          <w:rFonts w:hint="eastAsia" w:ascii="宋体" w:hAnsi="Times New Roman" w:eastAsia="宋体" w:cs="Times New Roman"/>
          <w:color w:val="auto"/>
          <w:sz w:val="21"/>
          <w:lang w:val="en-US" w:eastAsia="zh-CN" w:bidi="ar-SA"/>
        </w:rPr>
      </w:pPr>
    </w:p>
    <w:p w14:paraId="79233D06">
      <w:pPr>
        <w:pStyle w:val="18"/>
        <w:numPr>
          <w:ilvl w:val="3"/>
          <w:numId w:val="0"/>
        </w:numPr>
        <w:spacing w:before="120" w:after="120"/>
        <w:ind w:leftChars="0"/>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B.3.2.7  与农药的接触</w:t>
      </w:r>
    </w:p>
    <w:tbl>
      <w:tblPr>
        <w:tblStyle w:val="10"/>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2529"/>
        <w:gridCol w:w="3985"/>
        <w:gridCol w:w="954"/>
      </w:tblGrid>
      <w:tr w14:paraId="3321C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5654FE67">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序号</w:t>
            </w:r>
          </w:p>
        </w:tc>
        <w:tc>
          <w:tcPr>
            <w:tcW w:w="2529" w:type="dxa"/>
            <w:vAlign w:val="center"/>
          </w:tcPr>
          <w:p w14:paraId="511B4F21">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控制点</w:t>
            </w:r>
          </w:p>
        </w:tc>
        <w:tc>
          <w:tcPr>
            <w:tcW w:w="3985" w:type="dxa"/>
            <w:vAlign w:val="center"/>
          </w:tcPr>
          <w:p w14:paraId="438D72EC">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符合性要求</w:t>
            </w:r>
          </w:p>
        </w:tc>
        <w:tc>
          <w:tcPr>
            <w:tcW w:w="954" w:type="dxa"/>
            <w:vAlign w:val="center"/>
          </w:tcPr>
          <w:p w14:paraId="7909EAD8">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等级</w:t>
            </w:r>
          </w:p>
        </w:tc>
      </w:tr>
      <w:tr w14:paraId="0D327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0899DC8A">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61</w:t>
            </w:r>
          </w:p>
        </w:tc>
        <w:tc>
          <w:tcPr>
            <w:tcW w:w="2529" w:type="dxa"/>
            <w:vAlign w:val="center"/>
          </w:tcPr>
          <w:p w14:paraId="6C6845FA">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接触农药的人员是否每年进行健康检查</w:t>
            </w:r>
          </w:p>
        </w:tc>
        <w:tc>
          <w:tcPr>
            <w:tcW w:w="3985" w:type="dxa"/>
            <w:vAlign w:val="center"/>
          </w:tcPr>
          <w:p w14:paraId="0FC57D26">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接触农药的人员每年至少进行一次健康检查</w:t>
            </w:r>
          </w:p>
        </w:tc>
        <w:tc>
          <w:tcPr>
            <w:tcW w:w="954" w:type="dxa"/>
            <w:vAlign w:val="center"/>
          </w:tcPr>
          <w:p w14:paraId="0409D6AA">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Ⅲ级</w:t>
            </w:r>
          </w:p>
        </w:tc>
      </w:tr>
      <w:tr w14:paraId="77995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597BF134">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62</w:t>
            </w:r>
          </w:p>
        </w:tc>
        <w:tc>
          <w:tcPr>
            <w:tcW w:w="2529" w:type="dxa"/>
            <w:vAlign w:val="center"/>
          </w:tcPr>
          <w:p w14:paraId="56340B4C">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是否有进入农药施用区的间隔期规定</w:t>
            </w:r>
          </w:p>
        </w:tc>
        <w:tc>
          <w:tcPr>
            <w:tcW w:w="3985" w:type="dxa"/>
            <w:vAlign w:val="center"/>
          </w:tcPr>
          <w:p w14:paraId="066A29B2">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有书面文件规定进入农药施用区的间隔期</w:t>
            </w:r>
          </w:p>
        </w:tc>
        <w:tc>
          <w:tcPr>
            <w:tcW w:w="954" w:type="dxa"/>
            <w:vAlign w:val="center"/>
          </w:tcPr>
          <w:p w14:paraId="78FFD9AD">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Ⅰ级</w:t>
            </w:r>
          </w:p>
        </w:tc>
      </w:tr>
      <w:tr w14:paraId="7C513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173DB809">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63</w:t>
            </w:r>
          </w:p>
        </w:tc>
        <w:tc>
          <w:tcPr>
            <w:tcW w:w="2529" w:type="dxa"/>
            <w:vAlign w:val="center"/>
          </w:tcPr>
          <w:p w14:paraId="7F6FBAF6">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是否执行了进入农药施用区的间隔期</w:t>
            </w:r>
          </w:p>
        </w:tc>
        <w:tc>
          <w:tcPr>
            <w:tcW w:w="3985" w:type="dxa"/>
            <w:vAlign w:val="center"/>
          </w:tcPr>
          <w:p w14:paraId="15BBDFD8">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有书面记录证明所有进入农药施用区的人员均遵守了间隔期规定</w:t>
            </w:r>
          </w:p>
        </w:tc>
        <w:tc>
          <w:tcPr>
            <w:tcW w:w="954" w:type="dxa"/>
            <w:vAlign w:val="center"/>
          </w:tcPr>
          <w:p w14:paraId="1DCB4BCB">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Ⅱ级</w:t>
            </w:r>
          </w:p>
        </w:tc>
      </w:tr>
      <w:tr w14:paraId="22384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25BB57E1">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64</w:t>
            </w:r>
          </w:p>
        </w:tc>
        <w:tc>
          <w:tcPr>
            <w:tcW w:w="2529" w:type="dxa"/>
            <w:vAlign w:val="center"/>
          </w:tcPr>
          <w:p w14:paraId="4C29589E">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是否有事故处理程序和设施</w:t>
            </w:r>
          </w:p>
        </w:tc>
        <w:tc>
          <w:tcPr>
            <w:tcW w:w="3985" w:type="dxa"/>
            <w:vAlign w:val="center"/>
          </w:tcPr>
          <w:p w14:paraId="3B96CD80">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农药储存设施和混配区或其附近有清晰可见的事故处理程序和清洁水源、急救箱等设施</w:t>
            </w:r>
          </w:p>
        </w:tc>
        <w:tc>
          <w:tcPr>
            <w:tcW w:w="954" w:type="dxa"/>
            <w:vAlign w:val="center"/>
          </w:tcPr>
          <w:p w14:paraId="3D396EA9">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Ⅱ级</w:t>
            </w:r>
          </w:p>
        </w:tc>
      </w:tr>
    </w:tbl>
    <w:p w14:paraId="61F01462">
      <w:pPr>
        <w:pStyle w:val="18"/>
        <w:numPr>
          <w:ilvl w:val="3"/>
          <w:numId w:val="0"/>
        </w:numPr>
        <w:spacing w:before="120" w:after="120"/>
        <w:ind w:leftChars="0"/>
        <w:outlineLvl w:val="9"/>
        <w:rPr>
          <w:rFonts w:hint="eastAsia" w:ascii="宋体" w:hAnsi="Times New Roman" w:eastAsia="宋体" w:cs="Times New Roman"/>
          <w:color w:val="auto"/>
          <w:sz w:val="21"/>
          <w:lang w:val="en-US" w:eastAsia="zh-CN" w:bidi="ar-SA"/>
        </w:rPr>
      </w:pPr>
    </w:p>
    <w:p w14:paraId="50B1FED0">
      <w:pPr>
        <w:pStyle w:val="18"/>
        <w:numPr>
          <w:ilvl w:val="3"/>
          <w:numId w:val="0"/>
        </w:numPr>
        <w:spacing w:before="120" w:after="120"/>
        <w:ind w:leftChars="0"/>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B.3.2.8  废弃农药及包装</w:t>
      </w:r>
    </w:p>
    <w:tbl>
      <w:tblPr>
        <w:tblStyle w:val="10"/>
        <w:tblW w:w="0" w:type="auto"/>
        <w:tblInd w:w="1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7"/>
        <w:gridCol w:w="2528"/>
        <w:gridCol w:w="3984"/>
        <w:gridCol w:w="953"/>
      </w:tblGrid>
      <w:tr w14:paraId="6F38C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14:paraId="4E64F36F">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序号</w:t>
            </w:r>
          </w:p>
        </w:tc>
        <w:tc>
          <w:tcPr>
            <w:tcW w:w="2528" w:type="dxa"/>
            <w:vAlign w:val="center"/>
          </w:tcPr>
          <w:p w14:paraId="503988A2">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控制点</w:t>
            </w:r>
          </w:p>
        </w:tc>
        <w:tc>
          <w:tcPr>
            <w:tcW w:w="3984" w:type="dxa"/>
            <w:vAlign w:val="center"/>
          </w:tcPr>
          <w:p w14:paraId="7BFE2D1E">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符合性要求</w:t>
            </w:r>
          </w:p>
        </w:tc>
        <w:tc>
          <w:tcPr>
            <w:tcW w:w="953" w:type="dxa"/>
            <w:vAlign w:val="center"/>
          </w:tcPr>
          <w:p w14:paraId="32771313">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等级</w:t>
            </w:r>
          </w:p>
        </w:tc>
      </w:tr>
      <w:tr w14:paraId="3E85B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14:paraId="744D62ED">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65</w:t>
            </w:r>
          </w:p>
        </w:tc>
        <w:tc>
          <w:tcPr>
            <w:tcW w:w="2528" w:type="dxa"/>
            <w:vAlign w:val="center"/>
          </w:tcPr>
          <w:p w14:paraId="2FD007CB">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是否以安全的方式处置废弃农药及其包装</w:t>
            </w:r>
          </w:p>
        </w:tc>
        <w:tc>
          <w:tcPr>
            <w:tcW w:w="3984" w:type="dxa"/>
            <w:vAlign w:val="center"/>
          </w:tcPr>
          <w:p w14:paraId="7A42CCC3">
            <w:pPr>
              <w:pStyle w:val="22"/>
              <w:jc w:val="both"/>
              <w:rPr>
                <w:color w:val="auto"/>
                <w:vertAlign w:val="baseline"/>
              </w:rPr>
            </w:pPr>
            <w:r>
              <w:rPr>
                <w:rFonts w:hint="eastAsia" w:ascii="宋体" w:hAnsi="Times New Roman" w:eastAsia="宋体" w:cs="Times New Roman"/>
                <w:color w:val="auto"/>
                <w:kern w:val="2"/>
                <w:sz w:val="18"/>
                <w:szCs w:val="20"/>
                <w:lang w:val="en-US" w:eastAsia="zh-CN" w:bidi="ar-SA"/>
              </w:rPr>
              <w:t>以不危害人体健康、不污染环境的方式为原则</w:t>
            </w:r>
          </w:p>
        </w:tc>
        <w:tc>
          <w:tcPr>
            <w:tcW w:w="953" w:type="dxa"/>
            <w:vAlign w:val="center"/>
          </w:tcPr>
          <w:p w14:paraId="77B9E260">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Ⅱ级</w:t>
            </w:r>
          </w:p>
        </w:tc>
      </w:tr>
      <w:tr w14:paraId="13E03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14:paraId="6A184B5F">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66</w:t>
            </w:r>
          </w:p>
        </w:tc>
        <w:tc>
          <w:tcPr>
            <w:tcW w:w="2528" w:type="dxa"/>
            <w:vAlign w:val="center"/>
          </w:tcPr>
          <w:p w14:paraId="5B589EC1">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废弃农药包装在处置前是否进行了清洗</w:t>
            </w:r>
          </w:p>
        </w:tc>
        <w:tc>
          <w:tcPr>
            <w:tcW w:w="3984" w:type="dxa"/>
            <w:vAlign w:val="center"/>
          </w:tcPr>
          <w:p w14:paraId="59C90467">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废弃农药包装在处置前至少用水清洗了3次</w:t>
            </w:r>
          </w:p>
        </w:tc>
        <w:tc>
          <w:tcPr>
            <w:tcW w:w="953" w:type="dxa"/>
            <w:vAlign w:val="center"/>
          </w:tcPr>
          <w:p w14:paraId="6E4FDD87">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Ⅰ级</w:t>
            </w:r>
          </w:p>
        </w:tc>
      </w:tr>
      <w:tr w14:paraId="20420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14:paraId="5E72976E">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67</w:t>
            </w:r>
          </w:p>
        </w:tc>
        <w:tc>
          <w:tcPr>
            <w:tcW w:w="2528" w:type="dxa"/>
            <w:vAlign w:val="center"/>
          </w:tcPr>
          <w:p w14:paraId="4A972231">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是否遵守了废弃农药包装处理的有关规定</w:t>
            </w:r>
          </w:p>
        </w:tc>
        <w:tc>
          <w:tcPr>
            <w:tcW w:w="3984" w:type="dxa"/>
            <w:vAlign w:val="center"/>
          </w:tcPr>
          <w:p w14:paraId="64F0E0D6">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废弃农药包装的处理严格遵守了环境保护法律法规的有关规定，以防止污染环境</w:t>
            </w:r>
          </w:p>
        </w:tc>
        <w:tc>
          <w:tcPr>
            <w:tcW w:w="953" w:type="dxa"/>
            <w:vAlign w:val="center"/>
          </w:tcPr>
          <w:p w14:paraId="38108FC6">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Ⅰ级</w:t>
            </w:r>
          </w:p>
        </w:tc>
      </w:tr>
    </w:tbl>
    <w:p w14:paraId="184D3A1D">
      <w:pPr>
        <w:pStyle w:val="18"/>
        <w:numPr>
          <w:ilvl w:val="3"/>
          <w:numId w:val="0"/>
        </w:numPr>
        <w:spacing w:before="120" w:after="120"/>
        <w:ind w:leftChars="0"/>
        <w:outlineLvl w:val="9"/>
        <w:rPr>
          <w:rFonts w:hint="eastAsia" w:ascii="宋体" w:hAnsi="Times New Roman" w:eastAsia="宋体" w:cs="Times New Roman"/>
          <w:color w:val="auto"/>
          <w:sz w:val="21"/>
          <w:lang w:val="en-US" w:eastAsia="zh-CN" w:bidi="ar-SA"/>
        </w:rPr>
      </w:pPr>
    </w:p>
    <w:p w14:paraId="51A725F4">
      <w:pPr>
        <w:pStyle w:val="18"/>
        <w:numPr>
          <w:ilvl w:val="3"/>
          <w:numId w:val="0"/>
        </w:numPr>
        <w:spacing w:before="120" w:after="120"/>
        <w:ind w:left="0" w:leftChars="0" w:firstLine="0" w:firstLineChars="0"/>
        <w:outlineLvl w:val="0"/>
        <w:rPr>
          <w:rFonts w:hint="default" w:ascii="宋体" w:hAnsi="Times New Roman" w:eastAsia="宋体" w:cs="Times New Roman"/>
          <w:color w:val="auto"/>
          <w:sz w:val="21"/>
          <w:lang w:val="en-US" w:eastAsia="zh-CN" w:bidi="ar-SA"/>
        </w:rPr>
      </w:pPr>
      <w:bookmarkStart w:id="48" w:name="_Toc633784288"/>
      <w:r>
        <w:rPr>
          <w:rFonts w:hint="eastAsia" w:ascii="宋体" w:hAnsi="Times New Roman" w:eastAsia="宋体" w:cs="Times New Roman"/>
          <w:color w:val="auto"/>
          <w:sz w:val="21"/>
          <w:lang w:val="en-US" w:eastAsia="zh-CN" w:bidi="ar-SA"/>
        </w:rPr>
        <w:t>B.4  采收</w:t>
      </w:r>
      <w:r>
        <w:rPr>
          <w:rFonts w:hint="eastAsia" w:ascii="宋体" w:eastAsia="宋体" w:cs="Times New Roman"/>
          <w:color w:val="auto"/>
          <w:sz w:val="21"/>
          <w:lang w:val="en-US" w:eastAsia="zh-CN" w:bidi="ar-SA"/>
        </w:rPr>
        <w:t>与采购管理</w:t>
      </w:r>
      <w:bookmarkEnd w:id="48"/>
    </w:p>
    <w:tbl>
      <w:tblPr>
        <w:tblStyle w:val="10"/>
        <w:tblW w:w="0" w:type="auto"/>
        <w:tblInd w:w="1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7"/>
        <w:gridCol w:w="2528"/>
        <w:gridCol w:w="3984"/>
        <w:gridCol w:w="953"/>
      </w:tblGrid>
      <w:tr w14:paraId="64827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14:paraId="6FF98D9A">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序号</w:t>
            </w:r>
          </w:p>
        </w:tc>
        <w:tc>
          <w:tcPr>
            <w:tcW w:w="2528" w:type="dxa"/>
            <w:vAlign w:val="center"/>
          </w:tcPr>
          <w:p w14:paraId="45FD7731">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控制点</w:t>
            </w:r>
          </w:p>
        </w:tc>
        <w:tc>
          <w:tcPr>
            <w:tcW w:w="3984" w:type="dxa"/>
            <w:vAlign w:val="center"/>
          </w:tcPr>
          <w:p w14:paraId="1AA05A38">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符合性要求</w:t>
            </w:r>
          </w:p>
        </w:tc>
        <w:tc>
          <w:tcPr>
            <w:tcW w:w="953" w:type="dxa"/>
            <w:vAlign w:val="center"/>
          </w:tcPr>
          <w:p w14:paraId="7A3DCA8E">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等级</w:t>
            </w:r>
          </w:p>
        </w:tc>
      </w:tr>
      <w:tr w14:paraId="46415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14:paraId="40CA3930">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68</w:t>
            </w:r>
          </w:p>
        </w:tc>
        <w:tc>
          <w:tcPr>
            <w:tcW w:w="2528" w:type="dxa"/>
            <w:vAlign w:val="center"/>
          </w:tcPr>
          <w:p w14:paraId="63323A00">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是否针对采收进行了卫生风险分析</w:t>
            </w:r>
          </w:p>
        </w:tc>
        <w:tc>
          <w:tcPr>
            <w:tcW w:w="3984" w:type="dxa"/>
            <w:vAlign w:val="center"/>
          </w:tcPr>
          <w:p w14:paraId="1A19FD34">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有书面的采收卫生风险分析报告，覆盖物理的、化学的和微生物的污染及人类传染疾病</w:t>
            </w:r>
          </w:p>
        </w:tc>
        <w:tc>
          <w:tcPr>
            <w:tcW w:w="953" w:type="dxa"/>
            <w:vAlign w:val="center"/>
          </w:tcPr>
          <w:p w14:paraId="5CE0492B">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Ⅰ级</w:t>
            </w:r>
          </w:p>
        </w:tc>
      </w:tr>
      <w:tr w14:paraId="4E42D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14:paraId="569439F2">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69</w:t>
            </w:r>
          </w:p>
        </w:tc>
        <w:tc>
          <w:tcPr>
            <w:tcW w:w="2528" w:type="dxa"/>
            <w:vAlign w:val="center"/>
          </w:tcPr>
          <w:p w14:paraId="213A80E5">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是否执行了书面的卫生操作规程和卫生要求</w:t>
            </w:r>
          </w:p>
        </w:tc>
        <w:tc>
          <w:tcPr>
            <w:tcW w:w="3984" w:type="dxa"/>
            <w:vAlign w:val="center"/>
          </w:tcPr>
          <w:p w14:paraId="5E855651">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制定并执行了采收和包装卫生操作规范，果实采收工具、采收容器、盛放容器和运输工具清洁</w:t>
            </w:r>
          </w:p>
        </w:tc>
        <w:tc>
          <w:tcPr>
            <w:tcW w:w="953" w:type="dxa"/>
            <w:vAlign w:val="center"/>
          </w:tcPr>
          <w:p w14:paraId="2624B11B">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Ⅰ级</w:t>
            </w:r>
          </w:p>
        </w:tc>
      </w:tr>
      <w:tr w14:paraId="5D510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14:paraId="4F25BDBA">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70</w:t>
            </w:r>
          </w:p>
        </w:tc>
        <w:tc>
          <w:tcPr>
            <w:tcW w:w="2528" w:type="dxa"/>
            <w:vAlign w:val="center"/>
          </w:tcPr>
          <w:p w14:paraId="60A0A753">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采收前，员工是否接受了基本的卫生培训</w:t>
            </w:r>
          </w:p>
        </w:tc>
        <w:tc>
          <w:tcPr>
            <w:tcW w:w="3984" w:type="dxa"/>
            <w:vAlign w:val="center"/>
          </w:tcPr>
          <w:p w14:paraId="320A1BEE">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员工在采收果实前接受了个人卫生、衣着和个人行为方面的培训</w:t>
            </w:r>
          </w:p>
        </w:tc>
        <w:tc>
          <w:tcPr>
            <w:tcW w:w="953" w:type="dxa"/>
            <w:vAlign w:val="center"/>
          </w:tcPr>
          <w:p w14:paraId="77E79457">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Ⅰ级</w:t>
            </w:r>
          </w:p>
        </w:tc>
      </w:tr>
    </w:tbl>
    <w:p w14:paraId="2CE1CEDE">
      <w:pPr>
        <w:pStyle w:val="14"/>
        <w:ind w:left="0" w:leftChars="0" w:firstLine="0" w:firstLineChars="0"/>
        <w:rPr>
          <w:color w:val="auto"/>
        </w:rPr>
      </w:pPr>
    </w:p>
    <w:p w14:paraId="701DD9EC">
      <w:pPr>
        <w:rPr>
          <w:color w:val="auto"/>
        </w:rPr>
      </w:pPr>
      <w:r>
        <w:rPr>
          <w:color w:val="auto"/>
        </w:rPr>
        <w:br w:type="page"/>
      </w:r>
    </w:p>
    <w:p w14:paraId="34525A9D">
      <w:pPr>
        <w:pStyle w:val="18"/>
        <w:numPr>
          <w:ilvl w:val="3"/>
          <w:numId w:val="0"/>
        </w:numPr>
        <w:spacing w:before="120" w:after="120"/>
        <w:ind w:left="0" w:leftChars="0" w:firstLine="0" w:firstLineChars="0"/>
        <w:outlineLvl w:val="1"/>
        <w:rPr>
          <w:color w:val="auto"/>
        </w:rPr>
      </w:pPr>
      <w:bookmarkStart w:id="49" w:name="_Toc280658904"/>
      <w:r>
        <w:rPr>
          <w:rFonts w:hint="eastAsia" w:ascii="宋体" w:hAnsi="Times New Roman" w:eastAsia="宋体" w:cs="Times New Roman"/>
          <w:color w:val="auto"/>
          <w:sz w:val="21"/>
          <w:lang w:val="en-US" w:eastAsia="zh-CN" w:bidi="ar-SA"/>
        </w:rPr>
        <w:t>B.4.1  采后处理</w:t>
      </w:r>
      <w:bookmarkEnd w:id="49"/>
    </w:p>
    <w:tbl>
      <w:tblPr>
        <w:tblStyle w:val="21"/>
        <w:tblW w:w="8318"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7"/>
        <w:gridCol w:w="2528"/>
        <w:gridCol w:w="3984"/>
        <w:gridCol w:w="959"/>
      </w:tblGrid>
      <w:tr w14:paraId="6FF4A6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847" w:type="dxa"/>
            <w:vAlign w:val="center"/>
          </w:tcPr>
          <w:p w14:paraId="48C2C4F2">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序号</w:t>
            </w:r>
          </w:p>
        </w:tc>
        <w:tc>
          <w:tcPr>
            <w:tcW w:w="2528" w:type="dxa"/>
            <w:vAlign w:val="center"/>
          </w:tcPr>
          <w:p w14:paraId="09139AA2">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控制点</w:t>
            </w:r>
          </w:p>
        </w:tc>
        <w:tc>
          <w:tcPr>
            <w:tcW w:w="3984" w:type="dxa"/>
            <w:vAlign w:val="center"/>
          </w:tcPr>
          <w:p w14:paraId="01A14893">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符合性要求</w:t>
            </w:r>
          </w:p>
        </w:tc>
        <w:tc>
          <w:tcPr>
            <w:tcW w:w="959" w:type="dxa"/>
            <w:vAlign w:val="center"/>
          </w:tcPr>
          <w:p w14:paraId="40C88101">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等级</w:t>
            </w:r>
          </w:p>
        </w:tc>
      </w:tr>
      <w:tr w14:paraId="0AE1B7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847" w:type="dxa"/>
            <w:vAlign w:val="center"/>
          </w:tcPr>
          <w:p w14:paraId="3B92FBDA">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71</w:t>
            </w:r>
          </w:p>
        </w:tc>
        <w:tc>
          <w:tcPr>
            <w:tcW w:w="2528" w:type="dxa"/>
            <w:vAlign w:val="center"/>
          </w:tcPr>
          <w:p w14:paraId="512A897B">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采后清洗，清洗产品的水是否可以饮用</w:t>
            </w:r>
          </w:p>
        </w:tc>
        <w:tc>
          <w:tcPr>
            <w:tcW w:w="3984" w:type="dxa"/>
            <w:vAlign w:val="center"/>
          </w:tcPr>
          <w:p w14:paraId="5F5B3B70">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清洗产品的水其卫生状况符合GB5749的规定</w:t>
            </w:r>
          </w:p>
        </w:tc>
        <w:tc>
          <w:tcPr>
            <w:tcW w:w="959" w:type="dxa"/>
            <w:vAlign w:val="center"/>
          </w:tcPr>
          <w:p w14:paraId="1E8A6534">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Ⅰ级</w:t>
            </w:r>
          </w:p>
        </w:tc>
      </w:tr>
      <w:tr w14:paraId="5E04EE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847" w:type="dxa"/>
            <w:vAlign w:val="center"/>
          </w:tcPr>
          <w:p w14:paraId="06B8F263">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72</w:t>
            </w:r>
          </w:p>
        </w:tc>
        <w:tc>
          <w:tcPr>
            <w:tcW w:w="2528" w:type="dxa"/>
            <w:vAlign w:val="center"/>
          </w:tcPr>
          <w:p w14:paraId="181A6175">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按标准化对苹果进行筛选分级：包括净化清洗、修整、筛选分级、晒干、剥皮、冷却或批量包装等加工处理</w:t>
            </w:r>
          </w:p>
        </w:tc>
        <w:tc>
          <w:tcPr>
            <w:tcW w:w="3984" w:type="dxa"/>
            <w:vAlign w:val="center"/>
          </w:tcPr>
          <w:p w14:paraId="11B0D08C">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保持书面记录，如：采收后生物杀灭剂、蜡和植物保护产品使用记录</w:t>
            </w:r>
          </w:p>
        </w:tc>
        <w:tc>
          <w:tcPr>
            <w:tcW w:w="959" w:type="dxa"/>
            <w:vAlign w:val="center"/>
          </w:tcPr>
          <w:p w14:paraId="45D02667">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Ⅰ级</w:t>
            </w:r>
          </w:p>
        </w:tc>
      </w:tr>
    </w:tbl>
    <w:p w14:paraId="5D117964">
      <w:pPr>
        <w:pStyle w:val="18"/>
        <w:numPr>
          <w:ilvl w:val="3"/>
          <w:numId w:val="0"/>
        </w:numPr>
        <w:spacing w:before="120" w:after="120"/>
        <w:ind w:leftChars="0"/>
        <w:outlineLvl w:val="9"/>
        <w:rPr>
          <w:rFonts w:hint="eastAsia" w:ascii="宋体" w:hAnsi="Times New Roman" w:eastAsia="宋体" w:cs="Times New Roman"/>
          <w:color w:val="auto"/>
          <w:sz w:val="21"/>
          <w:lang w:val="en-US" w:eastAsia="zh-CN" w:bidi="ar-SA"/>
        </w:rPr>
      </w:pPr>
    </w:p>
    <w:p w14:paraId="6637889A">
      <w:pPr>
        <w:pStyle w:val="18"/>
        <w:numPr>
          <w:ilvl w:val="3"/>
          <w:numId w:val="0"/>
        </w:numPr>
        <w:spacing w:before="120" w:after="120"/>
        <w:ind w:left="0" w:leftChars="0" w:firstLine="0" w:firstLineChars="0"/>
        <w:outlineLvl w:val="1"/>
        <w:rPr>
          <w:rFonts w:hint="eastAsia" w:ascii="宋体" w:hAnsi="Times New Roman" w:eastAsia="宋体" w:cs="Times New Roman"/>
          <w:color w:val="auto"/>
          <w:sz w:val="21"/>
          <w:lang w:val="en-US" w:eastAsia="zh-CN" w:bidi="ar-SA"/>
        </w:rPr>
      </w:pPr>
      <w:bookmarkStart w:id="50" w:name="_Toc677539162"/>
      <w:r>
        <w:rPr>
          <w:rFonts w:hint="eastAsia" w:ascii="宋体" w:hAnsi="Times New Roman" w:eastAsia="宋体" w:cs="Times New Roman"/>
          <w:color w:val="auto"/>
          <w:sz w:val="21"/>
          <w:lang w:val="en-US" w:eastAsia="zh-CN" w:bidi="ar-SA"/>
        </w:rPr>
        <w:t>B.4.2  质量控制</w:t>
      </w:r>
      <w:bookmarkEnd w:id="50"/>
    </w:p>
    <w:tbl>
      <w:tblPr>
        <w:tblStyle w:val="10"/>
        <w:tblW w:w="0" w:type="auto"/>
        <w:tblInd w:w="1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7"/>
        <w:gridCol w:w="2528"/>
        <w:gridCol w:w="3984"/>
        <w:gridCol w:w="959"/>
      </w:tblGrid>
      <w:tr w14:paraId="44F4A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14:paraId="6FBD5622">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序号</w:t>
            </w:r>
          </w:p>
        </w:tc>
        <w:tc>
          <w:tcPr>
            <w:tcW w:w="2528" w:type="dxa"/>
            <w:vAlign w:val="center"/>
          </w:tcPr>
          <w:p w14:paraId="41814A0E">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控制点</w:t>
            </w:r>
          </w:p>
        </w:tc>
        <w:tc>
          <w:tcPr>
            <w:tcW w:w="3984" w:type="dxa"/>
            <w:vAlign w:val="center"/>
          </w:tcPr>
          <w:p w14:paraId="07ACC3CA">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符合性要求</w:t>
            </w:r>
          </w:p>
        </w:tc>
        <w:tc>
          <w:tcPr>
            <w:tcW w:w="959" w:type="dxa"/>
            <w:vAlign w:val="center"/>
          </w:tcPr>
          <w:p w14:paraId="77E37F0D">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等级</w:t>
            </w:r>
          </w:p>
        </w:tc>
      </w:tr>
      <w:tr w14:paraId="56B9D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14:paraId="0D26BBE8">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73</w:t>
            </w:r>
          </w:p>
        </w:tc>
        <w:tc>
          <w:tcPr>
            <w:tcW w:w="2528" w:type="dxa"/>
            <w:vAlign w:val="center"/>
          </w:tcPr>
          <w:p w14:paraId="06DC85E8">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是否有书面的生产、检验制度以确保产品符合指定的品质安全标准</w:t>
            </w:r>
          </w:p>
        </w:tc>
        <w:tc>
          <w:tcPr>
            <w:tcW w:w="3984" w:type="dxa"/>
            <w:vAlign w:val="center"/>
          </w:tcPr>
          <w:p w14:paraId="430B533E">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有书面的生产、检验制度，确保产品符合指定的品质、质量安全标准</w:t>
            </w:r>
          </w:p>
        </w:tc>
        <w:tc>
          <w:tcPr>
            <w:tcW w:w="959" w:type="dxa"/>
            <w:vAlign w:val="center"/>
          </w:tcPr>
          <w:p w14:paraId="5EEA90C2">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Ⅱ级</w:t>
            </w:r>
          </w:p>
        </w:tc>
      </w:tr>
      <w:tr w14:paraId="0BED7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14:paraId="04C8D516">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74</w:t>
            </w:r>
          </w:p>
        </w:tc>
        <w:tc>
          <w:tcPr>
            <w:tcW w:w="2528" w:type="dxa"/>
            <w:vAlign w:val="center"/>
          </w:tcPr>
          <w:p w14:paraId="0B056FF6">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称量、检测设备是否准确</w:t>
            </w:r>
          </w:p>
        </w:tc>
        <w:tc>
          <w:tcPr>
            <w:tcW w:w="3984" w:type="dxa"/>
            <w:vAlign w:val="center"/>
          </w:tcPr>
          <w:p w14:paraId="2EA82136">
            <w:pPr>
              <w:pStyle w:val="22"/>
              <w:jc w:val="both"/>
              <w:rPr>
                <w:color w:val="auto"/>
                <w:vertAlign w:val="baseline"/>
              </w:rPr>
            </w:pPr>
            <w:r>
              <w:rPr>
                <w:rFonts w:hint="eastAsia" w:ascii="宋体" w:hAnsi="Times New Roman" w:eastAsia="宋体" w:cs="Times New Roman"/>
                <w:color w:val="auto"/>
                <w:kern w:val="2"/>
                <w:sz w:val="18"/>
                <w:szCs w:val="20"/>
                <w:lang w:val="en-US" w:eastAsia="zh-CN" w:bidi="ar-SA"/>
              </w:rPr>
              <w:t>用于称量、检测的设备定期校准（一般每年一次）</w:t>
            </w:r>
          </w:p>
        </w:tc>
        <w:tc>
          <w:tcPr>
            <w:tcW w:w="959" w:type="dxa"/>
            <w:vAlign w:val="center"/>
          </w:tcPr>
          <w:p w14:paraId="070C1891">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Ⅱ级</w:t>
            </w:r>
          </w:p>
        </w:tc>
      </w:tr>
      <w:tr w14:paraId="76876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14:paraId="73D4D5B8">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75</w:t>
            </w:r>
          </w:p>
        </w:tc>
        <w:tc>
          <w:tcPr>
            <w:tcW w:w="2528" w:type="dxa"/>
            <w:vAlign w:val="center"/>
          </w:tcPr>
          <w:p w14:paraId="77BE0088">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进行质量检测的员工是否受过培训</w:t>
            </w:r>
          </w:p>
        </w:tc>
        <w:tc>
          <w:tcPr>
            <w:tcW w:w="3984" w:type="dxa"/>
            <w:vAlign w:val="center"/>
          </w:tcPr>
          <w:p w14:paraId="753AC3CD">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具有相应资质的检验人员按规定的检验方法</w:t>
            </w:r>
          </w:p>
          <w:p w14:paraId="561901F0">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检验</w:t>
            </w:r>
          </w:p>
        </w:tc>
        <w:tc>
          <w:tcPr>
            <w:tcW w:w="959" w:type="dxa"/>
            <w:vAlign w:val="center"/>
          </w:tcPr>
          <w:p w14:paraId="68287B7C">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Ⅱ级</w:t>
            </w:r>
          </w:p>
        </w:tc>
      </w:tr>
      <w:tr w14:paraId="35EEF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14:paraId="631215F7">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76</w:t>
            </w:r>
          </w:p>
        </w:tc>
        <w:tc>
          <w:tcPr>
            <w:tcW w:w="2528" w:type="dxa"/>
            <w:vAlign w:val="center"/>
          </w:tcPr>
          <w:p w14:paraId="743044D7">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对出厂苹果进行自检，并定期委托有资质的第三方检测机构进行检测</w:t>
            </w:r>
          </w:p>
        </w:tc>
        <w:tc>
          <w:tcPr>
            <w:tcW w:w="3984" w:type="dxa"/>
            <w:vAlign w:val="center"/>
          </w:tcPr>
          <w:p w14:paraId="37BF0DAF">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提供各项检验的原始记录和检验报告</w:t>
            </w:r>
          </w:p>
        </w:tc>
        <w:tc>
          <w:tcPr>
            <w:tcW w:w="959" w:type="dxa"/>
            <w:vAlign w:val="center"/>
          </w:tcPr>
          <w:p w14:paraId="010FB9BD">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Ⅰ级</w:t>
            </w:r>
          </w:p>
        </w:tc>
      </w:tr>
    </w:tbl>
    <w:p w14:paraId="707CBC62">
      <w:pPr>
        <w:pStyle w:val="14"/>
        <w:ind w:left="0" w:leftChars="0" w:firstLine="0" w:firstLineChars="0"/>
        <w:rPr>
          <w:color w:val="auto"/>
        </w:rPr>
      </w:pPr>
    </w:p>
    <w:p w14:paraId="4DF55D7C">
      <w:pPr>
        <w:pStyle w:val="18"/>
        <w:numPr>
          <w:ilvl w:val="3"/>
          <w:numId w:val="0"/>
        </w:numPr>
        <w:spacing w:before="120" w:after="120"/>
        <w:ind w:left="0" w:leftChars="0" w:firstLine="0" w:firstLineChars="0"/>
        <w:outlineLvl w:val="0"/>
        <w:rPr>
          <w:rFonts w:hint="default" w:ascii="宋体" w:hAnsi="Times New Roman" w:eastAsia="宋体" w:cs="Times New Roman"/>
          <w:color w:val="auto"/>
          <w:sz w:val="21"/>
          <w:lang w:val="en-US" w:eastAsia="zh-CN" w:bidi="ar-SA"/>
        </w:rPr>
      </w:pPr>
      <w:bookmarkStart w:id="51" w:name="_Toc525543863"/>
      <w:r>
        <w:rPr>
          <w:rFonts w:hint="eastAsia" w:ascii="宋体" w:hAnsi="Times New Roman" w:eastAsia="宋体" w:cs="Times New Roman"/>
          <w:color w:val="auto"/>
          <w:sz w:val="21"/>
          <w:lang w:val="en-US" w:eastAsia="zh-CN" w:bidi="ar-SA"/>
        </w:rPr>
        <w:t>B.5  包装</w:t>
      </w:r>
      <w:r>
        <w:rPr>
          <w:rFonts w:hint="eastAsia" w:ascii="宋体" w:eastAsia="宋体" w:cs="Times New Roman"/>
          <w:color w:val="auto"/>
          <w:sz w:val="21"/>
          <w:lang w:val="en-US" w:eastAsia="zh-CN" w:bidi="ar-SA"/>
        </w:rPr>
        <w:t>、</w:t>
      </w:r>
      <w:r>
        <w:rPr>
          <w:rFonts w:hint="eastAsia" w:ascii="宋体" w:hAnsi="Times New Roman" w:eastAsia="宋体" w:cs="Times New Roman"/>
          <w:color w:val="auto"/>
          <w:sz w:val="21"/>
          <w:lang w:val="en-US" w:eastAsia="zh-CN" w:bidi="ar-SA"/>
        </w:rPr>
        <w:t>标识</w:t>
      </w:r>
      <w:r>
        <w:rPr>
          <w:rFonts w:hint="eastAsia" w:ascii="宋体" w:eastAsia="宋体" w:cs="Times New Roman"/>
          <w:color w:val="auto"/>
          <w:sz w:val="21"/>
          <w:lang w:val="en-US" w:eastAsia="zh-CN" w:bidi="ar-SA"/>
        </w:rPr>
        <w:t>与仓储</w:t>
      </w:r>
      <w:bookmarkEnd w:id="51"/>
    </w:p>
    <w:tbl>
      <w:tblPr>
        <w:tblStyle w:val="10"/>
        <w:tblW w:w="0" w:type="auto"/>
        <w:tblInd w:w="1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7"/>
        <w:gridCol w:w="2528"/>
        <w:gridCol w:w="3984"/>
        <w:gridCol w:w="964"/>
      </w:tblGrid>
      <w:tr w14:paraId="20A34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14:paraId="4C526C84">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序号</w:t>
            </w:r>
          </w:p>
        </w:tc>
        <w:tc>
          <w:tcPr>
            <w:tcW w:w="2528" w:type="dxa"/>
            <w:vAlign w:val="center"/>
          </w:tcPr>
          <w:p w14:paraId="333A9E12">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控制点</w:t>
            </w:r>
          </w:p>
        </w:tc>
        <w:tc>
          <w:tcPr>
            <w:tcW w:w="3984" w:type="dxa"/>
            <w:vAlign w:val="center"/>
          </w:tcPr>
          <w:p w14:paraId="440AA1A5">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符合性要求</w:t>
            </w:r>
          </w:p>
        </w:tc>
        <w:tc>
          <w:tcPr>
            <w:tcW w:w="964" w:type="dxa"/>
            <w:vAlign w:val="center"/>
          </w:tcPr>
          <w:p w14:paraId="143BBCC3">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等级</w:t>
            </w:r>
          </w:p>
        </w:tc>
      </w:tr>
      <w:tr w14:paraId="15B43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14:paraId="493623AA">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77</w:t>
            </w:r>
          </w:p>
        </w:tc>
        <w:tc>
          <w:tcPr>
            <w:tcW w:w="2528" w:type="dxa"/>
            <w:vAlign w:val="center"/>
          </w:tcPr>
          <w:p w14:paraId="7ED9DFA2">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是否对产品处理和储存设施设备进行了清洁和维护</w:t>
            </w:r>
          </w:p>
        </w:tc>
        <w:tc>
          <w:tcPr>
            <w:tcW w:w="3984" w:type="dxa"/>
            <w:vAlign w:val="center"/>
          </w:tcPr>
          <w:p w14:paraId="19F2A14A">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对产品处理和储存设施设备进行清洁和维护并保留书面记录。所用清洁剂、润滑油等适用于食品工业，用量适宜，储存在远离产品的地方</w:t>
            </w:r>
          </w:p>
        </w:tc>
        <w:tc>
          <w:tcPr>
            <w:tcW w:w="964" w:type="dxa"/>
            <w:vAlign w:val="center"/>
          </w:tcPr>
          <w:p w14:paraId="2836E118">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Ⅱ级</w:t>
            </w:r>
          </w:p>
        </w:tc>
      </w:tr>
      <w:tr w14:paraId="6525B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14:paraId="54A62459">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78</w:t>
            </w:r>
          </w:p>
        </w:tc>
        <w:tc>
          <w:tcPr>
            <w:tcW w:w="2528" w:type="dxa"/>
            <w:vAlign w:val="center"/>
          </w:tcPr>
          <w:p w14:paraId="667953CB">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包装和储存场所是否清洁</w:t>
            </w:r>
          </w:p>
          <w:p w14:paraId="44B7CB4D">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卫生</w:t>
            </w:r>
          </w:p>
        </w:tc>
        <w:tc>
          <w:tcPr>
            <w:tcW w:w="3984" w:type="dxa"/>
            <w:vAlign w:val="center"/>
          </w:tcPr>
          <w:p w14:paraId="385E3294">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废物储存在能避免污染产品的隔离区域，并定期对这些区域进行清洗和消毒</w:t>
            </w:r>
          </w:p>
        </w:tc>
        <w:tc>
          <w:tcPr>
            <w:tcW w:w="964" w:type="dxa"/>
            <w:vAlign w:val="center"/>
          </w:tcPr>
          <w:p w14:paraId="5AB987AD">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Ⅱ级</w:t>
            </w:r>
          </w:p>
        </w:tc>
      </w:tr>
      <w:tr w14:paraId="07B28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14:paraId="306A9DA6">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79</w:t>
            </w:r>
          </w:p>
        </w:tc>
        <w:tc>
          <w:tcPr>
            <w:tcW w:w="2528" w:type="dxa"/>
            <w:vAlign w:val="center"/>
          </w:tcPr>
          <w:p w14:paraId="795F144F">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是否有适当防护，以防有害动物进入</w:t>
            </w:r>
          </w:p>
        </w:tc>
        <w:tc>
          <w:tcPr>
            <w:tcW w:w="3984" w:type="dxa"/>
            <w:vAlign w:val="center"/>
          </w:tcPr>
          <w:p w14:paraId="784CB424">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防护计划，以及有害动物治理措施及记录</w:t>
            </w:r>
          </w:p>
        </w:tc>
        <w:tc>
          <w:tcPr>
            <w:tcW w:w="964" w:type="dxa"/>
            <w:vAlign w:val="center"/>
          </w:tcPr>
          <w:p w14:paraId="2FD8C104">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Ⅱ级</w:t>
            </w:r>
          </w:p>
        </w:tc>
      </w:tr>
      <w:tr w14:paraId="6B5B8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14:paraId="26D14A62">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80</w:t>
            </w:r>
          </w:p>
        </w:tc>
        <w:tc>
          <w:tcPr>
            <w:tcW w:w="2528" w:type="dxa"/>
            <w:vAlign w:val="center"/>
          </w:tcPr>
          <w:p w14:paraId="6E55D86C">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是否制定贮藏管理程序，入库前进行消毒灭菌，入库后定时检查</w:t>
            </w:r>
          </w:p>
        </w:tc>
        <w:tc>
          <w:tcPr>
            <w:tcW w:w="3984" w:type="dxa"/>
            <w:vAlign w:val="center"/>
          </w:tcPr>
          <w:p w14:paraId="58CA8399">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保持仓库巡检记录，按照先进先出原则保持产品出入库记录</w:t>
            </w:r>
          </w:p>
        </w:tc>
        <w:tc>
          <w:tcPr>
            <w:tcW w:w="964" w:type="dxa"/>
            <w:vAlign w:val="center"/>
          </w:tcPr>
          <w:p w14:paraId="3111078A">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Ⅰ级</w:t>
            </w:r>
          </w:p>
        </w:tc>
      </w:tr>
      <w:tr w14:paraId="2A3AE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14:paraId="742A7B8C">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81</w:t>
            </w:r>
          </w:p>
        </w:tc>
        <w:tc>
          <w:tcPr>
            <w:tcW w:w="2528" w:type="dxa"/>
            <w:vAlign w:val="center"/>
          </w:tcPr>
          <w:p w14:paraId="322765DF">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在库品应分类储藏并做相应标识</w:t>
            </w:r>
          </w:p>
        </w:tc>
        <w:tc>
          <w:tcPr>
            <w:tcW w:w="3984" w:type="dxa"/>
            <w:vAlign w:val="center"/>
          </w:tcPr>
          <w:p w14:paraId="3EA263B6">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根据品种、规格、产地、采收日期、品种、来源、质量等级、采收及入库日期等保持记录并登记业务系统</w:t>
            </w:r>
          </w:p>
        </w:tc>
        <w:tc>
          <w:tcPr>
            <w:tcW w:w="964" w:type="dxa"/>
            <w:vAlign w:val="center"/>
          </w:tcPr>
          <w:p w14:paraId="3F4F65A7">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Ⅱ级</w:t>
            </w:r>
          </w:p>
        </w:tc>
      </w:tr>
      <w:tr w14:paraId="0151C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14:paraId="6F3366B4">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82</w:t>
            </w:r>
          </w:p>
        </w:tc>
        <w:tc>
          <w:tcPr>
            <w:tcW w:w="2528" w:type="dxa"/>
            <w:vAlign w:val="center"/>
          </w:tcPr>
          <w:p w14:paraId="0364C01B">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包装材料是否清洁无毒</w:t>
            </w:r>
          </w:p>
        </w:tc>
        <w:tc>
          <w:tcPr>
            <w:tcW w:w="3984" w:type="dxa"/>
            <w:vAlign w:val="center"/>
          </w:tcPr>
          <w:p w14:paraId="7BBC69B7">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包装材料应清洁卫生，并储存在干净的地方</w:t>
            </w:r>
          </w:p>
        </w:tc>
        <w:tc>
          <w:tcPr>
            <w:tcW w:w="964" w:type="dxa"/>
            <w:vAlign w:val="center"/>
          </w:tcPr>
          <w:p w14:paraId="4275A1FC">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Ⅱ级</w:t>
            </w:r>
          </w:p>
        </w:tc>
      </w:tr>
      <w:tr w14:paraId="357A6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14:paraId="2292FF29">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83</w:t>
            </w:r>
          </w:p>
        </w:tc>
        <w:tc>
          <w:tcPr>
            <w:tcW w:w="2528" w:type="dxa"/>
            <w:vAlign w:val="center"/>
          </w:tcPr>
          <w:p w14:paraId="7243D849">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是否对包装销售的苹果按照GB/T32950鲜活苹果标签标识进行正确标注</w:t>
            </w:r>
          </w:p>
        </w:tc>
        <w:tc>
          <w:tcPr>
            <w:tcW w:w="3984" w:type="dxa"/>
            <w:vAlign w:val="center"/>
          </w:tcPr>
          <w:p w14:paraId="4DEB61F3">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使用标签、标识牌、标识带、说明书等形式标明苹果的品名、等级、生产地、生产者或者销售者名称等内容</w:t>
            </w:r>
          </w:p>
        </w:tc>
        <w:tc>
          <w:tcPr>
            <w:tcW w:w="964" w:type="dxa"/>
            <w:vAlign w:val="center"/>
          </w:tcPr>
          <w:p w14:paraId="78C7C605">
            <w:pPr>
              <w:pStyle w:val="22"/>
              <w:jc w:val="center"/>
              <w:rPr>
                <w:color w:val="auto"/>
                <w:vertAlign w:val="baseline"/>
              </w:rPr>
            </w:pPr>
            <w:r>
              <w:rPr>
                <w:rFonts w:hint="eastAsia" w:ascii="宋体" w:hAnsi="Times New Roman" w:eastAsia="宋体" w:cs="Times New Roman"/>
                <w:color w:val="auto"/>
                <w:kern w:val="2"/>
                <w:sz w:val="18"/>
                <w:szCs w:val="20"/>
                <w:lang w:val="en-US" w:eastAsia="zh-CN" w:bidi="ar-SA"/>
              </w:rPr>
              <w:t>Ⅰ级</w:t>
            </w:r>
          </w:p>
        </w:tc>
      </w:tr>
    </w:tbl>
    <w:p w14:paraId="6BCC36E6">
      <w:pPr>
        <w:pStyle w:val="14"/>
        <w:ind w:left="0" w:leftChars="0" w:firstLine="0" w:firstLineChars="0"/>
        <w:rPr>
          <w:color w:val="auto"/>
        </w:rPr>
      </w:pPr>
    </w:p>
    <w:p w14:paraId="0EBFE28C">
      <w:pPr>
        <w:pStyle w:val="18"/>
        <w:numPr>
          <w:ilvl w:val="3"/>
          <w:numId w:val="0"/>
        </w:numPr>
        <w:spacing w:before="120" w:after="120"/>
        <w:ind w:left="0" w:leftChars="0" w:firstLine="0" w:firstLineChars="0"/>
        <w:outlineLvl w:val="0"/>
        <w:rPr>
          <w:color w:val="auto"/>
        </w:rPr>
      </w:pPr>
      <w:bookmarkStart w:id="52" w:name="_Toc1328587908"/>
      <w:r>
        <w:rPr>
          <w:rFonts w:hint="eastAsia" w:ascii="宋体" w:hAnsi="Times New Roman" w:eastAsia="宋体" w:cs="Times New Roman"/>
          <w:color w:val="auto"/>
          <w:sz w:val="21"/>
          <w:lang w:val="en-US" w:eastAsia="zh-CN" w:bidi="ar-SA"/>
        </w:rPr>
        <w:t>B.6  物流及运输</w:t>
      </w:r>
      <w:bookmarkEnd w:id="52"/>
    </w:p>
    <w:tbl>
      <w:tblPr>
        <w:tblStyle w:val="21"/>
        <w:tblW w:w="8323"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7"/>
        <w:gridCol w:w="2528"/>
        <w:gridCol w:w="3984"/>
        <w:gridCol w:w="964"/>
      </w:tblGrid>
      <w:tr w14:paraId="7EC02B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847" w:type="dxa"/>
            <w:vAlign w:val="center"/>
          </w:tcPr>
          <w:p w14:paraId="6106897E">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序号</w:t>
            </w:r>
          </w:p>
        </w:tc>
        <w:tc>
          <w:tcPr>
            <w:tcW w:w="2528" w:type="dxa"/>
            <w:vAlign w:val="center"/>
          </w:tcPr>
          <w:p w14:paraId="28C3D825">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控制点</w:t>
            </w:r>
          </w:p>
        </w:tc>
        <w:tc>
          <w:tcPr>
            <w:tcW w:w="3984" w:type="dxa"/>
            <w:vAlign w:val="center"/>
          </w:tcPr>
          <w:p w14:paraId="6AB904BB">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符合性要求</w:t>
            </w:r>
          </w:p>
        </w:tc>
        <w:tc>
          <w:tcPr>
            <w:tcW w:w="964" w:type="dxa"/>
            <w:vAlign w:val="center"/>
          </w:tcPr>
          <w:p w14:paraId="767E2FBE">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等级</w:t>
            </w:r>
          </w:p>
        </w:tc>
      </w:tr>
      <w:tr w14:paraId="0CD728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847" w:type="dxa"/>
            <w:vAlign w:val="center"/>
          </w:tcPr>
          <w:p w14:paraId="2EA82966">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84</w:t>
            </w:r>
          </w:p>
        </w:tc>
        <w:tc>
          <w:tcPr>
            <w:tcW w:w="2528" w:type="dxa"/>
            <w:vAlign w:val="center"/>
          </w:tcPr>
          <w:p w14:paraId="046532F7">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根据产品种类、特性、运输季节、距离及产品保质储藏的要求选择不同的运输工具和运输方式</w:t>
            </w:r>
          </w:p>
        </w:tc>
        <w:tc>
          <w:tcPr>
            <w:tcW w:w="3984" w:type="dxa"/>
            <w:vAlign w:val="center"/>
          </w:tcPr>
          <w:p w14:paraId="2C2F5CCF">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对运输工具设备备案登记</w:t>
            </w:r>
          </w:p>
        </w:tc>
        <w:tc>
          <w:tcPr>
            <w:tcW w:w="964" w:type="dxa"/>
            <w:vAlign w:val="center"/>
          </w:tcPr>
          <w:p w14:paraId="16D99448">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Ⅱ级</w:t>
            </w:r>
          </w:p>
        </w:tc>
      </w:tr>
      <w:tr w14:paraId="2A47A8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847" w:type="dxa"/>
            <w:vAlign w:val="center"/>
          </w:tcPr>
          <w:p w14:paraId="4F20CD59">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85</w:t>
            </w:r>
          </w:p>
        </w:tc>
        <w:tc>
          <w:tcPr>
            <w:tcW w:w="2528" w:type="dxa"/>
            <w:vAlign w:val="center"/>
          </w:tcPr>
          <w:p w14:paraId="0B2B4347">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是否统一运输、包装、仓储、装卸搬运、配送和信息要求</w:t>
            </w:r>
          </w:p>
        </w:tc>
        <w:tc>
          <w:tcPr>
            <w:tcW w:w="3984" w:type="dxa"/>
            <w:vAlign w:val="center"/>
          </w:tcPr>
          <w:p w14:paraId="737A090B">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制定物流配送标准化操作手册并执行</w:t>
            </w:r>
          </w:p>
        </w:tc>
        <w:tc>
          <w:tcPr>
            <w:tcW w:w="964" w:type="dxa"/>
            <w:vAlign w:val="center"/>
          </w:tcPr>
          <w:p w14:paraId="614F2D5D">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Ⅱ级</w:t>
            </w:r>
          </w:p>
        </w:tc>
      </w:tr>
      <w:tr w14:paraId="556082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847" w:type="dxa"/>
            <w:vAlign w:val="center"/>
          </w:tcPr>
          <w:p w14:paraId="1FF7F50B">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86</w:t>
            </w:r>
          </w:p>
        </w:tc>
        <w:tc>
          <w:tcPr>
            <w:tcW w:w="2528" w:type="dxa"/>
            <w:vAlign w:val="center"/>
          </w:tcPr>
          <w:p w14:paraId="71D82E82">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运输工具是否会对苹果和食品产生污染</w:t>
            </w:r>
          </w:p>
        </w:tc>
        <w:tc>
          <w:tcPr>
            <w:tcW w:w="3984" w:type="dxa"/>
            <w:vAlign w:val="center"/>
          </w:tcPr>
          <w:p w14:paraId="5A579308">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制定并执行车辆清洁消毒制度或要求，装车前对车辆状况和卫生检查</w:t>
            </w:r>
          </w:p>
        </w:tc>
        <w:tc>
          <w:tcPr>
            <w:tcW w:w="964" w:type="dxa"/>
            <w:vAlign w:val="center"/>
          </w:tcPr>
          <w:p w14:paraId="1FAF9909">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Ⅱ级</w:t>
            </w:r>
          </w:p>
        </w:tc>
      </w:tr>
      <w:tr w14:paraId="6DC8D8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847" w:type="dxa"/>
            <w:vAlign w:val="center"/>
          </w:tcPr>
          <w:p w14:paraId="23A5CB8B">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87</w:t>
            </w:r>
          </w:p>
        </w:tc>
        <w:tc>
          <w:tcPr>
            <w:tcW w:w="2528" w:type="dxa"/>
            <w:vAlign w:val="center"/>
          </w:tcPr>
          <w:p w14:paraId="2BAA0665">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对物流运输设备实施维护，保证贮藏设施符合相应产品贮藏技术管理规范要求</w:t>
            </w:r>
          </w:p>
        </w:tc>
        <w:tc>
          <w:tcPr>
            <w:tcW w:w="3984" w:type="dxa"/>
            <w:vAlign w:val="center"/>
          </w:tcPr>
          <w:p w14:paraId="51AA5D98">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物流运输设备维护记录</w:t>
            </w:r>
          </w:p>
        </w:tc>
        <w:tc>
          <w:tcPr>
            <w:tcW w:w="964" w:type="dxa"/>
            <w:vAlign w:val="center"/>
          </w:tcPr>
          <w:p w14:paraId="2F6D7D5D">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Ⅱ级</w:t>
            </w:r>
          </w:p>
        </w:tc>
      </w:tr>
    </w:tbl>
    <w:p w14:paraId="4D7E5069">
      <w:pPr>
        <w:spacing w:line="65" w:lineRule="exact"/>
        <w:rPr>
          <w:color w:val="auto"/>
        </w:rPr>
        <w:sectPr>
          <w:headerReference r:id="rId16" w:type="default"/>
          <w:footerReference r:id="rId17" w:type="default"/>
          <w:pgSz w:w="11906" w:h="16838"/>
          <w:pgMar w:top="1440" w:right="1803" w:bottom="1440" w:left="1803" w:header="850" w:footer="992" w:gutter="0"/>
          <w:pgBorders>
            <w:top w:val="none" w:sz="0" w:space="0"/>
            <w:left w:val="none" w:sz="0" w:space="0"/>
            <w:bottom w:val="none" w:sz="0" w:space="0"/>
            <w:right w:val="none" w:sz="0" w:space="0"/>
          </w:pgBorders>
          <w:pgNumType w:fmt="decimal"/>
          <w:cols w:space="0" w:num="1"/>
          <w:rtlGutter w:val="0"/>
          <w:docGrid w:linePitch="0" w:charSpace="0"/>
        </w:sectPr>
      </w:pPr>
    </w:p>
    <w:p w14:paraId="598C7068">
      <w:pPr>
        <w:pStyle w:val="18"/>
        <w:numPr>
          <w:ilvl w:val="3"/>
          <w:numId w:val="0"/>
        </w:numPr>
        <w:spacing w:before="120" w:after="120"/>
        <w:ind w:left="0" w:leftChars="0" w:firstLine="0" w:firstLineChars="0"/>
        <w:outlineLvl w:val="0"/>
        <w:rPr>
          <w:rFonts w:hint="default" w:ascii="宋体" w:hAnsi="Times New Roman" w:eastAsia="宋体" w:cs="Times New Roman"/>
          <w:color w:val="auto"/>
          <w:sz w:val="21"/>
          <w:lang w:val="en-US" w:eastAsia="zh-CN" w:bidi="ar-SA"/>
        </w:rPr>
      </w:pPr>
      <w:bookmarkStart w:id="53" w:name="_Toc2121671196"/>
      <w:r>
        <w:rPr>
          <w:rFonts w:hint="eastAsia" w:ascii="宋体" w:hAnsi="Times New Roman" w:eastAsia="宋体" w:cs="Times New Roman"/>
          <w:color w:val="auto"/>
          <w:sz w:val="21"/>
          <w:lang w:val="en-US" w:eastAsia="zh-CN" w:bidi="ar-SA"/>
        </w:rPr>
        <w:t>B.7  销售</w:t>
      </w:r>
      <w:r>
        <w:rPr>
          <w:rFonts w:hint="eastAsia" w:ascii="宋体" w:eastAsia="宋体" w:cs="Times New Roman"/>
          <w:color w:val="auto"/>
          <w:sz w:val="21"/>
          <w:lang w:val="en-US" w:eastAsia="zh-CN" w:bidi="ar-SA"/>
        </w:rPr>
        <w:t>管理</w:t>
      </w:r>
      <w:bookmarkEnd w:id="53"/>
    </w:p>
    <w:p w14:paraId="594B8B6A">
      <w:pPr>
        <w:spacing w:line="18" w:lineRule="exact"/>
        <w:rPr>
          <w:color w:val="auto"/>
        </w:rPr>
      </w:pPr>
    </w:p>
    <w:tbl>
      <w:tblPr>
        <w:tblStyle w:val="21"/>
        <w:tblW w:w="8312" w:type="dxa"/>
        <w:tblInd w:w="-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2"/>
        <w:gridCol w:w="2533"/>
        <w:gridCol w:w="3983"/>
        <w:gridCol w:w="954"/>
      </w:tblGrid>
      <w:tr w14:paraId="1FC109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842" w:type="dxa"/>
            <w:vAlign w:val="center"/>
          </w:tcPr>
          <w:p w14:paraId="0DFF64CA">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序号</w:t>
            </w:r>
          </w:p>
        </w:tc>
        <w:tc>
          <w:tcPr>
            <w:tcW w:w="2533" w:type="dxa"/>
            <w:vAlign w:val="center"/>
          </w:tcPr>
          <w:p w14:paraId="7E531F28">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控制点</w:t>
            </w:r>
          </w:p>
        </w:tc>
        <w:tc>
          <w:tcPr>
            <w:tcW w:w="3983" w:type="dxa"/>
            <w:vAlign w:val="center"/>
          </w:tcPr>
          <w:p w14:paraId="058AEE85">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符合性要求</w:t>
            </w:r>
          </w:p>
        </w:tc>
        <w:tc>
          <w:tcPr>
            <w:tcW w:w="954" w:type="dxa"/>
            <w:vAlign w:val="center"/>
          </w:tcPr>
          <w:p w14:paraId="39DFAEA2">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等级</w:t>
            </w:r>
          </w:p>
        </w:tc>
      </w:tr>
      <w:tr w14:paraId="6A1286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842" w:type="dxa"/>
            <w:vAlign w:val="center"/>
          </w:tcPr>
          <w:p w14:paraId="7625644A">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88</w:t>
            </w:r>
          </w:p>
        </w:tc>
        <w:tc>
          <w:tcPr>
            <w:tcW w:w="2533" w:type="dxa"/>
            <w:vAlign w:val="center"/>
          </w:tcPr>
          <w:p w14:paraId="2AF6503D">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做好销售情况登记</w:t>
            </w:r>
          </w:p>
        </w:tc>
        <w:tc>
          <w:tcPr>
            <w:tcW w:w="3983" w:type="dxa"/>
            <w:vAlign w:val="center"/>
          </w:tcPr>
          <w:p w14:paraId="4A9B724E">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如实记录销售产品批次信息、销售流向、销售对象以及销售时间</w:t>
            </w:r>
          </w:p>
        </w:tc>
        <w:tc>
          <w:tcPr>
            <w:tcW w:w="954" w:type="dxa"/>
            <w:vAlign w:val="center"/>
          </w:tcPr>
          <w:p w14:paraId="66D65188">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Ⅱ级</w:t>
            </w:r>
          </w:p>
        </w:tc>
      </w:tr>
    </w:tbl>
    <w:p w14:paraId="235CA9C5">
      <w:pPr>
        <w:pStyle w:val="3"/>
        <w:spacing w:line="281" w:lineRule="auto"/>
        <w:rPr>
          <w:color w:val="auto"/>
        </w:rPr>
      </w:pPr>
    </w:p>
    <w:p w14:paraId="6DB92C63">
      <w:pPr>
        <w:pStyle w:val="18"/>
        <w:numPr>
          <w:ilvl w:val="3"/>
          <w:numId w:val="0"/>
        </w:numPr>
        <w:spacing w:before="120" w:after="120"/>
        <w:ind w:left="0" w:leftChars="0" w:firstLine="0" w:firstLineChars="0"/>
        <w:outlineLvl w:val="0"/>
        <w:rPr>
          <w:rFonts w:hint="default" w:ascii="宋体" w:hAnsi="Times New Roman" w:eastAsia="宋体" w:cs="Times New Roman"/>
          <w:color w:val="auto"/>
          <w:sz w:val="21"/>
          <w:lang w:val="en-US" w:eastAsia="zh-CN" w:bidi="ar-SA"/>
        </w:rPr>
      </w:pPr>
      <w:bookmarkStart w:id="54" w:name="_Toc1258052234"/>
      <w:r>
        <w:rPr>
          <w:rFonts w:hint="eastAsia" w:ascii="宋体" w:hAnsi="Times New Roman" w:eastAsia="宋体" w:cs="Times New Roman"/>
          <w:color w:val="auto"/>
          <w:sz w:val="21"/>
          <w:lang w:val="en-US" w:eastAsia="zh-CN" w:bidi="ar-SA"/>
        </w:rPr>
        <w:t>B.8  其他</w:t>
      </w:r>
      <w:r>
        <w:rPr>
          <w:rFonts w:hint="eastAsia" w:ascii="宋体" w:eastAsia="宋体" w:cs="Times New Roman"/>
          <w:color w:val="auto"/>
          <w:sz w:val="21"/>
          <w:lang w:val="en-US" w:eastAsia="zh-CN" w:bidi="ar-SA"/>
        </w:rPr>
        <w:t>要求</w:t>
      </w:r>
      <w:bookmarkEnd w:id="54"/>
    </w:p>
    <w:p w14:paraId="0CF6209F">
      <w:pPr>
        <w:pStyle w:val="18"/>
        <w:numPr>
          <w:ilvl w:val="3"/>
          <w:numId w:val="0"/>
        </w:numPr>
        <w:spacing w:before="120" w:after="120"/>
        <w:ind w:left="0" w:leftChars="0" w:firstLine="0" w:firstLineChars="0"/>
        <w:outlineLvl w:val="1"/>
        <w:rPr>
          <w:rFonts w:hint="eastAsia" w:ascii="宋体" w:hAnsi="Times New Roman" w:eastAsia="宋体" w:cs="Times New Roman"/>
          <w:color w:val="auto"/>
          <w:sz w:val="21"/>
          <w:lang w:val="en-US" w:eastAsia="zh-CN" w:bidi="ar-SA"/>
        </w:rPr>
      </w:pPr>
      <w:bookmarkStart w:id="55" w:name="_Toc1803515286"/>
      <w:r>
        <w:rPr>
          <w:rFonts w:hint="eastAsia" w:ascii="宋体" w:hAnsi="Times New Roman" w:eastAsia="宋体" w:cs="Times New Roman"/>
          <w:color w:val="auto"/>
          <w:sz w:val="21"/>
          <w:lang w:val="en-US" w:eastAsia="zh-CN" w:bidi="ar-SA"/>
        </w:rPr>
        <w:t>B.8.1  风险评估</w:t>
      </w:r>
      <w:bookmarkEnd w:id="55"/>
    </w:p>
    <w:tbl>
      <w:tblPr>
        <w:tblStyle w:val="10"/>
        <w:tblW w:w="0" w:type="auto"/>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9"/>
        <w:gridCol w:w="2536"/>
        <w:gridCol w:w="3972"/>
        <w:gridCol w:w="966"/>
      </w:tblGrid>
      <w:tr w14:paraId="6E648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39" w:type="dxa"/>
            <w:vAlign w:val="center"/>
          </w:tcPr>
          <w:p w14:paraId="63E76E1E">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序号</w:t>
            </w:r>
          </w:p>
        </w:tc>
        <w:tc>
          <w:tcPr>
            <w:tcW w:w="2536" w:type="dxa"/>
            <w:vAlign w:val="center"/>
          </w:tcPr>
          <w:p w14:paraId="6B827029">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控制点</w:t>
            </w:r>
          </w:p>
        </w:tc>
        <w:tc>
          <w:tcPr>
            <w:tcW w:w="3972" w:type="dxa"/>
            <w:vAlign w:val="center"/>
          </w:tcPr>
          <w:p w14:paraId="5CE6C994">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符合性要求</w:t>
            </w:r>
          </w:p>
        </w:tc>
        <w:tc>
          <w:tcPr>
            <w:tcW w:w="966" w:type="dxa"/>
            <w:vAlign w:val="center"/>
          </w:tcPr>
          <w:p w14:paraId="26C5DB84">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等级</w:t>
            </w:r>
          </w:p>
        </w:tc>
      </w:tr>
      <w:tr w14:paraId="0D87C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9" w:type="dxa"/>
            <w:vAlign w:val="center"/>
          </w:tcPr>
          <w:p w14:paraId="621B68EC">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89</w:t>
            </w:r>
          </w:p>
        </w:tc>
        <w:tc>
          <w:tcPr>
            <w:tcW w:w="2536" w:type="dxa"/>
            <w:vAlign w:val="center"/>
          </w:tcPr>
          <w:p w14:paraId="76754F46">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是否进行了工作环境健康安全风险评估</w:t>
            </w:r>
          </w:p>
        </w:tc>
        <w:tc>
          <w:tcPr>
            <w:tcW w:w="3972" w:type="dxa"/>
            <w:vAlign w:val="center"/>
          </w:tcPr>
          <w:p w14:paraId="13A6A380">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有工作环境健康安全风险评估报告，并及时更新</w:t>
            </w:r>
          </w:p>
        </w:tc>
        <w:tc>
          <w:tcPr>
            <w:tcW w:w="966" w:type="dxa"/>
            <w:vAlign w:val="center"/>
          </w:tcPr>
          <w:p w14:paraId="6167A798">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Ⅱ级</w:t>
            </w:r>
          </w:p>
        </w:tc>
      </w:tr>
      <w:tr w14:paraId="6697B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9" w:type="dxa"/>
            <w:vAlign w:val="center"/>
          </w:tcPr>
          <w:p w14:paraId="597CE8CD">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90</w:t>
            </w:r>
          </w:p>
        </w:tc>
        <w:tc>
          <w:tcPr>
            <w:tcW w:w="2536" w:type="dxa"/>
            <w:vAlign w:val="center"/>
          </w:tcPr>
          <w:p w14:paraId="1DBEB9A7">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是否有健康、安全和卫生方针</w:t>
            </w:r>
          </w:p>
        </w:tc>
        <w:tc>
          <w:tcPr>
            <w:tcW w:w="3972" w:type="dxa"/>
            <w:vAlign w:val="center"/>
          </w:tcPr>
          <w:p w14:paraId="6DAA09EB">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有健康、安全和卫生方针，至少覆盖风险评估报告确定的所有关键点，可包括事故与突发事件处理规程，操作程序等。风险评估结果发生变化时对方并进行了及时更新</w:t>
            </w:r>
          </w:p>
        </w:tc>
        <w:tc>
          <w:tcPr>
            <w:tcW w:w="966" w:type="dxa"/>
            <w:vAlign w:val="center"/>
          </w:tcPr>
          <w:p w14:paraId="63BF01DE">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Ⅱ级</w:t>
            </w:r>
          </w:p>
        </w:tc>
      </w:tr>
    </w:tbl>
    <w:p w14:paraId="428CC11B">
      <w:pPr>
        <w:pStyle w:val="14"/>
        <w:ind w:left="0" w:leftChars="0" w:firstLine="0" w:firstLineChars="0"/>
        <w:rPr>
          <w:rFonts w:hint="eastAsia"/>
          <w:color w:val="auto"/>
          <w:lang w:val="en-US" w:eastAsia="zh-CN"/>
        </w:rPr>
      </w:pPr>
    </w:p>
    <w:p w14:paraId="61EEB779">
      <w:pPr>
        <w:spacing w:line="132" w:lineRule="exact"/>
        <w:rPr>
          <w:color w:val="auto"/>
        </w:rPr>
      </w:pPr>
    </w:p>
    <w:p w14:paraId="315C6170">
      <w:pPr>
        <w:pStyle w:val="3"/>
        <w:spacing w:line="14" w:lineRule="auto"/>
        <w:rPr>
          <w:color w:val="auto"/>
          <w:sz w:val="2"/>
        </w:rPr>
      </w:pPr>
    </w:p>
    <w:p w14:paraId="2EA19509">
      <w:pPr>
        <w:pStyle w:val="18"/>
        <w:numPr>
          <w:ilvl w:val="3"/>
          <w:numId w:val="0"/>
        </w:numPr>
        <w:spacing w:before="120" w:after="120"/>
        <w:ind w:left="0" w:leftChars="0" w:firstLine="0" w:firstLineChars="0"/>
        <w:outlineLvl w:val="1"/>
        <w:rPr>
          <w:rFonts w:hint="eastAsia" w:ascii="宋体" w:hAnsi="Times New Roman" w:eastAsia="宋体" w:cs="Times New Roman"/>
          <w:color w:val="auto"/>
          <w:sz w:val="21"/>
          <w:lang w:val="en-US" w:eastAsia="zh-CN" w:bidi="ar-SA"/>
        </w:rPr>
      </w:pPr>
      <w:bookmarkStart w:id="56" w:name="_Toc967431542"/>
      <w:r>
        <w:rPr>
          <w:rFonts w:hint="eastAsia" w:ascii="宋体" w:hAnsi="Times New Roman" w:eastAsia="宋体" w:cs="Times New Roman"/>
          <w:color w:val="auto"/>
          <w:sz w:val="21"/>
          <w:lang w:val="en-US" w:eastAsia="zh-CN" w:bidi="ar-SA"/>
        </w:rPr>
        <w:t>B.8.2  员工培训</w:t>
      </w:r>
      <w:bookmarkEnd w:id="56"/>
    </w:p>
    <w:tbl>
      <w:tblPr>
        <w:tblStyle w:val="10"/>
        <w:tblW w:w="0" w:type="auto"/>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3"/>
        <w:gridCol w:w="2542"/>
        <w:gridCol w:w="3965"/>
        <w:gridCol w:w="972"/>
      </w:tblGrid>
      <w:tr w14:paraId="7B02F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3" w:type="dxa"/>
            <w:vAlign w:val="center"/>
          </w:tcPr>
          <w:p w14:paraId="36D85249">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序号</w:t>
            </w:r>
          </w:p>
        </w:tc>
        <w:tc>
          <w:tcPr>
            <w:tcW w:w="2542" w:type="dxa"/>
            <w:vAlign w:val="center"/>
          </w:tcPr>
          <w:p w14:paraId="1A6C2F63">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控制点</w:t>
            </w:r>
          </w:p>
        </w:tc>
        <w:tc>
          <w:tcPr>
            <w:tcW w:w="3965" w:type="dxa"/>
            <w:vAlign w:val="center"/>
          </w:tcPr>
          <w:p w14:paraId="5DFC364D">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符合性要求</w:t>
            </w:r>
          </w:p>
        </w:tc>
        <w:tc>
          <w:tcPr>
            <w:tcW w:w="972" w:type="dxa"/>
            <w:vAlign w:val="center"/>
          </w:tcPr>
          <w:p w14:paraId="79297658">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等级</w:t>
            </w:r>
          </w:p>
        </w:tc>
      </w:tr>
      <w:tr w14:paraId="7BF8B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3" w:type="dxa"/>
            <w:vAlign w:val="center"/>
          </w:tcPr>
          <w:p w14:paraId="22E443AA">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91</w:t>
            </w:r>
          </w:p>
        </w:tc>
        <w:tc>
          <w:tcPr>
            <w:tcW w:w="2542" w:type="dxa"/>
            <w:vAlign w:val="center"/>
          </w:tcPr>
          <w:p w14:paraId="16FCC631">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是否保存了培训记录</w:t>
            </w:r>
          </w:p>
        </w:tc>
        <w:tc>
          <w:tcPr>
            <w:tcW w:w="3965" w:type="dxa"/>
            <w:vAlign w:val="center"/>
          </w:tcPr>
          <w:p w14:paraId="1BC90373">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保存有详细的培训记录（包括培训内容、授课人、培训日期、参加人员等）</w:t>
            </w:r>
          </w:p>
        </w:tc>
        <w:tc>
          <w:tcPr>
            <w:tcW w:w="972" w:type="dxa"/>
            <w:vAlign w:val="center"/>
          </w:tcPr>
          <w:p w14:paraId="697E1CA0">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Ⅱ级</w:t>
            </w:r>
          </w:p>
        </w:tc>
      </w:tr>
      <w:tr w14:paraId="09989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3" w:type="dxa"/>
            <w:vAlign w:val="center"/>
          </w:tcPr>
          <w:p w14:paraId="4D418DC9">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92</w:t>
            </w:r>
          </w:p>
        </w:tc>
        <w:tc>
          <w:tcPr>
            <w:tcW w:w="2542" w:type="dxa"/>
            <w:vAlign w:val="center"/>
          </w:tcPr>
          <w:p w14:paraId="5F44743B">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接触化学品、消毒剂、农药和其他危险品的员工，以及操作危险、复杂设备的员工，是否有资质</w:t>
            </w:r>
          </w:p>
        </w:tc>
        <w:tc>
          <w:tcPr>
            <w:tcW w:w="3965" w:type="dxa"/>
            <w:vAlign w:val="center"/>
          </w:tcPr>
          <w:p w14:paraId="49C08F83">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承担上述任务的员工有相应的资格证书或培训证明</w:t>
            </w:r>
          </w:p>
        </w:tc>
        <w:tc>
          <w:tcPr>
            <w:tcW w:w="972" w:type="dxa"/>
            <w:vAlign w:val="center"/>
          </w:tcPr>
          <w:p w14:paraId="48BF95A4">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Ⅰ级</w:t>
            </w:r>
          </w:p>
        </w:tc>
      </w:tr>
      <w:tr w14:paraId="5841B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3" w:type="dxa"/>
            <w:vAlign w:val="center"/>
          </w:tcPr>
          <w:p w14:paraId="10765CD3">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93</w:t>
            </w:r>
          </w:p>
        </w:tc>
        <w:tc>
          <w:tcPr>
            <w:tcW w:w="2542" w:type="dxa"/>
            <w:vAlign w:val="center"/>
          </w:tcPr>
          <w:p w14:paraId="5C6A7F08">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员工是否均接受了足够的健康和安全培训生产过程中是否有受过急救培训的人在场</w:t>
            </w:r>
          </w:p>
        </w:tc>
        <w:tc>
          <w:tcPr>
            <w:tcW w:w="3965" w:type="dxa"/>
            <w:vAlign w:val="center"/>
          </w:tcPr>
          <w:p w14:paraId="1C8794C2">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所有员工均有与其职责和任务相称的能力生产过程中至少有一名受过急救培训的人在场</w:t>
            </w:r>
          </w:p>
        </w:tc>
        <w:tc>
          <w:tcPr>
            <w:tcW w:w="972" w:type="dxa"/>
            <w:vAlign w:val="center"/>
          </w:tcPr>
          <w:p w14:paraId="16E685A2">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Ⅱ级</w:t>
            </w:r>
          </w:p>
        </w:tc>
      </w:tr>
      <w:tr w14:paraId="0654F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3" w:type="dxa"/>
            <w:vAlign w:val="center"/>
          </w:tcPr>
          <w:p w14:paraId="1D5C79E2">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94</w:t>
            </w:r>
          </w:p>
        </w:tc>
        <w:tc>
          <w:tcPr>
            <w:tcW w:w="2542" w:type="dxa"/>
            <w:vAlign w:val="center"/>
          </w:tcPr>
          <w:p w14:paraId="26801736">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是否有书面的卫生指导材料，并对员工进行了培训</w:t>
            </w:r>
          </w:p>
        </w:tc>
        <w:tc>
          <w:tcPr>
            <w:tcW w:w="3965" w:type="dxa"/>
            <w:vAlign w:val="center"/>
          </w:tcPr>
          <w:p w14:paraId="2FA46C2E">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在显眼处张贴了卫生指导材料，并对员工进行了培训。卫生指导材料应通俗易懂，内容包括净手、伤口包扎、限定区域、传染病、防护服使用等</w:t>
            </w:r>
          </w:p>
        </w:tc>
        <w:tc>
          <w:tcPr>
            <w:tcW w:w="972" w:type="dxa"/>
            <w:vAlign w:val="center"/>
          </w:tcPr>
          <w:p w14:paraId="1882E7FC">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Ⅱ级</w:t>
            </w:r>
          </w:p>
        </w:tc>
      </w:tr>
      <w:tr w14:paraId="2FEDA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3" w:type="dxa"/>
            <w:vAlign w:val="center"/>
          </w:tcPr>
          <w:p w14:paraId="680D697C">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95</w:t>
            </w:r>
          </w:p>
        </w:tc>
        <w:tc>
          <w:tcPr>
            <w:tcW w:w="2542" w:type="dxa"/>
            <w:vAlign w:val="center"/>
          </w:tcPr>
          <w:p w14:paraId="78E8DC1F">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卫生操作人员是否具备相应的能力</w:t>
            </w:r>
          </w:p>
        </w:tc>
        <w:tc>
          <w:tcPr>
            <w:tcW w:w="3965" w:type="dxa"/>
            <w:vAlign w:val="center"/>
          </w:tcPr>
          <w:p w14:paraId="09E11ECF">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卫生操作人员有相应的资格证书或</w:t>
            </w:r>
          </w:p>
          <w:p w14:paraId="22D2B84A">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培训证明</w:t>
            </w:r>
          </w:p>
        </w:tc>
        <w:tc>
          <w:tcPr>
            <w:tcW w:w="972" w:type="dxa"/>
            <w:vAlign w:val="center"/>
          </w:tcPr>
          <w:p w14:paraId="7BDEA805">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Ⅱ级</w:t>
            </w:r>
          </w:p>
        </w:tc>
      </w:tr>
    </w:tbl>
    <w:p w14:paraId="613EF475">
      <w:pPr>
        <w:pStyle w:val="14"/>
        <w:ind w:left="0" w:leftChars="0" w:firstLine="0" w:firstLineChars="0"/>
        <w:rPr>
          <w:rFonts w:hint="eastAsia"/>
          <w:color w:val="auto"/>
          <w:lang w:val="en-US" w:eastAsia="zh-CN"/>
        </w:rPr>
      </w:pPr>
    </w:p>
    <w:p w14:paraId="71C14D37">
      <w:pPr>
        <w:spacing w:line="128" w:lineRule="exact"/>
        <w:rPr>
          <w:color w:val="auto"/>
        </w:rPr>
      </w:pPr>
    </w:p>
    <w:p w14:paraId="1A3201CA">
      <w:pPr>
        <w:pStyle w:val="18"/>
        <w:numPr>
          <w:ilvl w:val="3"/>
          <w:numId w:val="0"/>
        </w:numPr>
        <w:spacing w:before="120" w:after="120"/>
        <w:ind w:left="0" w:leftChars="0" w:firstLine="0" w:firstLineChars="0"/>
        <w:outlineLvl w:val="1"/>
        <w:rPr>
          <w:rFonts w:hint="eastAsia" w:ascii="宋体" w:hAnsi="Times New Roman" w:eastAsia="宋体" w:cs="Times New Roman"/>
          <w:color w:val="auto"/>
          <w:sz w:val="21"/>
          <w:lang w:val="en-US" w:eastAsia="zh-CN" w:bidi="ar-SA"/>
        </w:rPr>
      </w:pPr>
      <w:bookmarkStart w:id="57" w:name="_Toc1949085827"/>
      <w:r>
        <w:rPr>
          <w:rFonts w:hint="eastAsia" w:ascii="宋体" w:hAnsi="Times New Roman" w:eastAsia="宋体" w:cs="Times New Roman"/>
          <w:color w:val="auto"/>
          <w:sz w:val="21"/>
          <w:lang w:val="en-US" w:eastAsia="zh-CN" w:bidi="ar-SA"/>
        </w:rPr>
        <w:t>B.8.3  个人卫生</w:t>
      </w:r>
      <w:bookmarkEnd w:id="57"/>
    </w:p>
    <w:p w14:paraId="3B7A2CE2">
      <w:pPr>
        <w:pStyle w:val="14"/>
        <w:ind w:left="0" w:leftChars="0" w:firstLine="0" w:firstLineChars="0"/>
        <w:rPr>
          <w:rFonts w:hint="eastAsia"/>
          <w:color w:val="auto"/>
          <w:lang w:val="en-US" w:eastAsia="zh-CN"/>
        </w:rPr>
      </w:pPr>
    </w:p>
    <w:tbl>
      <w:tblPr>
        <w:tblStyle w:val="10"/>
        <w:tblW w:w="0" w:type="auto"/>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6"/>
        <w:gridCol w:w="2538"/>
        <w:gridCol w:w="3968"/>
        <w:gridCol w:w="972"/>
      </w:tblGrid>
      <w:tr w14:paraId="31CDD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6" w:type="dxa"/>
            <w:vAlign w:val="center"/>
          </w:tcPr>
          <w:p w14:paraId="6C3A3697">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序号</w:t>
            </w:r>
          </w:p>
        </w:tc>
        <w:tc>
          <w:tcPr>
            <w:tcW w:w="2538" w:type="dxa"/>
            <w:vAlign w:val="center"/>
          </w:tcPr>
          <w:p w14:paraId="1D6FB32B">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控制点</w:t>
            </w:r>
          </w:p>
        </w:tc>
        <w:tc>
          <w:tcPr>
            <w:tcW w:w="3968" w:type="dxa"/>
            <w:vAlign w:val="center"/>
          </w:tcPr>
          <w:p w14:paraId="40512F29">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符合性要求</w:t>
            </w:r>
          </w:p>
        </w:tc>
        <w:tc>
          <w:tcPr>
            <w:tcW w:w="972" w:type="dxa"/>
            <w:vAlign w:val="center"/>
          </w:tcPr>
          <w:p w14:paraId="60292521">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等级</w:t>
            </w:r>
          </w:p>
        </w:tc>
      </w:tr>
      <w:tr w14:paraId="74CAE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6" w:type="dxa"/>
            <w:vAlign w:val="center"/>
          </w:tcPr>
          <w:p w14:paraId="4FDF3E64">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96</w:t>
            </w:r>
          </w:p>
        </w:tc>
        <w:tc>
          <w:tcPr>
            <w:tcW w:w="2538" w:type="dxa"/>
            <w:vAlign w:val="center"/>
          </w:tcPr>
          <w:p w14:paraId="198FA545">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进行果实采后处理前，员工是否接受了基本的卫生培训</w:t>
            </w:r>
          </w:p>
        </w:tc>
        <w:tc>
          <w:tcPr>
            <w:tcW w:w="3968" w:type="dxa"/>
            <w:vAlign w:val="center"/>
          </w:tcPr>
          <w:p w14:paraId="67616D13">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员工在进行果实采后处理前接受了人畜共患疾病、个人卫生、个人行为等方面的培训</w:t>
            </w:r>
          </w:p>
        </w:tc>
        <w:tc>
          <w:tcPr>
            <w:tcW w:w="972" w:type="dxa"/>
            <w:vAlign w:val="center"/>
          </w:tcPr>
          <w:p w14:paraId="0E1AFA50">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Ⅰ级</w:t>
            </w:r>
          </w:p>
        </w:tc>
      </w:tr>
      <w:tr w14:paraId="17463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6" w:type="dxa"/>
            <w:vAlign w:val="center"/>
          </w:tcPr>
          <w:p w14:paraId="6EB0774D">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97</w:t>
            </w:r>
          </w:p>
        </w:tc>
        <w:tc>
          <w:tcPr>
            <w:tcW w:w="2538" w:type="dxa"/>
            <w:vAlign w:val="center"/>
          </w:tcPr>
          <w:p w14:paraId="30161F68">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是否执行了果实采后处理卫生要求</w:t>
            </w:r>
          </w:p>
        </w:tc>
        <w:tc>
          <w:tcPr>
            <w:tcW w:w="3968" w:type="dxa"/>
            <w:vAlign w:val="center"/>
          </w:tcPr>
          <w:p w14:paraId="153A3686">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果实采后处理卫生要求张贴在显眼的</w:t>
            </w:r>
          </w:p>
          <w:p w14:paraId="3FF31862">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位置，并被员工和参观者执行</w:t>
            </w:r>
          </w:p>
        </w:tc>
        <w:tc>
          <w:tcPr>
            <w:tcW w:w="972" w:type="dxa"/>
            <w:vAlign w:val="center"/>
          </w:tcPr>
          <w:p w14:paraId="65409E28">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Ⅱ级</w:t>
            </w:r>
          </w:p>
        </w:tc>
      </w:tr>
      <w:tr w14:paraId="3F975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6" w:type="dxa"/>
            <w:vAlign w:val="center"/>
          </w:tcPr>
          <w:p w14:paraId="08D15FD5">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98</w:t>
            </w:r>
          </w:p>
        </w:tc>
        <w:tc>
          <w:tcPr>
            <w:tcW w:w="2538" w:type="dxa"/>
            <w:vAlign w:val="center"/>
          </w:tcPr>
          <w:p w14:paraId="1B9EE289">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员工衣着是否干净、主用</w:t>
            </w:r>
          </w:p>
        </w:tc>
        <w:tc>
          <w:tcPr>
            <w:tcW w:w="3968" w:type="dxa"/>
            <w:vAlign w:val="center"/>
          </w:tcPr>
          <w:p w14:paraId="3BE21F77">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员工衣着干净、方便果实采后处理操作</w:t>
            </w:r>
          </w:p>
        </w:tc>
        <w:tc>
          <w:tcPr>
            <w:tcW w:w="972" w:type="dxa"/>
            <w:vAlign w:val="center"/>
          </w:tcPr>
          <w:p w14:paraId="50EE2B9A">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Ⅲ级</w:t>
            </w:r>
          </w:p>
        </w:tc>
      </w:tr>
      <w:tr w14:paraId="12616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6" w:type="dxa"/>
            <w:vAlign w:val="center"/>
          </w:tcPr>
          <w:p w14:paraId="1CB062C2">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99</w:t>
            </w:r>
          </w:p>
        </w:tc>
        <w:tc>
          <w:tcPr>
            <w:tcW w:w="2538" w:type="dxa"/>
            <w:vAlign w:val="center"/>
          </w:tcPr>
          <w:p w14:paraId="35139F8E">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抽烟、进食、饮水等活动是否限定在指定区域</w:t>
            </w:r>
          </w:p>
        </w:tc>
        <w:tc>
          <w:tcPr>
            <w:tcW w:w="3968" w:type="dxa"/>
            <w:vAlign w:val="center"/>
          </w:tcPr>
          <w:p w14:paraId="258B0364">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抽烟、进食、饮水等活动限定在产品处理区和产品储存室之外的指定区域</w:t>
            </w:r>
          </w:p>
        </w:tc>
        <w:tc>
          <w:tcPr>
            <w:tcW w:w="972" w:type="dxa"/>
            <w:vAlign w:val="center"/>
          </w:tcPr>
          <w:p w14:paraId="68973152">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Ⅱ级</w:t>
            </w:r>
          </w:p>
        </w:tc>
      </w:tr>
    </w:tbl>
    <w:p w14:paraId="5C70FCD3">
      <w:pPr>
        <w:spacing w:before="78"/>
        <w:outlineLvl w:val="9"/>
        <w:rPr>
          <w:rFonts w:ascii="仿宋" w:hAnsi="仿宋" w:eastAsia="仿宋" w:cs="仿宋"/>
          <w:color w:val="auto"/>
          <w:sz w:val="24"/>
          <w:szCs w:val="24"/>
        </w:rPr>
      </w:pPr>
    </w:p>
    <w:p w14:paraId="2AA70B45">
      <w:pPr>
        <w:spacing w:line="128" w:lineRule="exact"/>
        <w:rPr>
          <w:color w:val="auto"/>
        </w:rPr>
      </w:pPr>
    </w:p>
    <w:p w14:paraId="51A27D2B">
      <w:pPr>
        <w:rPr>
          <w:color w:val="auto"/>
        </w:rPr>
      </w:pPr>
      <w:r>
        <w:rPr>
          <w:color w:val="auto"/>
        </w:rPr>
        <w:br w:type="page"/>
      </w:r>
    </w:p>
    <w:p w14:paraId="0EA7EE6C">
      <w:pPr>
        <w:pStyle w:val="18"/>
        <w:numPr>
          <w:ilvl w:val="3"/>
          <w:numId w:val="0"/>
        </w:numPr>
        <w:spacing w:before="120" w:after="120"/>
        <w:ind w:left="0" w:leftChars="0" w:firstLine="0" w:firstLineChars="0"/>
        <w:outlineLvl w:val="1"/>
        <w:rPr>
          <w:rFonts w:hint="eastAsia" w:ascii="宋体" w:hAnsi="Times New Roman" w:eastAsia="宋体" w:cs="Times New Roman"/>
          <w:color w:val="auto"/>
          <w:sz w:val="21"/>
          <w:lang w:val="en-US" w:eastAsia="zh-CN" w:bidi="ar-SA"/>
        </w:rPr>
      </w:pPr>
      <w:bookmarkStart w:id="58" w:name="_Toc1406337492"/>
      <w:r>
        <w:rPr>
          <w:rFonts w:hint="eastAsia" w:ascii="宋体" w:hAnsi="Times New Roman" w:eastAsia="宋体" w:cs="Times New Roman"/>
          <w:color w:val="auto"/>
          <w:sz w:val="21"/>
          <w:lang w:val="en-US" w:eastAsia="zh-CN" w:bidi="ar-SA"/>
        </w:rPr>
        <w:t>B.8.4  卫生设施</w:t>
      </w:r>
      <w:bookmarkEnd w:id="58"/>
    </w:p>
    <w:tbl>
      <w:tblPr>
        <w:tblStyle w:val="10"/>
        <w:tblW w:w="0" w:type="auto"/>
        <w:tblInd w:w="1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2"/>
        <w:gridCol w:w="2538"/>
        <w:gridCol w:w="3968"/>
        <w:gridCol w:w="978"/>
      </w:tblGrid>
      <w:tr w14:paraId="17E96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2" w:type="dxa"/>
            <w:vAlign w:val="top"/>
          </w:tcPr>
          <w:p w14:paraId="759385A9">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序号</w:t>
            </w:r>
          </w:p>
        </w:tc>
        <w:tc>
          <w:tcPr>
            <w:tcW w:w="2538" w:type="dxa"/>
            <w:vAlign w:val="top"/>
          </w:tcPr>
          <w:p w14:paraId="027EA49F">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控制点</w:t>
            </w:r>
          </w:p>
        </w:tc>
        <w:tc>
          <w:tcPr>
            <w:tcW w:w="3968" w:type="dxa"/>
            <w:vAlign w:val="top"/>
          </w:tcPr>
          <w:p w14:paraId="7672365A">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符合性要求</w:t>
            </w:r>
          </w:p>
        </w:tc>
        <w:tc>
          <w:tcPr>
            <w:tcW w:w="978" w:type="dxa"/>
            <w:vAlign w:val="top"/>
          </w:tcPr>
          <w:p w14:paraId="681B7794">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等级</w:t>
            </w:r>
          </w:p>
        </w:tc>
      </w:tr>
      <w:tr w14:paraId="4BDCB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2" w:type="dxa"/>
            <w:vAlign w:val="center"/>
          </w:tcPr>
          <w:p w14:paraId="7C884B00">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100</w:t>
            </w:r>
          </w:p>
        </w:tc>
        <w:tc>
          <w:tcPr>
            <w:tcW w:w="2538" w:type="dxa"/>
            <w:vAlign w:val="center"/>
          </w:tcPr>
          <w:p w14:paraId="655686CC">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工作场所或其附近是否有清洁的盥洗室和洗手设施</w:t>
            </w:r>
          </w:p>
        </w:tc>
        <w:tc>
          <w:tcPr>
            <w:tcW w:w="3968" w:type="dxa"/>
            <w:vAlign w:val="center"/>
          </w:tcPr>
          <w:p w14:paraId="736A8C40">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有盥洗室和洗手设施，且卫生状况良好</w:t>
            </w:r>
          </w:p>
        </w:tc>
        <w:tc>
          <w:tcPr>
            <w:tcW w:w="978" w:type="dxa"/>
            <w:vAlign w:val="center"/>
          </w:tcPr>
          <w:p w14:paraId="54E8986B">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Ⅰ级</w:t>
            </w:r>
          </w:p>
        </w:tc>
      </w:tr>
      <w:tr w14:paraId="4052B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2" w:type="dxa"/>
            <w:vAlign w:val="center"/>
          </w:tcPr>
          <w:p w14:paraId="39F84E56">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101</w:t>
            </w:r>
          </w:p>
        </w:tc>
        <w:tc>
          <w:tcPr>
            <w:tcW w:w="2538" w:type="dxa"/>
            <w:vAlign w:val="center"/>
          </w:tcPr>
          <w:p w14:paraId="7BAFD137">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有无处理产品前洗手的标识</w:t>
            </w:r>
          </w:p>
        </w:tc>
        <w:tc>
          <w:tcPr>
            <w:tcW w:w="3968" w:type="dxa"/>
            <w:vAlign w:val="center"/>
          </w:tcPr>
          <w:p w14:paraId="62774C49">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有清晰可见的标识要求员工在处理产品前洗手</w:t>
            </w:r>
          </w:p>
        </w:tc>
        <w:tc>
          <w:tcPr>
            <w:tcW w:w="978" w:type="dxa"/>
            <w:vAlign w:val="center"/>
          </w:tcPr>
          <w:p w14:paraId="7F570368">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Ⅰ级</w:t>
            </w:r>
          </w:p>
        </w:tc>
      </w:tr>
      <w:tr w14:paraId="3FC89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2" w:type="dxa"/>
            <w:vAlign w:val="center"/>
          </w:tcPr>
          <w:p w14:paraId="6FA0021C">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102</w:t>
            </w:r>
          </w:p>
        </w:tc>
        <w:tc>
          <w:tcPr>
            <w:tcW w:w="2538" w:type="dxa"/>
            <w:vAlign w:val="center"/>
          </w:tcPr>
          <w:p w14:paraId="6EED7CB5">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是否为员工准备了更衣空</w:t>
            </w:r>
          </w:p>
        </w:tc>
        <w:tc>
          <w:tcPr>
            <w:tcW w:w="3968" w:type="dxa"/>
            <w:vAlign w:val="center"/>
          </w:tcPr>
          <w:p w14:paraId="369E715A">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为员工准备了更衣室，更衣室内有储物柜</w:t>
            </w:r>
          </w:p>
        </w:tc>
        <w:tc>
          <w:tcPr>
            <w:tcW w:w="978" w:type="dxa"/>
            <w:vAlign w:val="center"/>
          </w:tcPr>
          <w:p w14:paraId="73DEF919">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Ⅲ级</w:t>
            </w:r>
          </w:p>
        </w:tc>
      </w:tr>
    </w:tbl>
    <w:p w14:paraId="7A98B1DE">
      <w:pPr>
        <w:pStyle w:val="14"/>
        <w:ind w:left="0" w:leftChars="0" w:firstLine="0" w:firstLineChars="0"/>
        <w:rPr>
          <w:color w:val="auto"/>
        </w:rPr>
      </w:pPr>
    </w:p>
    <w:p w14:paraId="6CCC5146">
      <w:pPr>
        <w:pStyle w:val="18"/>
        <w:numPr>
          <w:ilvl w:val="3"/>
          <w:numId w:val="0"/>
        </w:numPr>
        <w:spacing w:before="120" w:after="120"/>
        <w:ind w:left="0" w:leftChars="0" w:firstLine="0" w:firstLineChars="0"/>
        <w:outlineLvl w:val="1"/>
        <w:rPr>
          <w:rFonts w:hint="eastAsia" w:ascii="宋体" w:hAnsi="Times New Roman" w:eastAsia="宋体" w:cs="Times New Roman"/>
          <w:color w:val="auto"/>
          <w:sz w:val="21"/>
          <w:lang w:val="en-US" w:eastAsia="zh-CN" w:bidi="ar-SA"/>
        </w:rPr>
      </w:pPr>
      <w:bookmarkStart w:id="59" w:name="_Toc818961928"/>
      <w:r>
        <w:rPr>
          <w:rFonts w:hint="eastAsia" w:ascii="宋体" w:hAnsi="Times New Roman" w:eastAsia="宋体" w:cs="Times New Roman"/>
          <w:color w:val="auto"/>
          <w:sz w:val="21"/>
          <w:lang w:val="en-US" w:eastAsia="zh-CN" w:bidi="ar-SA"/>
        </w:rPr>
        <w:t>B.8.5  危险和急救</w:t>
      </w:r>
      <w:bookmarkEnd w:id="59"/>
    </w:p>
    <w:tbl>
      <w:tblPr>
        <w:tblStyle w:val="10"/>
        <w:tblW w:w="0" w:type="auto"/>
        <w:tblInd w:w="1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2"/>
        <w:gridCol w:w="2544"/>
        <w:gridCol w:w="3962"/>
        <w:gridCol w:w="983"/>
      </w:tblGrid>
      <w:tr w14:paraId="6A0F3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2" w:type="dxa"/>
            <w:vAlign w:val="center"/>
          </w:tcPr>
          <w:p w14:paraId="4CA49201">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序号</w:t>
            </w:r>
          </w:p>
        </w:tc>
        <w:tc>
          <w:tcPr>
            <w:tcW w:w="2544" w:type="dxa"/>
            <w:vAlign w:val="center"/>
          </w:tcPr>
          <w:p w14:paraId="51AE0379">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控制点</w:t>
            </w:r>
          </w:p>
        </w:tc>
        <w:tc>
          <w:tcPr>
            <w:tcW w:w="3962" w:type="dxa"/>
            <w:vAlign w:val="center"/>
          </w:tcPr>
          <w:p w14:paraId="0BA27F02">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符合性要求</w:t>
            </w:r>
          </w:p>
        </w:tc>
        <w:tc>
          <w:tcPr>
            <w:tcW w:w="983" w:type="dxa"/>
            <w:vAlign w:val="center"/>
          </w:tcPr>
          <w:p w14:paraId="2A306287">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等级</w:t>
            </w:r>
          </w:p>
        </w:tc>
      </w:tr>
      <w:tr w14:paraId="54D14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2" w:type="dxa"/>
            <w:vAlign w:val="center"/>
          </w:tcPr>
          <w:p w14:paraId="41CAECD2">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103</w:t>
            </w:r>
          </w:p>
        </w:tc>
        <w:tc>
          <w:tcPr>
            <w:tcW w:w="2544" w:type="dxa"/>
            <w:vAlign w:val="center"/>
          </w:tcPr>
          <w:p w14:paraId="13B39E4E">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是否有事故和突发事件处理规程，并张贴于报眼处和告知所有相关人员</w:t>
            </w:r>
          </w:p>
        </w:tc>
        <w:tc>
          <w:tcPr>
            <w:tcW w:w="3962" w:type="dxa"/>
            <w:vAlign w:val="center"/>
          </w:tcPr>
          <w:p w14:paraId="25305972">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在显眼的位置张贴有事故和突发事件处理规程，规程通俗易懂，内容包括果园地址和联系人急救、消防等相关单位的电话号码，灭火器位置紧急断水、断电、断气，事故和险情报告</w:t>
            </w:r>
          </w:p>
        </w:tc>
        <w:tc>
          <w:tcPr>
            <w:tcW w:w="983" w:type="dxa"/>
            <w:vAlign w:val="center"/>
          </w:tcPr>
          <w:p w14:paraId="15D73616">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Ⅱ级</w:t>
            </w:r>
          </w:p>
        </w:tc>
      </w:tr>
      <w:tr w14:paraId="1E42F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2" w:type="dxa"/>
            <w:vAlign w:val="center"/>
          </w:tcPr>
          <w:p w14:paraId="05CE87B7">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104</w:t>
            </w:r>
          </w:p>
        </w:tc>
        <w:tc>
          <w:tcPr>
            <w:tcW w:w="2544" w:type="dxa"/>
            <w:vAlign w:val="center"/>
          </w:tcPr>
          <w:p w14:paraId="7420BEA7">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是否设有警示牌</w:t>
            </w:r>
          </w:p>
        </w:tc>
        <w:tc>
          <w:tcPr>
            <w:tcW w:w="3962" w:type="dxa"/>
            <w:vAlign w:val="center"/>
          </w:tcPr>
          <w:p w14:paraId="7A659E46">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工作现场有永久性警示牌，清楚地标明潜在的</w:t>
            </w:r>
          </w:p>
          <w:p w14:paraId="31D34C38">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危险</w:t>
            </w:r>
          </w:p>
        </w:tc>
        <w:tc>
          <w:tcPr>
            <w:tcW w:w="983" w:type="dxa"/>
            <w:vAlign w:val="center"/>
          </w:tcPr>
          <w:p w14:paraId="2E76B6A2">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Ⅱ级</w:t>
            </w:r>
          </w:p>
        </w:tc>
      </w:tr>
      <w:tr w14:paraId="6CD80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2" w:type="dxa"/>
            <w:vAlign w:val="center"/>
          </w:tcPr>
          <w:p w14:paraId="5274E0F1">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105</w:t>
            </w:r>
          </w:p>
        </w:tc>
        <w:tc>
          <w:tcPr>
            <w:tcW w:w="2544" w:type="dxa"/>
            <w:vAlign w:val="center"/>
          </w:tcPr>
          <w:p w14:paraId="499FF3AB">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员工能否获得关于有害物质的安全建议</w:t>
            </w:r>
          </w:p>
        </w:tc>
        <w:tc>
          <w:tcPr>
            <w:tcW w:w="3962" w:type="dxa"/>
            <w:vAlign w:val="center"/>
          </w:tcPr>
          <w:p w14:paraId="5ADBB2DE">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员工能通过网络、电话等获得相关信息，以便采取适当措施</w:t>
            </w:r>
          </w:p>
        </w:tc>
        <w:tc>
          <w:tcPr>
            <w:tcW w:w="983" w:type="dxa"/>
            <w:vAlign w:val="center"/>
          </w:tcPr>
          <w:p w14:paraId="341BA14F">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Ⅱ级</w:t>
            </w:r>
          </w:p>
        </w:tc>
      </w:tr>
      <w:tr w14:paraId="2003F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2" w:type="dxa"/>
            <w:vAlign w:val="center"/>
          </w:tcPr>
          <w:p w14:paraId="0F391A4B">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106</w:t>
            </w:r>
          </w:p>
        </w:tc>
        <w:tc>
          <w:tcPr>
            <w:tcW w:w="2544" w:type="dxa"/>
            <w:vAlign w:val="center"/>
          </w:tcPr>
          <w:p w14:paraId="72691262">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工作场所是否配有急救箱</w:t>
            </w:r>
          </w:p>
        </w:tc>
        <w:tc>
          <w:tcPr>
            <w:tcW w:w="3962" w:type="dxa"/>
            <w:vAlign w:val="center"/>
          </w:tcPr>
          <w:p w14:paraId="3E825D01">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在工作场所或其附近配有急救箱</w:t>
            </w:r>
          </w:p>
        </w:tc>
        <w:tc>
          <w:tcPr>
            <w:tcW w:w="983" w:type="dxa"/>
            <w:vAlign w:val="center"/>
          </w:tcPr>
          <w:p w14:paraId="1053212C">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Ⅱ级</w:t>
            </w:r>
          </w:p>
        </w:tc>
      </w:tr>
    </w:tbl>
    <w:p w14:paraId="7196ACB5">
      <w:pPr>
        <w:pStyle w:val="3"/>
        <w:spacing w:line="282" w:lineRule="auto"/>
        <w:rPr>
          <w:color w:val="auto"/>
        </w:rPr>
      </w:pPr>
    </w:p>
    <w:p w14:paraId="17AD36DE">
      <w:pPr>
        <w:pStyle w:val="18"/>
        <w:numPr>
          <w:ilvl w:val="3"/>
          <w:numId w:val="0"/>
        </w:numPr>
        <w:spacing w:before="120" w:after="120"/>
        <w:ind w:left="0" w:leftChars="0" w:firstLine="0" w:firstLineChars="0"/>
        <w:outlineLvl w:val="1"/>
        <w:rPr>
          <w:rFonts w:hint="eastAsia" w:ascii="宋体" w:hAnsi="Times New Roman" w:eastAsia="宋体" w:cs="Times New Roman"/>
          <w:color w:val="auto"/>
          <w:sz w:val="21"/>
          <w:lang w:val="en-US" w:eastAsia="zh-CN" w:bidi="ar-SA"/>
        </w:rPr>
      </w:pPr>
      <w:bookmarkStart w:id="60" w:name="_Toc763011192"/>
      <w:r>
        <w:rPr>
          <w:rFonts w:hint="eastAsia" w:ascii="宋体" w:hAnsi="Times New Roman" w:eastAsia="宋体" w:cs="Times New Roman"/>
          <w:color w:val="auto"/>
          <w:sz w:val="21"/>
          <w:lang w:val="en-US" w:eastAsia="zh-CN" w:bidi="ar-SA"/>
        </w:rPr>
        <w:t>B.8.6  废物和污染物</w:t>
      </w:r>
      <w:bookmarkEnd w:id="60"/>
    </w:p>
    <w:tbl>
      <w:tblPr>
        <w:tblStyle w:val="10"/>
        <w:tblW w:w="0" w:type="auto"/>
        <w:tblInd w:w="1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2"/>
        <w:gridCol w:w="2544"/>
        <w:gridCol w:w="3962"/>
        <w:gridCol w:w="983"/>
      </w:tblGrid>
      <w:tr w14:paraId="6C4BF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2" w:type="dxa"/>
            <w:vAlign w:val="top"/>
          </w:tcPr>
          <w:p w14:paraId="06605FCB">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序号</w:t>
            </w:r>
          </w:p>
        </w:tc>
        <w:tc>
          <w:tcPr>
            <w:tcW w:w="2544" w:type="dxa"/>
            <w:vAlign w:val="top"/>
          </w:tcPr>
          <w:p w14:paraId="7D2154AD">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控制点</w:t>
            </w:r>
          </w:p>
        </w:tc>
        <w:tc>
          <w:tcPr>
            <w:tcW w:w="3962" w:type="dxa"/>
            <w:vAlign w:val="top"/>
          </w:tcPr>
          <w:p w14:paraId="2D39102F">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符合性要求</w:t>
            </w:r>
          </w:p>
        </w:tc>
        <w:tc>
          <w:tcPr>
            <w:tcW w:w="983" w:type="dxa"/>
            <w:vAlign w:val="top"/>
          </w:tcPr>
          <w:p w14:paraId="1536D9D8">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等级</w:t>
            </w:r>
          </w:p>
        </w:tc>
      </w:tr>
      <w:tr w14:paraId="6BA80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2" w:type="dxa"/>
            <w:vAlign w:val="center"/>
          </w:tcPr>
          <w:p w14:paraId="7352A7A8">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107</w:t>
            </w:r>
          </w:p>
        </w:tc>
        <w:tc>
          <w:tcPr>
            <w:tcW w:w="2544" w:type="dxa"/>
            <w:vAlign w:val="center"/>
          </w:tcPr>
          <w:p w14:paraId="335B537F">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是否确认了所有可能产生污染的废物和污染源</w:t>
            </w:r>
          </w:p>
        </w:tc>
        <w:tc>
          <w:tcPr>
            <w:tcW w:w="3962" w:type="dxa"/>
            <w:vAlign w:val="center"/>
          </w:tcPr>
          <w:p w14:paraId="392DAA11">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有所有可能产生的废物和污染源的清单</w:t>
            </w:r>
          </w:p>
        </w:tc>
        <w:tc>
          <w:tcPr>
            <w:tcW w:w="983" w:type="dxa"/>
            <w:vAlign w:val="center"/>
          </w:tcPr>
          <w:p w14:paraId="3AA545BB">
            <w:pPr>
              <w:pStyle w:val="22"/>
              <w:jc w:val="center"/>
              <w:rPr>
                <w:rFonts w:hint="eastAsia" w:ascii="宋体" w:hAnsi="Times New Roman" w:eastAsia="宋体" w:cs="Times New Roman"/>
                <w:color w:val="auto"/>
                <w:kern w:val="2"/>
                <w:sz w:val="18"/>
                <w:szCs w:val="20"/>
                <w:lang w:val="en-US" w:eastAsia="zh-CN" w:bidi="ar-SA"/>
              </w:rPr>
            </w:pPr>
          </w:p>
          <w:p w14:paraId="3AF728C3">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Ⅱ级</w:t>
            </w:r>
          </w:p>
        </w:tc>
      </w:tr>
      <w:tr w14:paraId="09889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2" w:type="dxa"/>
            <w:vAlign w:val="center"/>
          </w:tcPr>
          <w:p w14:paraId="06552DBB">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108</w:t>
            </w:r>
          </w:p>
        </w:tc>
        <w:tc>
          <w:tcPr>
            <w:tcW w:w="2544" w:type="dxa"/>
            <w:vAlign w:val="center"/>
          </w:tcPr>
          <w:p w14:paraId="34E7FFCF">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是否有废物和污染物管理计划，并予执行</w:t>
            </w:r>
          </w:p>
        </w:tc>
        <w:tc>
          <w:tcPr>
            <w:tcW w:w="3962" w:type="dxa"/>
            <w:vAlign w:val="center"/>
          </w:tcPr>
          <w:p w14:paraId="08CE7138">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制定并执行了全面的措施计划（包括减少废物和污染物产生、废物回收利用等）</w:t>
            </w:r>
          </w:p>
        </w:tc>
        <w:tc>
          <w:tcPr>
            <w:tcW w:w="983" w:type="dxa"/>
            <w:vAlign w:val="center"/>
          </w:tcPr>
          <w:p w14:paraId="3F62C41D">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Ⅲ级</w:t>
            </w:r>
          </w:p>
        </w:tc>
      </w:tr>
      <w:tr w14:paraId="6E846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2" w:type="dxa"/>
            <w:vAlign w:val="center"/>
          </w:tcPr>
          <w:p w14:paraId="32AA3A97">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109</w:t>
            </w:r>
          </w:p>
        </w:tc>
        <w:tc>
          <w:tcPr>
            <w:tcW w:w="2544" w:type="dxa"/>
            <w:vAlign w:val="center"/>
          </w:tcPr>
          <w:p w14:paraId="3B7B40AD">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是否及时清除了垃圾和废物</w:t>
            </w:r>
          </w:p>
        </w:tc>
        <w:tc>
          <w:tcPr>
            <w:tcW w:w="3962" w:type="dxa"/>
            <w:vAlign w:val="center"/>
          </w:tcPr>
          <w:p w14:paraId="48C0D37D">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及时清除了垃圾和废物，其堆放场所远离苹果及其储存区、未滋生病虫害</w:t>
            </w:r>
          </w:p>
        </w:tc>
        <w:tc>
          <w:tcPr>
            <w:tcW w:w="983" w:type="dxa"/>
            <w:vAlign w:val="center"/>
          </w:tcPr>
          <w:p w14:paraId="3F90578A">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Ⅰ级</w:t>
            </w:r>
          </w:p>
        </w:tc>
      </w:tr>
      <w:tr w14:paraId="310E8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2" w:type="dxa"/>
            <w:vAlign w:val="center"/>
          </w:tcPr>
          <w:p w14:paraId="2BE648D5">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110</w:t>
            </w:r>
          </w:p>
        </w:tc>
        <w:tc>
          <w:tcPr>
            <w:tcW w:w="2544" w:type="dxa"/>
            <w:vAlign w:val="center"/>
          </w:tcPr>
          <w:p w14:paraId="3883929E">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是否有足够的场所用于废物处理</w:t>
            </w:r>
          </w:p>
        </w:tc>
        <w:tc>
          <w:tcPr>
            <w:tcW w:w="3962" w:type="dxa"/>
            <w:vAlign w:val="center"/>
          </w:tcPr>
          <w:p w14:paraId="29A5B71C">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指定了垃圾和废物存放区域，并分类存放</w:t>
            </w:r>
          </w:p>
        </w:tc>
        <w:tc>
          <w:tcPr>
            <w:tcW w:w="983" w:type="dxa"/>
            <w:vAlign w:val="center"/>
          </w:tcPr>
          <w:p w14:paraId="4BB28D1D">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Ⅲ级</w:t>
            </w:r>
          </w:p>
        </w:tc>
      </w:tr>
    </w:tbl>
    <w:p w14:paraId="1E0CDEDC">
      <w:pPr>
        <w:pStyle w:val="14"/>
        <w:ind w:left="0" w:leftChars="0" w:firstLine="0" w:firstLineChars="0"/>
        <w:rPr>
          <w:color w:val="auto"/>
        </w:rPr>
      </w:pPr>
    </w:p>
    <w:p w14:paraId="4ACB0BA9">
      <w:pPr>
        <w:pStyle w:val="3"/>
        <w:spacing w:line="74" w:lineRule="exact"/>
        <w:rPr>
          <w:color w:val="auto"/>
          <w:sz w:val="6"/>
        </w:rPr>
      </w:pPr>
    </w:p>
    <w:p w14:paraId="75BAD6C6">
      <w:pPr>
        <w:pStyle w:val="18"/>
        <w:numPr>
          <w:ilvl w:val="3"/>
          <w:numId w:val="0"/>
        </w:numPr>
        <w:spacing w:before="120" w:after="120"/>
        <w:ind w:left="0" w:leftChars="0" w:firstLine="0" w:firstLineChars="0"/>
        <w:outlineLvl w:val="1"/>
        <w:rPr>
          <w:rFonts w:hint="eastAsia" w:ascii="宋体" w:hAnsi="Times New Roman" w:eastAsia="宋体" w:cs="Times New Roman"/>
          <w:color w:val="auto"/>
          <w:sz w:val="21"/>
          <w:lang w:val="en-US" w:eastAsia="zh-CN" w:bidi="ar-SA"/>
        </w:rPr>
      </w:pPr>
      <w:bookmarkStart w:id="61" w:name="_Toc1095404228"/>
      <w:r>
        <w:rPr>
          <w:rFonts w:hint="eastAsia" w:ascii="宋体" w:hAnsi="Times New Roman" w:eastAsia="宋体" w:cs="Times New Roman"/>
          <w:color w:val="auto"/>
          <w:sz w:val="21"/>
          <w:lang w:val="en-US" w:eastAsia="zh-CN" w:bidi="ar-SA"/>
        </w:rPr>
        <w:t>B.8.7  环境保护</w:t>
      </w:r>
      <w:bookmarkEnd w:id="61"/>
    </w:p>
    <w:tbl>
      <w:tblPr>
        <w:tblStyle w:val="21"/>
        <w:tblW w:w="8331" w:type="dxa"/>
        <w:tblInd w:w="-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2"/>
        <w:gridCol w:w="2544"/>
        <w:gridCol w:w="3962"/>
        <w:gridCol w:w="983"/>
      </w:tblGrid>
      <w:tr w14:paraId="325973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842" w:type="dxa"/>
            <w:vAlign w:val="center"/>
          </w:tcPr>
          <w:p w14:paraId="0A14138C">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序号</w:t>
            </w:r>
          </w:p>
        </w:tc>
        <w:tc>
          <w:tcPr>
            <w:tcW w:w="2544" w:type="dxa"/>
            <w:vAlign w:val="center"/>
          </w:tcPr>
          <w:p w14:paraId="75B69498">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控制点</w:t>
            </w:r>
          </w:p>
        </w:tc>
        <w:tc>
          <w:tcPr>
            <w:tcW w:w="3962" w:type="dxa"/>
            <w:vAlign w:val="center"/>
          </w:tcPr>
          <w:p w14:paraId="18CB1700">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符合性要求</w:t>
            </w:r>
          </w:p>
        </w:tc>
        <w:tc>
          <w:tcPr>
            <w:tcW w:w="983" w:type="dxa"/>
            <w:vAlign w:val="center"/>
          </w:tcPr>
          <w:p w14:paraId="02174092">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等级</w:t>
            </w:r>
          </w:p>
        </w:tc>
      </w:tr>
      <w:tr w14:paraId="2E8551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842" w:type="dxa"/>
            <w:vAlign w:val="center"/>
          </w:tcPr>
          <w:p w14:paraId="4EEBD667">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111</w:t>
            </w:r>
          </w:p>
        </w:tc>
        <w:tc>
          <w:tcPr>
            <w:tcW w:w="2544" w:type="dxa"/>
            <w:vAlign w:val="center"/>
          </w:tcPr>
          <w:p w14:paraId="45C075DC">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是否制定并执行了野生动植物管理和环境保护计划</w:t>
            </w:r>
          </w:p>
        </w:tc>
        <w:tc>
          <w:tcPr>
            <w:tcW w:w="3962" w:type="dxa"/>
            <w:vAlign w:val="center"/>
          </w:tcPr>
          <w:p w14:paraId="44C25F8A">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制定并执行了旨在改善栖息地和增加果园生物多样性的措施计划，内容包括病虫害综合防治知识、作物养分利用知识、拟保护的区域等</w:t>
            </w:r>
          </w:p>
        </w:tc>
        <w:tc>
          <w:tcPr>
            <w:tcW w:w="983" w:type="dxa"/>
            <w:vAlign w:val="center"/>
          </w:tcPr>
          <w:p w14:paraId="1285AC84">
            <w:pPr>
              <w:pStyle w:val="22"/>
              <w:jc w:val="center"/>
              <w:rPr>
                <w:rFonts w:hint="eastAsia" w:ascii="宋体" w:hAnsi="Times New Roman" w:eastAsia="宋体" w:cs="Times New Roman"/>
                <w:color w:val="auto"/>
                <w:kern w:val="2"/>
                <w:sz w:val="18"/>
                <w:szCs w:val="20"/>
                <w:lang w:val="en-US" w:eastAsia="zh-CN" w:bidi="ar-SA"/>
              </w:rPr>
            </w:pPr>
            <w:r>
              <w:rPr>
                <w:rFonts w:hint="eastAsia" w:ascii="宋体" w:hAnsi="Times New Roman" w:eastAsia="宋体" w:cs="Times New Roman"/>
                <w:color w:val="auto"/>
                <w:kern w:val="2"/>
                <w:sz w:val="18"/>
                <w:szCs w:val="20"/>
                <w:lang w:val="en-US" w:eastAsia="zh-CN" w:bidi="ar-SA"/>
              </w:rPr>
              <w:t>Ⅱ级</w:t>
            </w:r>
          </w:p>
        </w:tc>
      </w:tr>
    </w:tbl>
    <w:p w14:paraId="4B5741A2">
      <w:pPr>
        <w:rPr>
          <w:rFonts w:hint="eastAsia"/>
          <w:color w:val="auto"/>
        </w:rPr>
      </w:pPr>
    </w:p>
    <w:p w14:paraId="23F8FE07">
      <w:pPr>
        <w:pStyle w:val="14"/>
        <w:ind w:firstLine="0" w:firstLineChars="0"/>
        <w:jc w:val="center"/>
        <w:rPr>
          <w:color w:val="auto"/>
        </w:rPr>
      </w:pPr>
      <w:bookmarkStart w:id="62" w:name="BookMark8"/>
      <w:r>
        <w:rPr>
          <w:rFonts w:hint="eastAsia"/>
          <w:color w:val="auto"/>
        </w:rPr>
        <w:drawing>
          <wp:inline distT="0" distB="0" distL="0" distR="0">
            <wp:extent cx="1485900" cy="317500"/>
            <wp:effectExtent l="0" t="0" r="0" b="6350"/>
            <wp:docPr id="832391137" name="图片 2"/>
            <wp:cNvGraphicFramePr/>
            <a:graphic xmlns:a="http://schemas.openxmlformats.org/drawingml/2006/main">
              <a:graphicData uri="http://schemas.openxmlformats.org/drawingml/2006/picture">
                <pic:pic xmlns:pic="http://schemas.openxmlformats.org/drawingml/2006/picture">
                  <pic:nvPicPr>
                    <pic:cNvPr id="832391137" name="图片 2"/>
                    <pic:cNvPicPr/>
                  </pic:nvPicPr>
                  <pic:blipFill>
                    <a:blip r:embed="rId24">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62"/>
    </w:p>
    <w:p w14:paraId="1A6F7F2A">
      <w:pPr>
        <w:rPr>
          <w:rFonts w:hint="eastAsia"/>
          <w:color w:val="auto"/>
        </w:rPr>
      </w:pPr>
    </w:p>
    <w:sectPr>
      <w:headerReference r:id="rId18" w:type="default"/>
      <w:footerReference r:id="rId19" w:type="default"/>
      <w:pgSz w:w="11906" w:h="16838"/>
      <w:pgMar w:top="1440" w:right="1803" w:bottom="1440" w:left="1803" w:header="850" w:footer="992" w:gutter="0"/>
      <w:pgBorders>
        <w:top w:val="none" w:sz="0" w:space="0"/>
        <w:left w:val="none" w:sz="0" w:space="0"/>
        <w:bottom w:val="none" w:sz="0" w:space="0"/>
        <w:right w:val="none" w:sz="0" w:space="0"/>
      </w:pgBorders>
      <w:pgNumType w:fmt="decimal"/>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Segoe UI">
    <w:panose1 w:val="020B0502040204020203"/>
    <w:charset w:val="00"/>
    <w:family w:val="auto"/>
    <w:pitch w:val="default"/>
    <w:sig w:usb0="E10022FF" w:usb1="C000E47F" w:usb2="00000029" w:usb3="00000000" w:csb0="200001DF" w:csb1="2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2EF182">
    <w:pPr>
      <w:spacing w:line="229" w:lineRule="auto"/>
      <w:ind w:left="9085"/>
      <w:rPr>
        <w:rFonts w:ascii="宋体" w:hAnsi="宋体" w:eastAsia="宋体" w:cs="宋体"/>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D7E1E4">
                          <w:pPr>
                            <w:pStyle w:val="5"/>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28D7E1E4">
                    <w:pPr>
                      <w:pStyle w:val="5"/>
                    </w:pPr>
                    <w:r>
                      <w:fldChar w:fldCharType="begin"/>
                    </w:r>
                    <w:r>
                      <w:instrText xml:space="preserve"> PAGE  \* MERGEFORMAT </w:instrText>
                    </w:r>
                    <w:r>
                      <w:fldChar w:fldCharType="separate"/>
                    </w:r>
                    <w:r>
                      <w:t>7</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ED81CD">
    <w:pPr>
      <w:spacing w:line="229" w:lineRule="auto"/>
      <w:ind w:left="9085"/>
      <w:rPr>
        <w:rFonts w:ascii="宋体" w:hAnsi="宋体" w:eastAsia="宋体" w:cs="宋体"/>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C2E219">
                          <w:pPr>
                            <w:pStyle w:val="5"/>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BC2E219">
                    <w:pPr>
                      <w:pStyle w:val="5"/>
                    </w:pPr>
                    <w:r>
                      <w:fldChar w:fldCharType="begin"/>
                    </w:r>
                    <w:r>
                      <w:instrText xml:space="preserve"> PAGE  \* MERGEFORMAT </w:instrText>
                    </w:r>
                    <w:r>
                      <w:fldChar w:fldCharType="separate"/>
                    </w:r>
                    <w:r>
                      <w:t>7</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9A6308">
    <w:pPr>
      <w:spacing w:line="229" w:lineRule="auto"/>
      <w:ind w:left="9139"/>
      <w:rPr>
        <w:rFonts w:ascii="宋体" w:hAnsi="宋体" w:eastAsia="宋体" w:cs="宋体"/>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C6DF50">
                          <w:pPr>
                            <w:pStyle w:val="5"/>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63C6DF50">
                    <w:pPr>
                      <w:pStyle w:val="5"/>
                    </w:pPr>
                    <w:r>
                      <w:fldChar w:fldCharType="begin"/>
                    </w:r>
                    <w:r>
                      <w:instrText xml:space="preserve"> PAGE  \* MERGEFORMAT </w:instrText>
                    </w:r>
                    <w:r>
                      <w:fldChar w:fldCharType="separate"/>
                    </w:r>
                    <w:r>
                      <w:t>8</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44B72B">
    <w:pPr>
      <w:spacing w:line="230" w:lineRule="auto"/>
      <w:ind w:left="8965"/>
      <w:rPr>
        <w:rFonts w:ascii="宋体" w:hAnsi="宋体" w:eastAsia="宋体" w:cs="宋体"/>
        <w:sz w:val="18"/>
        <w:szCs w:val="18"/>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E15718">
                          <w:pPr>
                            <w:pStyle w:val="5"/>
                          </w:pPr>
                          <w:r>
                            <w:fldChar w:fldCharType="begin"/>
                          </w:r>
                          <w:r>
                            <w:instrText xml:space="preserve"> PAGE  \* MERGEFORMAT </w:instrText>
                          </w:r>
                          <w:r>
                            <w:fldChar w:fldCharType="separate"/>
                          </w:r>
                          <w:r>
                            <w:t>III</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14E15718">
                    <w:pPr>
                      <w:pStyle w:val="5"/>
                    </w:pPr>
                    <w:r>
                      <w:fldChar w:fldCharType="begin"/>
                    </w:r>
                    <w:r>
                      <w:instrText xml:space="preserve"> PAGE  \* MERGEFORMAT </w:instrText>
                    </w:r>
                    <w:r>
                      <w:fldChar w:fldCharType="separate"/>
                    </w:r>
                    <w:r>
                      <w:t>III</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F3A36B">
    <w:pPr>
      <w:spacing w:line="229" w:lineRule="auto"/>
      <w:ind w:left="9139"/>
      <w:rPr>
        <w:rFonts w:ascii="宋体" w:hAnsi="宋体" w:eastAsia="宋体" w:cs="宋体"/>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8A8F0B">
                          <w:pPr>
                            <w:pStyle w:val="5"/>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308A8F0B">
                    <w:pPr>
                      <w:pStyle w:val="5"/>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4ED6EB">
    <w:pPr>
      <w:spacing w:line="229" w:lineRule="auto"/>
      <w:ind w:left="9063"/>
      <w:rPr>
        <w:rFonts w:ascii="宋体" w:hAnsi="宋体" w:eastAsia="宋体" w:cs="宋体"/>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F2EABB">
                          <w:pPr>
                            <w:pStyle w:val="5"/>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68F2EABB">
                    <w:pPr>
                      <w:pStyle w:val="5"/>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DADD9E">
    <w:pPr>
      <w:spacing w:line="229" w:lineRule="auto"/>
      <w:ind w:left="9050"/>
      <w:rPr>
        <w:rFonts w:ascii="宋体" w:hAnsi="宋体" w:eastAsia="宋体" w:cs="宋体"/>
        <w:sz w:val="18"/>
        <w:szCs w:val="18"/>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2161B2">
                          <w:pPr>
                            <w:pStyle w:val="5"/>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4F2161B2">
                    <w:pPr>
                      <w:pStyle w:val="5"/>
                    </w:pPr>
                    <w:r>
                      <w:fldChar w:fldCharType="begin"/>
                    </w:r>
                    <w:r>
                      <w:instrText xml:space="preserve"> PAGE  \* MERGEFORMAT </w:instrText>
                    </w:r>
                    <w:r>
                      <w:fldChar w:fldCharType="separate"/>
                    </w:r>
                    <w:r>
                      <w:t>7</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EE076">
    <w:pPr>
      <w:spacing w:line="230" w:lineRule="auto"/>
      <w:ind w:left="9050"/>
      <w:rPr>
        <w:rFonts w:ascii="宋体" w:hAnsi="宋体" w:eastAsia="宋体" w:cs="宋体"/>
        <w:sz w:val="18"/>
        <w:szCs w:val="18"/>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E3727C">
                          <w:pPr>
                            <w:pStyle w:val="5"/>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3FE3727C">
                    <w:pPr>
                      <w:pStyle w:val="5"/>
                    </w:pPr>
                    <w:r>
                      <w:fldChar w:fldCharType="begin"/>
                    </w:r>
                    <w:r>
                      <w:instrText xml:space="preserve"> PAGE  \* MERGEFORMAT </w:instrText>
                    </w:r>
                    <w:r>
                      <w:fldChar w:fldCharType="separate"/>
                    </w:r>
                    <w:r>
                      <w:t>9</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1B507C">
    <w:pPr>
      <w:spacing w:line="229" w:lineRule="auto"/>
      <w:ind w:left="9003"/>
      <w:rPr>
        <w:rFonts w:ascii="宋体" w:hAnsi="宋体" w:eastAsia="宋体" w:cs="宋体"/>
        <w:sz w:val="18"/>
        <w:szCs w:val="18"/>
      </w:rP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EA98FC">
                          <w:pPr>
                            <w:pStyle w:val="5"/>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21EA98FC">
                    <w:pPr>
                      <w:pStyle w:val="5"/>
                    </w:pPr>
                    <w:r>
                      <w:fldChar w:fldCharType="begin"/>
                    </w:r>
                    <w:r>
                      <w:instrText xml:space="preserve"> PAGE  \* MERGEFORMAT </w:instrText>
                    </w:r>
                    <w:r>
                      <w:fldChar w:fldCharType="separate"/>
                    </w:r>
                    <w:r>
                      <w:t>10</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6CA290">
    <w:pPr>
      <w:spacing w:line="229" w:lineRule="auto"/>
      <w:ind w:left="9362"/>
      <w:rPr>
        <w:rFonts w:ascii="宋体" w:hAnsi="宋体" w:eastAsia="宋体" w:cs="宋体"/>
        <w:sz w:val="18"/>
        <w:szCs w:val="18"/>
      </w:rP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02B48D">
                          <w:pPr>
                            <w:pStyle w:val="5"/>
                          </w:pPr>
                          <w:r>
                            <w:fldChar w:fldCharType="begin"/>
                          </w:r>
                          <w:r>
                            <w:instrText xml:space="preserve"> PAGE  \* MERGEFORMAT </w:instrText>
                          </w:r>
                          <w:r>
                            <w:fldChar w:fldCharType="separate"/>
                          </w:r>
                          <w:r>
                            <w:t>11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4702B48D">
                    <w:pPr>
                      <w:pStyle w:val="5"/>
                    </w:pPr>
                    <w:r>
                      <w:fldChar w:fldCharType="begin"/>
                    </w:r>
                    <w:r>
                      <w:instrText xml:space="preserve"> PAGE  \* MERGEFORMAT </w:instrText>
                    </w:r>
                    <w:r>
                      <w:fldChar w:fldCharType="separate"/>
                    </w:r>
                    <w:r>
                      <w:t>11</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34CDE2">
    <w:pPr>
      <w:spacing w:line="229" w:lineRule="auto"/>
      <w:ind w:left="9153"/>
      <w:rPr>
        <w:rFonts w:ascii="宋体" w:hAnsi="宋体" w:eastAsia="宋体" w:cs="宋体"/>
        <w:sz w:val="18"/>
        <w:szCs w:val="18"/>
      </w:rPr>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5EC2B6">
                          <w:pPr>
                            <w:pStyle w:val="5"/>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405EC2B6">
                    <w:pPr>
                      <w:pStyle w:val="5"/>
                    </w:pPr>
                    <w:r>
                      <w:fldChar w:fldCharType="begin"/>
                    </w:r>
                    <w:r>
                      <w:instrText xml:space="preserve"> PAGE  \* MERGEFORMAT </w:instrText>
                    </w:r>
                    <w:r>
                      <w:fldChar w:fldCharType="separate"/>
                    </w:r>
                    <w:r>
                      <w:t>17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6F15DF">
    <w:pPr>
      <w:pStyle w:val="3"/>
      <w:spacing w:before="137" w:line="265" w:lineRule="exact"/>
      <w:jc w:val="right"/>
      <w:rPr>
        <w:sz w:val="20"/>
        <w:szCs w:val="20"/>
      </w:rPr>
    </w:pPr>
    <w:r>
      <w:rPr>
        <w:spacing w:val="6"/>
        <w:position w:val="1"/>
        <w:sz w:val="20"/>
        <w:szCs w:val="20"/>
      </w:rPr>
      <w:t>T/</w:t>
    </w:r>
    <w:r>
      <w:rPr>
        <w:position w:val="1"/>
        <w:sz w:val="20"/>
        <w:szCs w:val="20"/>
      </w:rPr>
      <w:t>DNNC</w:t>
    </w:r>
    <w:r>
      <w:rPr>
        <w:spacing w:val="6"/>
        <w:position w:val="1"/>
        <w:sz w:val="20"/>
        <w:szCs w:val="20"/>
      </w:rPr>
      <w:t xml:space="preserve"> 00</w:t>
    </w:r>
    <w:r>
      <w:rPr>
        <w:rFonts w:hint="eastAsia"/>
        <w:spacing w:val="6"/>
        <w:position w:val="1"/>
        <w:sz w:val="20"/>
        <w:szCs w:val="20"/>
        <w:lang w:val="en-US" w:eastAsia="zh-CN"/>
      </w:rPr>
      <w:t>3</w:t>
    </w:r>
    <w:r>
      <w:rPr>
        <w:rFonts w:ascii="宋体" w:hAnsi="宋体" w:eastAsia="宋体" w:cs="宋体"/>
        <w:spacing w:val="6"/>
        <w:position w:val="1"/>
        <w:sz w:val="20"/>
        <w:szCs w:val="20"/>
      </w:rPr>
      <w:t>—</w:t>
    </w:r>
    <w:r>
      <w:rPr>
        <w:spacing w:val="6"/>
        <w:position w:val="1"/>
        <w:sz w:val="20"/>
        <w:szCs w:val="20"/>
      </w:rPr>
      <w:t>2026</w:t>
    </w:r>
  </w:p>
  <w:p w14:paraId="5BDF7104">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6128BD">
    <w:pPr>
      <w:pStyle w:val="3"/>
      <w:spacing w:before="137" w:line="265" w:lineRule="exact"/>
      <w:jc w:val="right"/>
      <w:rPr>
        <w:sz w:val="20"/>
        <w:szCs w:val="20"/>
      </w:rPr>
    </w:pPr>
    <w:r>
      <w:rPr>
        <w:spacing w:val="6"/>
        <w:position w:val="1"/>
        <w:sz w:val="20"/>
        <w:szCs w:val="20"/>
      </w:rPr>
      <w:t>T/</w:t>
    </w:r>
    <w:r>
      <w:rPr>
        <w:position w:val="1"/>
        <w:sz w:val="20"/>
        <w:szCs w:val="20"/>
      </w:rPr>
      <w:t>DNNC</w:t>
    </w:r>
    <w:r>
      <w:rPr>
        <w:spacing w:val="6"/>
        <w:position w:val="1"/>
        <w:sz w:val="20"/>
        <w:szCs w:val="20"/>
      </w:rPr>
      <w:t xml:space="preserve"> 00</w:t>
    </w:r>
    <w:r>
      <w:rPr>
        <w:rFonts w:hint="eastAsia"/>
        <w:spacing w:val="6"/>
        <w:position w:val="1"/>
        <w:sz w:val="20"/>
        <w:szCs w:val="20"/>
        <w:lang w:val="en-US" w:eastAsia="zh-CN"/>
      </w:rPr>
      <w:t>3</w:t>
    </w:r>
    <w:r>
      <w:rPr>
        <w:rFonts w:ascii="宋体" w:hAnsi="宋体" w:eastAsia="宋体" w:cs="宋体"/>
        <w:spacing w:val="6"/>
        <w:position w:val="1"/>
        <w:sz w:val="20"/>
        <w:szCs w:val="20"/>
      </w:rPr>
      <w:t>—</w:t>
    </w:r>
    <w:r>
      <w:rPr>
        <w:spacing w:val="6"/>
        <w:position w:val="1"/>
        <w:sz w:val="20"/>
        <w:szCs w:val="20"/>
      </w:rPr>
      <w:t>2026</w:t>
    </w:r>
  </w:p>
  <w:p w14:paraId="7A5E02DB">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429156">
    <w:pPr>
      <w:pStyle w:val="3"/>
      <w:spacing w:before="137" w:line="265" w:lineRule="exact"/>
      <w:jc w:val="right"/>
      <w:rPr>
        <w:rFonts w:ascii="黑体" w:hAnsi="黑体" w:eastAsia="黑体" w:cs="黑体"/>
        <w:sz w:val="20"/>
        <w:szCs w:val="20"/>
      </w:rPr>
    </w:pPr>
    <w:r>
      <w:rPr>
        <w:spacing w:val="6"/>
        <w:position w:val="1"/>
        <w:sz w:val="20"/>
        <w:szCs w:val="20"/>
      </w:rPr>
      <w:t>T/</w:t>
    </w:r>
    <w:r>
      <w:rPr>
        <w:position w:val="1"/>
        <w:sz w:val="20"/>
        <w:szCs w:val="20"/>
      </w:rPr>
      <w:t>DNNC</w:t>
    </w:r>
    <w:r>
      <w:rPr>
        <w:spacing w:val="6"/>
        <w:position w:val="1"/>
        <w:sz w:val="20"/>
        <w:szCs w:val="20"/>
      </w:rPr>
      <w:t xml:space="preserve"> 00</w:t>
    </w:r>
    <w:r>
      <w:rPr>
        <w:rFonts w:hint="eastAsia"/>
        <w:spacing w:val="6"/>
        <w:position w:val="1"/>
        <w:sz w:val="20"/>
        <w:szCs w:val="20"/>
        <w:lang w:val="en-US" w:eastAsia="zh-CN"/>
      </w:rPr>
      <w:t>3</w:t>
    </w:r>
    <w:r>
      <w:rPr>
        <w:rFonts w:ascii="宋体" w:hAnsi="宋体" w:eastAsia="宋体" w:cs="宋体"/>
        <w:spacing w:val="6"/>
        <w:position w:val="1"/>
        <w:sz w:val="20"/>
        <w:szCs w:val="20"/>
      </w:rPr>
      <w:t>—</w:t>
    </w:r>
    <w:r>
      <w:rPr>
        <w:spacing w:val="6"/>
        <w:position w:val="1"/>
        <w:sz w:val="20"/>
        <w:szCs w:val="20"/>
      </w:rPr>
      <w:t>2026</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16DB5A">
    <w:pPr>
      <w:spacing w:before="54" w:line="237" w:lineRule="auto"/>
      <w:ind w:right="35"/>
      <w:jc w:val="right"/>
      <w:rPr>
        <w:rFonts w:ascii="黑体" w:hAnsi="黑体" w:eastAsia="黑体" w:cs="黑体"/>
        <w:sz w:val="20"/>
        <w:szCs w:val="20"/>
      </w:rPr>
    </w:pPr>
    <w:r>
      <w:rPr>
        <w:rFonts w:ascii="黑体" w:hAnsi="黑体" w:eastAsia="黑体" w:cs="黑体"/>
        <w:spacing w:val="6"/>
        <w:sz w:val="20"/>
        <w:szCs w:val="20"/>
      </w:rPr>
      <w:t>T/</w:t>
    </w:r>
    <w:r>
      <w:rPr>
        <w:rFonts w:ascii="黑体" w:hAnsi="黑体" w:eastAsia="黑体" w:cs="黑体"/>
        <w:sz w:val="20"/>
        <w:szCs w:val="20"/>
      </w:rPr>
      <w:t>DNNC</w:t>
    </w:r>
    <w:r>
      <w:rPr>
        <w:rFonts w:hint="eastAsia" w:ascii="黑体" w:hAnsi="黑体" w:eastAsia="黑体" w:cs="黑体"/>
        <w:sz w:val="20"/>
        <w:szCs w:val="20"/>
        <w:lang w:val="en-US" w:eastAsia="zh-CN"/>
      </w:rPr>
      <w:t xml:space="preserve"> </w:t>
    </w:r>
    <w:r>
      <w:rPr>
        <w:rFonts w:ascii="黑体" w:hAnsi="黑体" w:eastAsia="黑体" w:cs="黑体"/>
        <w:spacing w:val="6"/>
        <w:sz w:val="20"/>
        <w:szCs w:val="20"/>
      </w:rPr>
      <w:t>003</w:t>
    </w:r>
    <w:r>
      <w:rPr>
        <w:rFonts w:ascii="宋体" w:hAnsi="宋体" w:eastAsia="宋体" w:cs="宋体"/>
        <w:spacing w:val="6"/>
        <w:sz w:val="20"/>
        <w:szCs w:val="20"/>
      </w:rPr>
      <w:t>—</w:t>
    </w:r>
    <w:r>
      <w:rPr>
        <w:rFonts w:ascii="黑体" w:hAnsi="黑体" w:eastAsia="黑体" w:cs="黑体"/>
        <w:spacing w:val="6"/>
        <w:sz w:val="20"/>
        <w:szCs w:val="20"/>
      </w:rPr>
      <w:t>2026</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C4629C">
    <w:pPr>
      <w:spacing w:before="54" w:line="237" w:lineRule="auto"/>
      <w:ind w:right="10"/>
      <w:jc w:val="right"/>
      <w:rPr>
        <w:rFonts w:ascii="黑体" w:hAnsi="黑体" w:eastAsia="黑体" w:cs="黑体"/>
        <w:sz w:val="20"/>
        <w:szCs w:val="20"/>
      </w:rPr>
    </w:pPr>
    <w:r>
      <w:rPr>
        <w:rFonts w:ascii="黑体" w:hAnsi="黑体" w:eastAsia="黑体" w:cs="黑体"/>
        <w:spacing w:val="6"/>
        <w:sz w:val="20"/>
        <w:szCs w:val="20"/>
      </w:rPr>
      <w:t>T/</w:t>
    </w:r>
    <w:r>
      <w:rPr>
        <w:rFonts w:ascii="黑体" w:hAnsi="黑体" w:eastAsia="黑体" w:cs="黑体"/>
        <w:sz w:val="20"/>
        <w:szCs w:val="20"/>
      </w:rPr>
      <w:t>DNNC</w:t>
    </w:r>
    <w:r>
      <w:rPr>
        <w:rFonts w:hint="eastAsia" w:ascii="黑体" w:hAnsi="黑体" w:eastAsia="黑体" w:cs="黑体"/>
        <w:sz w:val="20"/>
        <w:szCs w:val="20"/>
        <w:lang w:val="en-US" w:eastAsia="zh-CN"/>
      </w:rPr>
      <w:t xml:space="preserve"> </w:t>
    </w:r>
    <w:r>
      <w:rPr>
        <w:rFonts w:ascii="黑体" w:hAnsi="黑体" w:eastAsia="黑体" w:cs="黑体"/>
        <w:spacing w:val="6"/>
        <w:sz w:val="20"/>
        <w:szCs w:val="20"/>
      </w:rPr>
      <w:t>003</w:t>
    </w:r>
    <w:r>
      <w:rPr>
        <w:rFonts w:ascii="宋体" w:hAnsi="宋体" w:eastAsia="宋体" w:cs="宋体"/>
        <w:spacing w:val="6"/>
        <w:sz w:val="20"/>
        <w:szCs w:val="20"/>
      </w:rPr>
      <w:t>—</w:t>
    </w:r>
    <w:r>
      <w:rPr>
        <w:rFonts w:ascii="黑体" w:hAnsi="黑体" w:eastAsia="黑体" w:cs="黑体"/>
        <w:spacing w:val="6"/>
        <w:sz w:val="20"/>
        <w:szCs w:val="20"/>
      </w:rPr>
      <w:t>2026</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EC36A5">
    <w:pPr>
      <w:spacing w:before="54" w:line="237" w:lineRule="auto"/>
      <w:ind w:right="11"/>
      <w:jc w:val="right"/>
      <w:rPr>
        <w:rFonts w:ascii="黑体" w:hAnsi="黑体" w:eastAsia="黑体" w:cs="黑体"/>
        <w:sz w:val="20"/>
        <w:szCs w:val="20"/>
      </w:rPr>
    </w:pPr>
    <w:r>
      <w:rPr>
        <w:rFonts w:ascii="黑体" w:hAnsi="黑体" w:eastAsia="黑体" w:cs="黑体"/>
        <w:spacing w:val="6"/>
        <w:sz w:val="20"/>
        <w:szCs w:val="20"/>
      </w:rPr>
      <w:t>T/</w:t>
    </w:r>
    <w:r>
      <w:rPr>
        <w:rFonts w:ascii="黑体" w:hAnsi="黑体" w:eastAsia="黑体" w:cs="黑体"/>
        <w:sz w:val="20"/>
        <w:szCs w:val="20"/>
      </w:rPr>
      <w:t>DNNC</w:t>
    </w:r>
    <w:r>
      <w:rPr>
        <w:rFonts w:hint="eastAsia" w:ascii="黑体" w:hAnsi="黑体" w:eastAsia="黑体" w:cs="黑体"/>
        <w:sz w:val="20"/>
        <w:szCs w:val="20"/>
        <w:lang w:val="en-US" w:eastAsia="zh-CN"/>
      </w:rPr>
      <w:t xml:space="preserve"> </w:t>
    </w:r>
    <w:r>
      <w:rPr>
        <w:rFonts w:ascii="黑体" w:hAnsi="黑体" w:eastAsia="黑体" w:cs="黑体"/>
        <w:spacing w:val="6"/>
        <w:sz w:val="20"/>
        <w:szCs w:val="20"/>
      </w:rPr>
      <w:t>003</w:t>
    </w:r>
    <w:r>
      <w:rPr>
        <w:rFonts w:ascii="宋体" w:hAnsi="宋体" w:eastAsia="宋体" w:cs="宋体"/>
        <w:spacing w:val="6"/>
        <w:sz w:val="20"/>
        <w:szCs w:val="20"/>
      </w:rPr>
      <w:t>—</w:t>
    </w:r>
    <w:r>
      <w:rPr>
        <w:rFonts w:ascii="黑体" w:hAnsi="黑体" w:eastAsia="黑体" w:cs="黑体"/>
        <w:spacing w:val="6"/>
        <w:sz w:val="20"/>
        <w:szCs w:val="20"/>
      </w:rPr>
      <w:t>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ED3FEA"/>
    <w:multiLevelType w:val="multilevel"/>
    <w:tmpl w:val="07ED3FEA"/>
    <w:lvl w:ilvl="0" w:tentative="0">
      <w:start w:val="1"/>
      <w:numFmt w:val="none"/>
      <w:pStyle w:val="13"/>
      <w:lvlText w:val="%1"/>
      <w:lvlJc w:val="left"/>
      <w:pPr>
        <w:ind w:left="425" w:hanging="425"/>
      </w:pPr>
      <w:rPr>
        <w:rFonts w:hint="eastAsia"/>
      </w:rPr>
    </w:lvl>
    <w:lvl w:ilvl="1" w:tentative="0">
      <w:start w:val="1"/>
      <w:numFmt w:val="decimal"/>
      <w:suff w:val="nothing"/>
      <w:lvlText w:val="%10.%2 "/>
      <w:lvlJc w:val="left"/>
      <w:pPr>
        <w:ind w:left="0" w:firstLine="0"/>
      </w:pPr>
      <w:rPr>
        <w:rFonts w:hint="eastAsia" w:ascii="黑体" w:eastAsia="黑体" w:hAnsiTheme="minorHAnsi"/>
        <w:b w:val="0"/>
        <w:i w:val="0"/>
        <w:sz w:val="21"/>
      </w:rPr>
    </w:lvl>
    <w:lvl w:ilvl="2" w:tentative="0">
      <w:start w:val="1"/>
      <w:numFmt w:val="decimal"/>
      <w:suff w:val="nothing"/>
      <w:lvlText w:val="%10.%2.%3 "/>
      <w:lvlJc w:val="left"/>
      <w:pPr>
        <w:ind w:left="0" w:firstLine="0"/>
      </w:pPr>
      <w:rPr>
        <w:rFonts w:hint="eastAsia" w:ascii="黑体" w:eastAsia="黑体" w:hAnsiTheme="minorHAnsi"/>
        <w:b w:val="0"/>
        <w:i w:val="0"/>
        <w:sz w:val="21"/>
      </w:rPr>
    </w:lvl>
    <w:lvl w:ilvl="3" w:tentative="0">
      <w:start w:val="1"/>
      <w:numFmt w:val="decimal"/>
      <w:suff w:val="nothing"/>
      <w:lvlText w:val="%10.%2.%3.%4 "/>
      <w:lvlJc w:val="left"/>
      <w:pPr>
        <w:ind w:left="0" w:firstLine="0"/>
      </w:pPr>
      <w:rPr>
        <w:rFonts w:hint="eastAsia" w:ascii="黑体" w:eastAsia="黑体" w:hAnsiTheme="minorHAnsi"/>
        <w:b w:val="0"/>
        <w:i w:val="0"/>
        <w:sz w:val="21"/>
      </w:rPr>
    </w:lvl>
    <w:lvl w:ilvl="4" w:tentative="0">
      <w:start w:val="1"/>
      <w:numFmt w:val="decimal"/>
      <w:suff w:val="nothing"/>
      <w:lvlText w:val="%10.%2.%3.%4.%5 "/>
      <w:lvlJc w:val="left"/>
      <w:pPr>
        <w:ind w:left="0" w:firstLine="0"/>
      </w:pPr>
      <w:rPr>
        <w:rFonts w:hint="eastAsia" w:ascii="黑体" w:eastAsia="黑体" w:hAnsiTheme="minorHAnsi"/>
        <w:b w:val="0"/>
        <w:i w:val="0"/>
        <w:sz w:val="21"/>
      </w:rPr>
    </w:lvl>
    <w:lvl w:ilvl="5" w:tentative="0">
      <w:start w:val="1"/>
      <w:numFmt w:val="decimal"/>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
    <w:nsid w:val="6CEA2025"/>
    <w:multiLevelType w:val="multilevel"/>
    <w:tmpl w:val="6CEA2025"/>
    <w:lvl w:ilvl="0" w:tentative="0">
      <w:start w:val="1"/>
      <w:numFmt w:val="none"/>
      <w:suff w:val="nothing"/>
      <w:lvlText w:val="%1"/>
      <w:lvlJc w:val="left"/>
      <w:pPr>
        <w:ind w:left="0" w:firstLine="0"/>
      </w:pPr>
      <w:rPr>
        <w:rFonts w:hint="eastAsia"/>
      </w:rPr>
    </w:lvl>
    <w:lvl w:ilvl="1" w:tentative="0">
      <w:start w:val="1"/>
      <w:numFmt w:val="decimal"/>
      <w:pStyle w:val="16"/>
      <w:suff w:val="nothing"/>
      <w:lvlText w:val="%1%2　"/>
      <w:lvlJc w:val="left"/>
      <w:pPr>
        <w:ind w:left="0" w:firstLine="0"/>
      </w:pPr>
      <w:rPr>
        <w:rFonts w:hint="eastAsia" w:ascii="黑体" w:eastAsia="黑体"/>
        <w:b w:val="0"/>
        <w:i w:val="0"/>
        <w:sz w:val="21"/>
      </w:rPr>
    </w:lvl>
    <w:lvl w:ilvl="2" w:tentative="0">
      <w:start w:val="1"/>
      <w:numFmt w:val="decimal"/>
      <w:pStyle w:val="17"/>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rPr>
    </w:lvl>
    <w:lvl w:ilvl="3" w:tentative="0">
      <w:start w:val="1"/>
      <w:numFmt w:val="decimal"/>
      <w:pStyle w:val="18"/>
      <w:suff w:val="nothing"/>
      <w:lvlText w:val="%1%2.%3.%4　"/>
      <w:lvlJc w:val="left"/>
      <w:pPr>
        <w:ind w:left="0" w:firstLine="0"/>
      </w:pPr>
      <w:rPr>
        <w:rFonts w:hint="eastAsia" w:ascii="黑体" w:eastAsia="黑体"/>
        <w:b w:val="0"/>
        <w:i w:val="0"/>
        <w:sz w:val="21"/>
      </w:rPr>
    </w:lvl>
    <w:lvl w:ilvl="4" w:tentative="0">
      <w:start w:val="1"/>
      <w:numFmt w:val="decimal"/>
      <w:pStyle w:val="20"/>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HorizontalSpacing w:val="210"/>
  <w:drawingGridVerticalSpacing w:val="99999990"/>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250D70"/>
    <w:rsid w:val="016025FC"/>
    <w:rsid w:val="04385F60"/>
    <w:rsid w:val="05DD235A"/>
    <w:rsid w:val="080F4113"/>
    <w:rsid w:val="082F69C0"/>
    <w:rsid w:val="093D1EC5"/>
    <w:rsid w:val="0AE64D56"/>
    <w:rsid w:val="0BA53A2D"/>
    <w:rsid w:val="0C097180"/>
    <w:rsid w:val="0E4F2180"/>
    <w:rsid w:val="0EC334E1"/>
    <w:rsid w:val="0FC8388F"/>
    <w:rsid w:val="12855B3A"/>
    <w:rsid w:val="16E91A21"/>
    <w:rsid w:val="17807DAD"/>
    <w:rsid w:val="17810C39"/>
    <w:rsid w:val="17AE4C0C"/>
    <w:rsid w:val="196455C0"/>
    <w:rsid w:val="1BC22A16"/>
    <w:rsid w:val="1BC36E51"/>
    <w:rsid w:val="1CEC0D90"/>
    <w:rsid w:val="1E3D7601"/>
    <w:rsid w:val="201400DE"/>
    <w:rsid w:val="220C222C"/>
    <w:rsid w:val="227635D6"/>
    <w:rsid w:val="22853BE0"/>
    <w:rsid w:val="23E822B1"/>
    <w:rsid w:val="24026561"/>
    <w:rsid w:val="2431606C"/>
    <w:rsid w:val="24D06840"/>
    <w:rsid w:val="25E35BBC"/>
    <w:rsid w:val="293F6B05"/>
    <w:rsid w:val="29B10373"/>
    <w:rsid w:val="2A0B6CFA"/>
    <w:rsid w:val="2C204B1E"/>
    <w:rsid w:val="2C606AFC"/>
    <w:rsid w:val="2D796670"/>
    <w:rsid w:val="2E36478B"/>
    <w:rsid w:val="2E8B0091"/>
    <w:rsid w:val="2EB91D43"/>
    <w:rsid w:val="30C16364"/>
    <w:rsid w:val="312E1520"/>
    <w:rsid w:val="32F56F27"/>
    <w:rsid w:val="334C7E7D"/>
    <w:rsid w:val="33617221"/>
    <w:rsid w:val="359226F7"/>
    <w:rsid w:val="35D112E4"/>
    <w:rsid w:val="35EFDE17"/>
    <w:rsid w:val="36063542"/>
    <w:rsid w:val="36C83C10"/>
    <w:rsid w:val="36D056BF"/>
    <w:rsid w:val="375F36B4"/>
    <w:rsid w:val="39254517"/>
    <w:rsid w:val="39890589"/>
    <w:rsid w:val="3B9A17A4"/>
    <w:rsid w:val="3F6A6789"/>
    <w:rsid w:val="404928D0"/>
    <w:rsid w:val="45AC617C"/>
    <w:rsid w:val="46B764E7"/>
    <w:rsid w:val="48E97707"/>
    <w:rsid w:val="4A7B39D0"/>
    <w:rsid w:val="4AF8490A"/>
    <w:rsid w:val="4B775B45"/>
    <w:rsid w:val="4C4332C5"/>
    <w:rsid w:val="4CC81A5D"/>
    <w:rsid w:val="4F0159F7"/>
    <w:rsid w:val="50F4691E"/>
    <w:rsid w:val="51622DF4"/>
    <w:rsid w:val="53250D70"/>
    <w:rsid w:val="55F67350"/>
    <w:rsid w:val="597731B4"/>
    <w:rsid w:val="5AE66417"/>
    <w:rsid w:val="5B7F0B63"/>
    <w:rsid w:val="5BE02886"/>
    <w:rsid w:val="5DEC6827"/>
    <w:rsid w:val="5E3749FD"/>
    <w:rsid w:val="5E4879A9"/>
    <w:rsid w:val="5E5230B5"/>
    <w:rsid w:val="607E5D1A"/>
    <w:rsid w:val="615E0106"/>
    <w:rsid w:val="646437B1"/>
    <w:rsid w:val="68AD48A9"/>
    <w:rsid w:val="6946165D"/>
    <w:rsid w:val="69E66F3D"/>
    <w:rsid w:val="6A1F745E"/>
    <w:rsid w:val="6B9C795F"/>
    <w:rsid w:val="6C103720"/>
    <w:rsid w:val="6CD133A3"/>
    <w:rsid w:val="6CEA1EDF"/>
    <w:rsid w:val="6D131C8E"/>
    <w:rsid w:val="6F656188"/>
    <w:rsid w:val="6FCD13F2"/>
    <w:rsid w:val="71C12693"/>
    <w:rsid w:val="71FB277D"/>
    <w:rsid w:val="73131D48"/>
    <w:rsid w:val="73F50910"/>
    <w:rsid w:val="74E42D18"/>
    <w:rsid w:val="74E608F1"/>
    <w:rsid w:val="75841F8D"/>
    <w:rsid w:val="75BB2BFD"/>
    <w:rsid w:val="7BBF047C"/>
    <w:rsid w:val="7EA5496F"/>
    <w:rsid w:val="7EBFA4FC"/>
    <w:rsid w:val="7F78365F"/>
    <w:rsid w:val="ABF32FC8"/>
    <w:rsid w:val="AFFF87E7"/>
    <w:rsid w:val="BB8EAB2F"/>
    <w:rsid w:val="EFBFCE38"/>
    <w:rsid w:val="F5FBB267"/>
    <w:rsid w:val="F67BC1B8"/>
    <w:rsid w:val="FDD25E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semiHidden/>
    <w:qFormat/>
    <w:uiPriority w:val="0"/>
    <w:rPr>
      <w:rFonts w:ascii="黑体" w:hAnsi="黑体" w:eastAsia="黑体" w:cs="黑体"/>
      <w:sz w:val="28"/>
      <w:szCs w:val="28"/>
      <w:lang w:val="en-US" w:eastAsia="en-US" w:bidi="ar-SA"/>
    </w:rPr>
  </w:style>
  <w:style w:type="paragraph" w:styleId="4">
    <w:name w:val="toc 3"/>
    <w:basedOn w:val="1"/>
    <w:next w:val="1"/>
    <w:qFormat/>
    <w:uiPriority w:val="0"/>
    <w:pPr>
      <w:ind w:left="840" w:leftChars="400"/>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basedOn w:val="1"/>
    <w:next w:val="1"/>
    <w:qFormat/>
    <w:uiPriority w:val="0"/>
  </w:style>
  <w:style w:type="paragraph" w:styleId="8">
    <w:name w:val="toc 2"/>
    <w:basedOn w:val="1"/>
    <w:next w:val="1"/>
    <w:qFormat/>
    <w:uiPriority w:val="0"/>
    <w:pPr>
      <w:ind w:left="420" w:leftChars="200"/>
    </w:p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paragraph" w:customStyle="1" w:styleId="13">
    <w:name w:val="标准文件_前言、引言标题"/>
    <w:next w:val="1"/>
    <w:qFormat/>
    <w:uiPriority w:val="0"/>
    <w:pPr>
      <w:numPr>
        <w:ilvl w:val="0"/>
        <w:numId w:val="1"/>
      </w:numPr>
      <w:shd w:val="clear" w:color="FFFFFF" w:fill="FFFFFF"/>
      <w:spacing w:before="480" w:afterLines="150"/>
      <w:jc w:val="center"/>
      <w:outlineLvl w:val="0"/>
    </w:pPr>
    <w:rPr>
      <w:rFonts w:ascii="黑体" w:hAnsi="Times New Roman" w:eastAsia="黑体" w:cs="Times New Roman"/>
      <w:sz w:val="32"/>
      <w:lang w:val="en-US" w:eastAsia="zh-CN" w:bidi="ar-SA"/>
    </w:rPr>
  </w:style>
  <w:style w:type="paragraph" w:customStyle="1" w:styleId="14">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5">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6">
    <w:name w:val="标准文件_章标题"/>
    <w:next w:val="14"/>
    <w:qFormat/>
    <w:uiPriority w:val="0"/>
    <w:pPr>
      <w:numPr>
        <w:ilvl w:val="1"/>
        <w:numId w:val="2"/>
      </w:numPr>
      <w:spacing w:beforeLines="100" w:afterLines="100"/>
      <w:jc w:val="both"/>
      <w:outlineLvl w:val="0"/>
    </w:pPr>
    <w:rPr>
      <w:rFonts w:ascii="黑体" w:hAnsi="Times New Roman" w:eastAsia="黑体" w:cs="Times New Roman"/>
      <w:sz w:val="21"/>
      <w:lang w:val="en-US" w:eastAsia="zh-CN" w:bidi="ar-SA"/>
    </w:rPr>
  </w:style>
  <w:style w:type="paragraph" w:customStyle="1" w:styleId="17">
    <w:name w:val="标准文件_一级条标题"/>
    <w:basedOn w:val="16"/>
    <w:next w:val="14"/>
    <w:qFormat/>
    <w:uiPriority w:val="0"/>
    <w:pPr>
      <w:numPr>
        <w:ilvl w:val="2"/>
      </w:numPr>
      <w:spacing w:beforeLines="50" w:afterLines="50"/>
      <w:outlineLvl w:val="1"/>
    </w:pPr>
  </w:style>
  <w:style w:type="paragraph" w:customStyle="1" w:styleId="18">
    <w:name w:val="标准文件_二级条标题"/>
    <w:next w:val="14"/>
    <w:qFormat/>
    <w:uiPriority w:val="0"/>
    <w:pPr>
      <w:widowControl w:val="0"/>
      <w:numPr>
        <w:ilvl w:val="3"/>
        <w:numId w:val="2"/>
      </w:numPr>
      <w:spacing w:beforeLines="50" w:afterLines="50"/>
      <w:jc w:val="both"/>
      <w:outlineLvl w:val="2"/>
    </w:pPr>
    <w:rPr>
      <w:rFonts w:ascii="黑体" w:hAnsi="Times New Roman" w:eastAsia="黑体" w:cs="Times New Roman"/>
      <w:sz w:val="21"/>
      <w:lang w:val="en-US" w:eastAsia="zh-CN" w:bidi="ar-SA"/>
    </w:rPr>
  </w:style>
  <w:style w:type="paragraph" w:customStyle="1" w:styleId="19">
    <w:name w:val="标准文件_三级无标题"/>
    <w:basedOn w:val="20"/>
    <w:qFormat/>
    <w:uiPriority w:val="0"/>
    <w:pPr>
      <w:spacing w:before="0" w:beforeLines="0" w:after="0" w:afterLines="0"/>
      <w:outlineLvl w:val="9"/>
    </w:pPr>
    <w:rPr>
      <w:rFonts w:ascii="宋体" w:eastAsia="宋体"/>
    </w:rPr>
  </w:style>
  <w:style w:type="paragraph" w:customStyle="1" w:styleId="20">
    <w:name w:val="标准文件_三级条标题"/>
    <w:basedOn w:val="18"/>
    <w:next w:val="14"/>
    <w:qFormat/>
    <w:uiPriority w:val="0"/>
    <w:pPr>
      <w:widowControl/>
      <w:numPr>
        <w:ilvl w:val="4"/>
      </w:numPr>
      <w:outlineLvl w:val="3"/>
    </w:pPr>
  </w:style>
  <w:style w:type="table" w:customStyle="1" w:styleId="21">
    <w:name w:val="Table Normal"/>
    <w:semiHidden/>
    <w:unhideWhenUsed/>
    <w:qFormat/>
    <w:uiPriority w:val="0"/>
    <w:tblPr>
      <w:tblCellMar>
        <w:top w:w="0" w:type="dxa"/>
        <w:left w:w="0" w:type="dxa"/>
        <w:bottom w:w="0" w:type="dxa"/>
        <w:right w:w="0" w:type="dxa"/>
      </w:tblCellMar>
    </w:tblPr>
  </w:style>
  <w:style w:type="paragraph" w:customStyle="1" w:styleId="22">
    <w:name w:val="Table Text"/>
    <w:basedOn w:val="1"/>
    <w:semiHidden/>
    <w:qFormat/>
    <w:uiPriority w:val="0"/>
    <w:rPr>
      <w:rFonts w:ascii="Arial" w:hAnsi="Arial" w:eastAsia="Arial" w:cs="Arial"/>
      <w:sz w:val="21"/>
      <w:szCs w:val="21"/>
      <w:lang w:val="en-US" w:eastAsia="en-US" w:bidi="ar-SA"/>
    </w:rPr>
  </w:style>
  <w:style w:type="paragraph" w:customStyle="1" w:styleId="23">
    <w:name w:val="标准文件_表格"/>
    <w:basedOn w:val="14"/>
    <w:qFormat/>
    <w:uiPriority w:val="0"/>
    <w:pPr>
      <w:ind w:firstLine="0" w:firstLineChars="0"/>
      <w:jc w:val="center"/>
    </w:pPr>
    <w:rPr>
      <w:sz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4.jpeg"/><Relationship Id="rId23" Type="http://schemas.openxmlformats.org/officeDocument/2006/relationships/image" Target="media/image3.png"/><Relationship Id="rId22" Type="http://schemas.openxmlformats.org/officeDocument/2006/relationships/image" Target="media/image2.png"/><Relationship Id="rId21" Type="http://schemas.openxmlformats.org/officeDocument/2006/relationships/image" Target="media/image1.png"/><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oter" Target="footer11.xml"/><Relationship Id="rId18" Type="http://schemas.openxmlformats.org/officeDocument/2006/relationships/header" Target="header6.xml"/><Relationship Id="rId17" Type="http://schemas.openxmlformats.org/officeDocument/2006/relationships/footer" Target="footer10.xml"/><Relationship Id="rId16" Type="http://schemas.openxmlformats.org/officeDocument/2006/relationships/header" Target="header5.xml"/><Relationship Id="rId15" Type="http://schemas.openxmlformats.org/officeDocument/2006/relationships/footer" Target="footer9.xml"/><Relationship Id="rId14" Type="http://schemas.openxmlformats.org/officeDocument/2006/relationships/header" Target="header4.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header" Target="header3.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7232</Words>
  <Characters>7778</Characters>
  <Lines>0</Lines>
  <Paragraphs>0</Paragraphs>
  <TotalTime>2</TotalTime>
  <ScaleCrop>false</ScaleCrop>
  <LinksUpToDate>false</LinksUpToDate>
  <CharactersWithSpaces>8287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2026-03-12T18:13:00Z</dcterms:created>
  <dc:creator>李亚</dc:creator>
  <cp:lastModifiedBy>无关</cp:lastModifiedBy>
  <cp:lastPrinted>2026-03-14T09:52:00Z</cp:lastPrinted>
  <dcterms:modified xsi:type="dcterms:W3CDTF">2026-07-01T01:19:27Z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1D9D5358F7904A96A96BAB411C71DAE5_13</vt:lpwstr>
  </property>
  <property fmtid="{D5CDD505-2E9C-101B-9397-08002B2CF9AE}" pid="4" name="KSOTemplateDocerSaveRecord">
    <vt:lpwstr>eyJoZGlkIjoiNDVmN2RkNDYzOGRkYjVlNzFiYjQxODZiNjkyMGZhNWQiLCJ1c2VySWQiOiI1NjMyMzQyODkifQ==</vt:lpwstr>
  </property>
</Properties>
</file>