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2"/>
          <w:szCs w:val="32"/>
        </w:rPr>
      </w:pPr>
      <w:bookmarkStart w:id="0" w:name="_GoBack"/>
      <w:bookmarkEnd w:id="0"/>
      <w:r>
        <w:rPr>
          <w:rFonts w:hint="eastAsia" w:ascii="仿宋" w:hAnsi="仿宋" w:eastAsia="仿宋"/>
          <w:sz w:val="32"/>
          <w:szCs w:val="32"/>
        </w:rPr>
        <w:t>附件4</w:t>
      </w:r>
    </w:p>
    <w:p>
      <w:pPr>
        <w:jc w:val="center"/>
        <w:rPr>
          <w:b/>
        </w:rPr>
      </w:pPr>
      <w:r>
        <w:rPr>
          <w:rFonts w:hint="eastAsia"/>
          <w:b/>
          <w:sz w:val="44"/>
          <w:szCs w:val="44"/>
        </w:rPr>
        <w:t>服务点建设暨验收标准</w:t>
      </w:r>
    </w:p>
    <w:tbl>
      <w:tblPr>
        <w:tblStyle w:val="5"/>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0"/>
        <w:gridCol w:w="943"/>
        <w:gridCol w:w="8344"/>
        <w:gridCol w:w="1134"/>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3892" w:type="dxa"/>
            <w:gridSpan w:val="5"/>
          </w:tcPr>
          <w:p>
            <w:r>
              <w:rPr>
                <w:rFonts w:hint="eastAsia" w:ascii="仿宋" w:hAnsi="仿宋" w:eastAsia="仿宋" w:cs="仿宋"/>
                <w:sz w:val="30"/>
                <w:szCs w:val="30"/>
              </w:rPr>
              <w:t>所属单位：</w:t>
            </w:r>
            <w:r>
              <w:rPr>
                <w:rFonts w:hint="eastAsia" w:ascii="仿宋" w:hAnsi="仿宋" w:eastAsia="仿宋" w:cs="仿宋"/>
                <w:sz w:val="30"/>
                <w:szCs w:val="30"/>
                <w:u w:val="single"/>
              </w:rPr>
              <w:t xml:space="preserve">          </w:t>
            </w:r>
            <w:r>
              <w:rPr>
                <w:rFonts w:hint="eastAsia" w:ascii="仿宋" w:hAnsi="仿宋" w:eastAsia="仿宋" w:cs="仿宋"/>
                <w:sz w:val="30"/>
                <w:szCs w:val="30"/>
              </w:rPr>
              <w:t>镇（乡）</w:t>
            </w:r>
            <w:r>
              <w:rPr>
                <w:rFonts w:hint="eastAsia" w:ascii="仿宋" w:hAnsi="仿宋" w:eastAsia="仿宋" w:cs="仿宋"/>
                <w:sz w:val="30"/>
                <w:szCs w:val="30"/>
                <w:u w:val="single"/>
              </w:rPr>
              <w:t xml:space="preserve">          </w:t>
            </w:r>
            <w:r>
              <w:rPr>
                <w:rFonts w:hint="eastAsia" w:ascii="仿宋" w:hAnsi="仿宋" w:eastAsia="仿宋" w:cs="仿宋"/>
                <w:sz w:val="30"/>
                <w:szCs w:val="30"/>
              </w:rPr>
              <w:t>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020" w:type="dxa"/>
            <w:vAlign w:val="center"/>
          </w:tcPr>
          <w:p>
            <w:pPr>
              <w:jc w:val="center"/>
              <w:rPr>
                <w:rFonts w:ascii="黑体" w:hAnsi="黑体" w:eastAsia="黑体" w:cs="黑体"/>
                <w:sz w:val="30"/>
                <w:szCs w:val="30"/>
              </w:rPr>
            </w:pPr>
            <w:r>
              <w:rPr>
                <w:rFonts w:hint="eastAsia" w:ascii="黑体" w:hAnsi="黑体" w:eastAsia="黑体" w:cs="黑体"/>
                <w:sz w:val="30"/>
                <w:szCs w:val="30"/>
              </w:rPr>
              <w:t>项  目</w:t>
            </w:r>
          </w:p>
        </w:tc>
        <w:tc>
          <w:tcPr>
            <w:tcW w:w="943" w:type="dxa"/>
            <w:vAlign w:val="center"/>
          </w:tcPr>
          <w:p>
            <w:pPr>
              <w:jc w:val="center"/>
              <w:rPr>
                <w:rFonts w:ascii="黑体" w:hAnsi="黑体" w:eastAsia="黑体" w:cs="黑体"/>
                <w:sz w:val="30"/>
                <w:szCs w:val="30"/>
              </w:rPr>
            </w:pPr>
            <w:r>
              <w:rPr>
                <w:rFonts w:hint="eastAsia" w:ascii="黑体" w:hAnsi="黑体" w:eastAsia="黑体" w:cs="黑体"/>
                <w:sz w:val="30"/>
                <w:szCs w:val="30"/>
              </w:rPr>
              <w:t>序号</w:t>
            </w:r>
          </w:p>
        </w:tc>
        <w:tc>
          <w:tcPr>
            <w:tcW w:w="8344" w:type="dxa"/>
            <w:vAlign w:val="center"/>
          </w:tcPr>
          <w:p>
            <w:pPr>
              <w:jc w:val="center"/>
              <w:rPr>
                <w:rFonts w:ascii="黑体" w:hAnsi="黑体" w:eastAsia="黑体" w:cs="黑体"/>
                <w:sz w:val="30"/>
                <w:szCs w:val="30"/>
              </w:rPr>
            </w:pPr>
            <w:r>
              <w:rPr>
                <w:rFonts w:hint="eastAsia" w:ascii="黑体" w:hAnsi="黑体" w:eastAsia="黑体" w:cs="黑体"/>
                <w:sz w:val="30"/>
                <w:szCs w:val="30"/>
              </w:rPr>
              <w:t>细       则</w:t>
            </w:r>
          </w:p>
        </w:tc>
        <w:tc>
          <w:tcPr>
            <w:tcW w:w="1134" w:type="dxa"/>
            <w:vAlign w:val="center"/>
          </w:tcPr>
          <w:p>
            <w:pPr>
              <w:jc w:val="center"/>
              <w:rPr>
                <w:rFonts w:ascii="黑体" w:hAnsi="黑体" w:eastAsia="黑体" w:cs="黑体"/>
                <w:sz w:val="30"/>
                <w:szCs w:val="30"/>
              </w:rPr>
            </w:pPr>
            <w:r>
              <w:rPr>
                <w:rFonts w:hint="eastAsia" w:ascii="黑体" w:hAnsi="黑体" w:eastAsia="黑体" w:cs="黑体"/>
                <w:sz w:val="30"/>
                <w:szCs w:val="30"/>
              </w:rPr>
              <w:t>分值</w:t>
            </w:r>
          </w:p>
        </w:tc>
        <w:tc>
          <w:tcPr>
            <w:tcW w:w="1451" w:type="dxa"/>
            <w:vAlign w:val="center"/>
          </w:tcPr>
          <w:p>
            <w:pPr>
              <w:jc w:val="center"/>
              <w:rPr>
                <w:rFonts w:ascii="黑体" w:hAnsi="黑体" w:eastAsia="黑体" w:cs="黑体"/>
                <w:sz w:val="30"/>
                <w:szCs w:val="30"/>
              </w:rPr>
            </w:pPr>
            <w:r>
              <w:rPr>
                <w:rFonts w:hint="eastAsia" w:ascii="黑体" w:hAnsi="黑体" w:eastAsia="黑体" w:cs="黑体"/>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020" w:type="dxa"/>
            <w:vMerge w:val="restart"/>
            <w:vAlign w:val="center"/>
          </w:tcPr>
          <w:p>
            <w:pPr>
              <w:jc w:val="center"/>
              <w:rPr>
                <w:rFonts w:ascii="仿宋" w:hAnsi="仿宋" w:eastAsia="仿宋" w:cs="仿宋"/>
                <w:sz w:val="28"/>
                <w:szCs w:val="28"/>
              </w:rPr>
            </w:pPr>
          </w:p>
          <w:p>
            <w:pPr>
              <w:spacing w:line="400" w:lineRule="exact"/>
              <w:jc w:val="center"/>
              <w:rPr>
                <w:rFonts w:ascii="仿宋" w:hAnsi="仿宋" w:eastAsia="仿宋" w:cs="仿宋"/>
                <w:sz w:val="28"/>
                <w:szCs w:val="28"/>
              </w:rPr>
            </w:pPr>
            <w:r>
              <w:rPr>
                <w:rFonts w:hint="eastAsia" w:ascii="仿宋" w:hAnsi="仿宋" w:eastAsia="仿宋" w:cs="仿宋"/>
                <w:sz w:val="28"/>
                <w:szCs w:val="28"/>
              </w:rPr>
              <w:t>一、基础设施     （25）</w:t>
            </w: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1</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有固定的办公场所和基本的办公家具。</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020" w:type="dxa"/>
            <w:vMerge w:val="continue"/>
            <w:vAlign w:val="center"/>
          </w:tcPr>
          <w:p>
            <w:pPr>
              <w:jc w:val="center"/>
              <w:rPr>
                <w:rFonts w:ascii="仿宋" w:hAnsi="仿宋" w:eastAsia="仿宋" w:cs="仿宋"/>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2</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有电脑、自助设备，并接入互联网络。（自助设备仅要求行政村和社区配置）</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020" w:type="dxa"/>
            <w:vMerge w:val="continue"/>
            <w:vAlign w:val="center"/>
          </w:tcPr>
          <w:p>
            <w:pPr>
              <w:jc w:val="center"/>
              <w:rPr>
                <w:rFonts w:ascii="仿宋" w:hAnsi="仿宋" w:eastAsia="仿宋" w:cs="仿宋"/>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3</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有公示服务事项和办理流程的渠道和载体。</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5</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20" w:type="dxa"/>
            <w:vMerge w:val="restart"/>
            <w:vAlign w:val="center"/>
          </w:tcPr>
          <w:p>
            <w:pPr>
              <w:jc w:val="center"/>
              <w:rPr>
                <w:rFonts w:ascii="仿宋" w:hAnsi="仿宋" w:eastAsia="仿宋" w:cs="仿宋"/>
                <w:sz w:val="28"/>
                <w:szCs w:val="28"/>
              </w:rPr>
            </w:pPr>
          </w:p>
          <w:p>
            <w:pPr>
              <w:spacing w:line="400" w:lineRule="exact"/>
              <w:jc w:val="center"/>
              <w:rPr>
                <w:rFonts w:ascii="仿宋" w:hAnsi="仿宋" w:eastAsia="仿宋" w:cs="仿宋"/>
                <w:sz w:val="28"/>
                <w:szCs w:val="28"/>
              </w:rPr>
            </w:pPr>
            <w:r>
              <w:rPr>
                <w:rFonts w:hint="eastAsia" w:ascii="仿宋" w:hAnsi="仿宋" w:eastAsia="仿宋" w:cs="仿宋"/>
                <w:sz w:val="28"/>
                <w:szCs w:val="28"/>
              </w:rPr>
              <w:t>二、人员配备  （25）</w:t>
            </w: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4</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配备至少一名负责就业社保业务的专兼职工作人员，确保就业社保业务有人负责。</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20" w:type="dxa"/>
            <w:vMerge w:val="continue"/>
            <w:vAlign w:val="center"/>
          </w:tcPr>
          <w:p>
            <w:pPr>
              <w:jc w:val="center"/>
              <w:rPr>
                <w:rFonts w:ascii="仿宋" w:hAnsi="仿宋" w:eastAsia="仿宋" w:cs="仿宋"/>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5</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工作人员完成登陆就业社保服务信息系统权限申请。</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5</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020" w:type="dxa"/>
            <w:vMerge w:val="continue"/>
            <w:vAlign w:val="center"/>
          </w:tcPr>
          <w:p>
            <w:pPr>
              <w:jc w:val="center"/>
              <w:rPr>
                <w:rFonts w:ascii="仿宋" w:hAnsi="仿宋" w:eastAsia="仿宋" w:cs="仿宋"/>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6</w:t>
            </w:r>
          </w:p>
        </w:tc>
        <w:tc>
          <w:tcPr>
            <w:tcW w:w="8344" w:type="dxa"/>
          </w:tcPr>
          <w:p>
            <w:pPr>
              <w:spacing w:line="440" w:lineRule="exact"/>
              <w:rPr>
                <w:rFonts w:ascii="仿宋" w:hAnsi="仿宋" w:eastAsia="仿宋" w:cs="仿宋"/>
                <w:sz w:val="28"/>
                <w:szCs w:val="28"/>
              </w:rPr>
            </w:pPr>
            <w:r>
              <w:rPr>
                <w:rFonts w:hint="eastAsia" w:ascii="仿宋" w:hAnsi="仿宋" w:eastAsia="仿宋" w:cs="仿宋"/>
                <w:w w:val="80"/>
                <w:sz w:val="28"/>
                <w:szCs w:val="28"/>
              </w:rPr>
              <w:t>工作人员参加了培训，并能掌握就业社保服务信息系统基本操作，了解基层开展就业社保业务的基本内容。</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020" w:type="dxa"/>
            <w:vMerge w:val="restart"/>
            <w:vAlign w:val="center"/>
          </w:tcPr>
          <w:p>
            <w:pPr>
              <w:jc w:val="center"/>
              <w:rPr>
                <w:rFonts w:ascii="仿宋" w:hAnsi="仿宋" w:eastAsia="仿宋" w:cs="仿宋"/>
                <w:sz w:val="28"/>
                <w:szCs w:val="28"/>
              </w:rPr>
            </w:pPr>
          </w:p>
          <w:p>
            <w:pPr>
              <w:spacing w:line="400" w:lineRule="exact"/>
              <w:jc w:val="center"/>
              <w:rPr>
                <w:rFonts w:ascii="仿宋" w:hAnsi="仿宋" w:eastAsia="仿宋" w:cs="仿宋"/>
                <w:sz w:val="28"/>
                <w:szCs w:val="28"/>
              </w:rPr>
            </w:pPr>
            <w:r>
              <w:rPr>
                <w:rFonts w:hint="eastAsia" w:ascii="仿宋" w:hAnsi="仿宋" w:eastAsia="仿宋" w:cs="仿宋"/>
                <w:sz w:val="28"/>
                <w:szCs w:val="28"/>
              </w:rPr>
              <w:t>三、开展业务  （25）</w:t>
            </w: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7</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按照省统一规定的业务内容和办理流程开展业务。</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020" w:type="dxa"/>
            <w:vMerge w:val="continue"/>
            <w:vAlign w:val="center"/>
          </w:tcPr>
          <w:p>
            <w:pPr>
              <w:jc w:val="center"/>
              <w:rPr>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8</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使用省统一的公共服务平台办理业务。</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5</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020" w:type="dxa"/>
            <w:vMerge w:val="continue"/>
            <w:vAlign w:val="center"/>
          </w:tcPr>
          <w:p>
            <w:pPr>
              <w:jc w:val="center"/>
              <w:rPr>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9</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通过微信工作群或张贴海报等形式对外宣传基层办理就业社保业务相关内容。</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vAlign w:val="center"/>
          </w:tcPr>
          <w:p>
            <w:pPr>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2020" w:type="dxa"/>
            <w:vMerge w:val="restart"/>
            <w:vAlign w:val="center"/>
          </w:tcPr>
          <w:p>
            <w:pPr>
              <w:spacing w:line="400" w:lineRule="exact"/>
              <w:jc w:val="center"/>
              <w:rPr>
                <w:rFonts w:ascii="仿宋" w:hAnsi="仿宋" w:eastAsia="仿宋" w:cs="仿宋"/>
                <w:sz w:val="28"/>
                <w:szCs w:val="28"/>
              </w:rPr>
            </w:pPr>
            <w:r>
              <w:rPr>
                <w:rFonts w:hint="eastAsia" w:ascii="仿宋" w:hAnsi="仿宋" w:eastAsia="仿宋" w:cs="仿宋"/>
                <w:sz w:val="28"/>
                <w:szCs w:val="28"/>
              </w:rPr>
              <w:t>四、制度建设 （25)</w:t>
            </w: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8344" w:type="dxa"/>
            <w:vAlign w:val="center"/>
          </w:tcPr>
          <w:p>
            <w:pPr>
              <w:rPr>
                <w:rFonts w:ascii="仿宋" w:hAnsi="仿宋" w:eastAsia="仿宋" w:cs="仿宋"/>
                <w:sz w:val="28"/>
                <w:szCs w:val="28"/>
              </w:rPr>
            </w:pPr>
            <w:r>
              <w:rPr>
                <w:rFonts w:hint="eastAsia" w:ascii="仿宋" w:hAnsi="仿宋" w:eastAsia="仿宋" w:cs="仿宋"/>
                <w:w w:val="80"/>
                <w:sz w:val="28"/>
                <w:szCs w:val="28"/>
              </w:rPr>
              <w:t>与县人社部门签订《合作协议》。</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15</w:t>
            </w:r>
          </w:p>
        </w:tc>
        <w:tc>
          <w:tcPr>
            <w:tcW w:w="1451" w:type="dxa"/>
          </w:tcPr>
          <w:p>
            <w:pP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020" w:type="dxa"/>
            <w:vMerge w:val="continue"/>
            <w:vAlign w:val="center"/>
          </w:tcPr>
          <w:p>
            <w:pPr>
              <w:jc w:val="center"/>
              <w:rPr>
                <w:rFonts w:ascii="仿宋" w:hAnsi="仿宋" w:eastAsia="仿宋" w:cs="仿宋"/>
                <w:sz w:val="28"/>
                <w:szCs w:val="28"/>
              </w:rPr>
            </w:pPr>
          </w:p>
        </w:tc>
        <w:tc>
          <w:tcPr>
            <w:tcW w:w="943" w:type="dxa"/>
            <w:vAlign w:val="center"/>
          </w:tcPr>
          <w:p>
            <w:pPr>
              <w:jc w:val="center"/>
              <w:rPr>
                <w:rFonts w:ascii="仿宋" w:hAnsi="仿宋" w:eastAsia="仿宋" w:cs="仿宋"/>
                <w:sz w:val="28"/>
                <w:szCs w:val="28"/>
              </w:rPr>
            </w:pPr>
            <w:r>
              <w:rPr>
                <w:rFonts w:hint="eastAsia" w:ascii="仿宋" w:hAnsi="仿宋" w:eastAsia="仿宋" w:cs="仿宋"/>
                <w:sz w:val="28"/>
                <w:szCs w:val="28"/>
              </w:rPr>
              <w:t>11</w:t>
            </w:r>
          </w:p>
        </w:tc>
        <w:tc>
          <w:tcPr>
            <w:tcW w:w="8344" w:type="dxa"/>
            <w:vAlign w:val="center"/>
          </w:tcPr>
          <w:p>
            <w:pPr>
              <w:spacing w:line="440" w:lineRule="exact"/>
              <w:rPr>
                <w:rFonts w:ascii="仿宋" w:hAnsi="仿宋" w:eastAsia="仿宋" w:cs="仿宋"/>
                <w:sz w:val="28"/>
                <w:szCs w:val="28"/>
              </w:rPr>
            </w:pPr>
            <w:r>
              <w:rPr>
                <w:rFonts w:hint="eastAsia" w:ascii="仿宋" w:hAnsi="仿宋" w:eastAsia="仿宋" w:cs="仿宋"/>
                <w:w w:val="80"/>
                <w:sz w:val="28"/>
                <w:szCs w:val="28"/>
              </w:rPr>
              <w:t>落实国家人社部规定，实行首问负责制、全程代理制、一次性告知制和责任追究制。做到办事程序公开、办事依据公开、办事时限公开、办事结果公开。</w:t>
            </w:r>
          </w:p>
        </w:tc>
        <w:tc>
          <w:tcPr>
            <w:tcW w:w="1134" w:type="dxa"/>
            <w:vAlign w:val="center"/>
          </w:tcPr>
          <w:p>
            <w:pPr>
              <w:jc w:val="center"/>
              <w:rPr>
                <w:rFonts w:ascii="仿宋" w:hAnsi="仿宋" w:eastAsia="仿宋" w:cs="仿宋"/>
                <w:sz w:val="28"/>
                <w:szCs w:val="28"/>
              </w:rPr>
            </w:pPr>
            <w:r>
              <w:rPr>
                <w:rFonts w:hint="eastAsia" w:ascii="仿宋" w:hAnsi="仿宋" w:eastAsia="仿宋" w:cs="仿宋"/>
                <w:sz w:val="28"/>
                <w:szCs w:val="28"/>
              </w:rPr>
              <w:t>10</w:t>
            </w:r>
          </w:p>
        </w:tc>
        <w:tc>
          <w:tcPr>
            <w:tcW w:w="1451" w:type="dxa"/>
          </w:tcPr>
          <w:p>
            <w:pP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13892" w:type="dxa"/>
            <w:gridSpan w:val="5"/>
          </w:tcPr>
          <w:p>
            <w:pPr>
              <w:ind w:firstLine="896" w:firstLineChars="400"/>
              <w:rPr>
                <w:rFonts w:ascii="仿宋" w:hAnsi="仿宋" w:eastAsia="仿宋" w:cs="仿宋"/>
                <w:w w:val="80"/>
                <w:sz w:val="28"/>
                <w:szCs w:val="28"/>
              </w:rPr>
            </w:pPr>
          </w:p>
          <w:p>
            <w:pPr>
              <w:ind w:firstLine="896" w:firstLineChars="400"/>
              <w:rPr>
                <w:rFonts w:ascii="仿宋" w:hAnsi="仿宋" w:eastAsia="仿宋" w:cs="仿宋"/>
                <w:w w:val="80"/>
                <w:sz w:val="28"/>
                <w:szCs w:val="28"/>
                <w:u w:val="single"/>
              </w:rPr>
            </w:pPr>
            <w:r>
              <w:rPr>
                <w:rFonts w:hint="eastAsia" w:ascii="仿宋" w:hAnsi="仿宋" w:eastAsia="仿宋" w:cs="仿宋"/>
                <w:w w:val="80"/>
                <w:sz w:val="28"/>
                <w:szCs w:val="28"/>
              </w:rPr>
              <w:t>验收单位：县人社局                  验收人签字 ：                     验收日期：</w:t>
            </w:r>
          </w:p>
          <w:p>
            <w:pPr>
              <w:ind w:firstLine="7840" w:firstLineChars="2800"/>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3892" w:type="dxa"/>
            <w:gridSpan w:val="5"/>
          </w:tcPr>
          <w:p>
            <w:pPr>
              <w:ind w:firstLine="448" w:firstLineChars="200"/>
              <w:rPr>
                <w:rFonts w:ascii="仿宋" w:hAnsi="仿宋" w:eastAsia="仿宋" w:cs="仿宋"/>
                <w:sz w:val="28"/>
                <w:szCs w:val="28"/>
              </w:rPr>
            </w:pPr>
            <w:r>
              <w:rPr>
                <w:rFonts w:hint="eastAsia" w:ascii="仿宋" w:hAnsi="仿宋" w:eastAsia="仿宋" w:cs="仿宋"/>
                <w:w w:val="80"/>
                <w:sz w:val="28"/>
                <w:szCs w:val="28"/>
              </w:rPr>
              <w:t>该附件作为基层就业社保服务点建设使用，同时作为对基层就业社保服务点建设验收的依据。</w:t>
            </w:r>
          </w:p>
        </w:tc>
      </w:tr>
    </w:tbl>
    <w:p>
      <w:pPr>
        <w:rPr>
          <w:rFonts w:ascii="仿宋" w:hAnsi="仿宋" w:eastAsia="仿宋" w:cs="仿宋"/>
          <w:w w:val="80"/>
          <w:sz w:val="28"/>
          <w:szCs w:val="28"/>
        </w:rPr>
      </w:pPr>
    </w:p>
    <w:sectPr>
      <w:pgSz w:w="16838" w:h="11906" w:orient="landscape"/>
      <w:pgMar w:top="1588" w:right="1474" w:bottom="1134" w:left="147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YjhiYWY2YjkzODQ0NDA0ZTEzN2M5M2UyNThhZmIifQ=="/>
  </w:docVars>
  <w:rsids>
    <w:rsidRoot w:val="002702E8"/>
    <w:rsid w:val="00261890"/>
    <w:rsid w:val="002702E8"/>
    <w:rsid w:val="0036296F"/>
    <w:rsid w:val="003F17F4"/>
    <w:rsid w:val="004373AA"/>
    <w:rsid w:val="00523476"/>
    <w:rsid w:val="00681A0B"/>
    <w:rsid w:val="006D5C18"/>
    <w:rsid w:val="00717A20"/>
    <w:rsid w:val="007A2109"/>
    <w:rsid w:val="00AD48CA"/>
    <w:rsid w:val="00CF77B8"/>
    <w:rsid w:val="1E322840"/>
    <w:rsid w:val="25F7199C"/>
    <w:rsid w:val="54B05DDC"/>
    <w:rsid w:val="FF6F8E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99</Words>
  <Characters>567</Characters>
  <Lines>4</Lines>
  <Paragraphs>1</Paragraphs>
  <TotalTime>55</TotalTime>
  <ScaleCrop>false</ScaleCrop>
  <LinksUpToDate>false</LinksUpToDate>
  <CharactersWithSpaces>665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2024-03-15T08:17:00Z</dcterms:created>
  <dc:creator>Administrator</dc:creator>
  <cp:lastModifiedBy>greatwall</cp:lastModifiedBy>
  <cp:lastPrinted>2024-03-21T20:57:00Z</cp:lastPrinted>
  <dcterms:modified xsi:type="dcterms:W3CDTF">2024-06-20T15:22:42Z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7DEE9F4823424E4C8A60A64E4C7DE61B_12</vt:lpwstr>
  </property>
</Properties>
</file>