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133D1">
      <w:pPr>
        <w:spacing w:before="142" w:line="196" w:lineRule="auto"/>
        <w:ind w:left="4295"/>
        <w:rPr>
          <w:rFonts w:ascii="Times New Roman" w:hAnsi="Times New Roman" w:eastAsia="Times New Roman" w:cs="Times New Roman"/>
          <w:sz w:val="95"/>
          <w:szCs w:val="95"/>
        </w:rPr>
      </w:pPr>
      <w:r>
        <w:rPr>
          <w:rFonts w:ascii="Times New Roman" w:hAnsi="Times New Roman" w:eastAsia="Times New Roman" w:cs="Times New Roman"/>
          <w:position w:val="2"/>
          <w:sz w:val="95"/>
          <w:szCs w:val="95"/>
        </w:rPr>
        <w:drawing>
          <wp:inline distT="0" distB="0" distL="0" distR="0">
            <wp:extent cx="589280" cy="435610"/>
            <wp:effectExtent l="0" t="0" r="127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589788" cy="435864"/>
                    </a:xfrm>
                    <a:prstGeom prst="rect">
                      <a:avLst/>
                    </a:prstGeom>
                  </pic:spPr>
                </pic:pic>
              </a:graphicData>
            </a:graphic>
          </wp:inline>
        </w:drawing>
      </w:r>
      <w:r>
        <w:rPr>
          <w:rFonts w:ascii="Times New Roman" w:hAnsi="Times New Roman" w:eastAsia="Times New Roman" w:cs="Times New Roman"/>
          <w:b/>
          <w:bCs/>
          <w:spacing w:val="78"/>
          <w:w w:val="125"/>
          <w:sz w:val="95"/>
          <w:szCs w:val="95"/>
        </w:rPr>
        <w:t>DNNC</w:t>
      </w:r>
    </w:p>
    <w:p w14:paraId="6241D9CB">
      <w:pPr>
        <w:pStyle w:val="3"/>
        <w:spacing w:before="139" w:line="226" w:lineRule="auto"/>
        <w:jc w:val="distribute"/>
        <w:rPr>
          <w:sz w:val="51"/>
          <w:szCs w:val="51"/>
        </w:rPr>
      </w:pPr>
      <w:r>
        <w:rPr>
          <w:spacing w:val="-10"/>
          <w:sz w:val="51"/>
          <w:szCs w:val="51"/>
        </w:rPr>
        <w:t>大 宁 县 果 业 协 会 团 体 标 准</w:t>
      </w:r>
    </w:p>
    <w:p w14:paraId="07BA83D5">
      <w:pPr>
        <w:pStyle w:val="3"/>
        <w:spacing w:before="251" w:line="237" w:lineRule="auto"/>
        <w:ind w:left="7127"/>
      </w:pPr>
      <w:r>
        <w:rPr>
          <w:spacing w:val="-1"/>
        </w:rPr>
        <w:t>T/DNNC 001—2026</w:t>
      </w:r>
    </w:p>
    <w:p w14:paraId="1D2627D2">
      <w:pPr>
        <w:spacing w:line="246" w:lineRule="auto"/>
        <w:rPr>
          <w:rFonts w:ascii="Arial"/>
          <w:sz w:val="21"/>
        </w:rPr>
      </w:pPr>
    </w:p>
    <w:p w14:paraId="7C0AB469">
      <w:pPr>
        <w:spacing w:line="246" w:lineRule="auto"/>
        <w:rPr>
          <w:rFonts w:ascii="Arial"/>
          <w:sz w:val="21"/>
        </w:rPr>
      </w:pPr>
    </w:p>
    <w:p w14:paraId="41024253">
      <w:pPr>
        <w:spacing w:line="246" w:lineRule="auto"/>
        <w:rPr>
          <w:rFonts w:ascii="Arial"/>
          <w:sz w:val="21"/>
        </w:rPr>
      </w:pPr>
      <w:r>
        <w:drawing>
          <wp:anchor distT="0" distB="0" distL="0" distR="0" simplePos="0" relativeHeight="251660288" behindDoc="0" locked="0" layoutInCell="1" allowOverlap="1">
            <wp:simplePos x="0" y="0"/>
            <wp:positionH relativeFrom="column">
              <wp:posOffset>0</wp:posOffset>
            </wp:positionH>
            <wp:positionV relativeFrom="paragraph">
              <wp:posOffset>80010</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6120129" cy="9525"/>
                    </a:xfrm>
                    <a:prstGeom prst="rect">
                      <a:avLst/>
                    </a:prstGeom>
                  </pic:spPr>
                </pic:pic>
              </a:graphicData>
            </a:graphic>
          </wp:anchor>
        </w:drawing>
      </w:r>
    </w:p>
    <w:p w14:paraId="33FC7DB7">
      <w:pPr>
        <w:spacing w:line="246" w:lineRule="auto"/>
        <w:rPr>
          <w:rFonts w:ascii="Arial"/>
          <w:sz w:val="21"/>
        </w:rPr>
      </w:pPr>
    </w:p>
    <w:p w14:paraId="294A498B">
      <w:pPr>
        <w:spacing w:line="246" w:lineRule="auto"/>
        <w:rPr>
          <w:rFonts w:ascii="Arial"/>
          <w:sz w:val="21"/>
        </w:rPr>
      </w:pPr>
    </w:p>
    <w:p w14:paraId="05E9A316">
      <w:pPr>
        <w:spacing w:line="246" w:lineRule="auto"/>
        <w:rPr>
          <w:rFonts w:ascii="Arial"/>
          <w:sz w:val="21"/>
        </w:rPr>
      </w:pPr>
    </w:p>
    <w:p w14:paraId="43B42B2A">
      <w:pPr>
        <w:spacing w:line="246" w:lineRule="auto"/>
        <w:rPr>
          <w:rFonts w:ascii="Arial"/>
          <w:sz w:val="21"/>
        </w:rPr>
      </w:pPr>
    </w:p>
    <w:p w14:paraId="7F866C5C">
      <w:pPr>
        <w:spacing w:line="246" w:lineRule="auto"/>
        <w:rPr>
          <w:rFonts w:ascii="Arial"/>
          <w:sz w:val="21"/>
        </w:rPr>
      </w:pPr>
    </w:p>
    <w:p w14:paraId="4A1DC2A5">
      <w:pPr>
        <w:spacing w:line="246" w:lineRule="auto"/>
        <w:rPr>
          <w:rFonts w:ascii="Arial"/>
          <w:sz w:val="21"/>
        </w:rPr>
      </w:pPr>
    </w:p>
    <w:p w14:paraId="2F3680B1">
      <w:pPr>
        <w:spacing w:line="247" w:lineRule="auto"/>
        <w:rPr>
          <w:rFonts w:ascii="Arial"/>
          <w:sz w:val="21"/>
        </w:rPr>
      </w:pPr>
    </w:p>
    <w:p w14:paraId="0A10C019">
      <w:pPr>
        <w:spacing w:line="247" w:lineRule="auto"/>
        <w:rPr>
          <w:rFonts w:ascii="Arial"/>
          <w:sz w:val="21"/>
        </w:rPr>
      </w:pPr>
    </w:p>
    <w:p w14:paraId="5B1244BA">
      <w:pPr>
        <w:pStyle w:val="3"/>
        <w:spacing w:before="169" w:line="221" w:lineRule="auto"/>
        <w:ind w:left="1716"/>
        <w:rPr>
          <w:sz w:val="52"/>
          <w:szCs w:val="52"/>
        </w:rPr>
      </w:pPr>
      <w:r>
        <w:rPr>
          <w:spacing w:val="-2"/>
          <w:sz w:val="52"/>
          <w:szCs w:val="52"/>
        </w:rPr>
        <w:t>大宁宁粹苹果</w:t>
      </w:r>
      <w:r>
        <w:rPr>
          <w:rFonts w:hint="eastAsia"/>
          <w:spacing w:val="-2"/>
          <w:sz w:val="52"/>
          <w:szCs w:val="52"/>
          <w:lang w:val="en-US" w:eastAsia="zh-CN"/>
        </w:rPr>
        <w:t>质量</w:t>
      </w:r>
      <w:r>
        <w:rPr>
          <w:spacing w:val="-2"/>
          <w:sz w:val="52"/>
          <w:szCs w:val="52"/>
        </w:rPr>
        <w:t>分级标准</w:t>
      </w:r>
    </w:p>
    <w:p w14:paraId="0DFD2E6B">
      <w:pPr>
        <w:spacing w:before="330" w:line="181" w:lineRule="auto"/>
        <w:ind w:left="2014"/>
        <w:rPr>
          <w:rFonts w:ascii="Segoe UI" w:hAnsi="Segoe UI" w:eastAsia="Segoe UI" w:cs="Segoe UI"/>
          <w:color w:val="0D0D0D"/>
          <w:spacing w:val="-2"/>
          <w:sz w:val="28"/>
          <w:szCs w:val="28"/>
          <w14:textFill>
            <w14:solidFill>
              <w14:srgbClr w14:val="0D0D0D">
                <w14:alpha w14:val="784"/>
              </w14:srgbClr>
            </w14:solidFill>
          </w14:textFill>
        </w:rPr>
      </w:pPr>
      <w:r>
        <w:rPr>
          <w:rFonts w:ascii="Segoe UI" w:hAnsi="Segoe UI" w:eastAsia="Segoe UI" w:cs="Segoe UI"/>
          <w:color w:val="0D0D0D"/>
          <w:spacing w:val="-2"/>
          <w:sz w:val="28"/>
          <w:szCs w:val="28"/>
          <w14:textFill>
            <w14:solidFill>
              <w14:srgbClr w14:val="0D0D0D">
                <w14:alpha w14:val="784"/>
              </w14:srgbClr>
            </w14:solidFill>
          </w14:textFill>
        </w:rPr>
        <w:t>Daning Pure Apple Quality Grading Standards</w:t>
      </w:r>
    </w:p>
    <w:p w14:paraId="030D83D5">
      <w:pPr>
        <w:spacing w:before="330" w:line="181" w:lineRule="auto"/>
        <w:ind w:left="2014"/>
        <w:rPr>
          <w:rFonts w:ascii="Segoe UI" w:hAnsi="Segoe UI" w:eastAsia="Segoe UI" w:cs="Segoe UI"/>
          <w:color w:val="0D0D0D"/>
          <w:spacing w:val="-2"/>
          <w:sz w:val="28"/>
          <w:szCs w:val="28"/>
          <w14:textFill>
            <w14:solidFill>
              <w14:srgbClr w14:val="0D0D0D">
                <w14:alpha w14:val="784"/>
              </w14:srgbClr>
            </w14:solidFill>
          </w14:textFill>
        </w:rPr>
      </w:pPr>
    </w:p>
    <w:p w14:paraId="5BA892BD">
      <w:pPr>
        <w:spacing w:line="243" w:lineRule="auto"/>
        <w:rPr>
          <w:rFonts w:ascii="Arial"/>
          <w:sz w:val="21"/>
        </w:rPr>
      </w:pPr>
    </w:p>
    <w:p w14:paraId="23E3D9F1">
      <w:pPr>
        <w:spacing w:line="243" w:lineRule="auto"/>
        <w:rPr>
          <w:rFonts w:ascii="Arial"/>
          <w:sz w:val="21"/>
        </w:rPr>
      </w:pPr>
    </w:p>
    <w:p w14:paraId="7F737203">
      <w:pPr>
        <w:spacing w:line="243" w:lineRule="auto"/>
        <w:rPr>
          <w:rFonts w:ascii="Arial"/>
          <w:sz w:val="21"/>
        </w:rPr>
      </w:pPr>
    </w:p>
    <w:p w14:paraId="50534F6D">
      <w:pPr>
        <w:spacing w:line="243" w:lineRule="auto"/>
        <w:rPr>
          <w:rFonts w:ascii="Arial"/>
          <w:sz w:val="21"/>
        </w:rPr>
      </w:pPr>
    </w:p>
    <w:p w14:paraId="743C2805">
      <w:pPr>
        <w:spacing w:line="243" w:lineRule="auto"/>
        <w:rPr>
          <w:rFonts w:ascii="Arial"/>
          <w:sz w:val="21"/>
        </w:rPr>
      </w:pPr>
    </w:p>
    <w:p w14:paraId="411B91E4">
      <w:pPr>
        <w:spacing w:line="243" w:lineRule="auto"/>
        <w:rPr>
          <w:rFonts w:ascii="Arial"/>
          <w:sz w:val="21"/>
        </w:rPr>
      </w:pPr>
    </w:p>
    <w:p w14:paraId="56FBE45F">
      <w:pPr>
        <w:spacing w:line="243" w:lineRule="auto"/>
        <w:rPr>
          <w:rFonts w:ascii="Arial"/>
          <w:sz w:val="21"/>
        </w:rPr>
      </w:pPr>
    </w:p>
    <w:p w14:paraId="70B2654A">
      <w:pPr>
        <w:spacing w:line="243" w:lineRule="auto"/>
        <w:rPr>
          <w:rFonts w:ascii="Arial"/>
          <w:sz w:val="21"/>
        </w:rPr>
      </w:pPr>
    </w:p>
    <w:p w14:paraId="454E5B4F">
      <w:pPr>
        <w:spacing w:line="243" w:lineRule="auto"/>
        <w:rPr>
          <w:rFonts w:ascii="Arial"/>
          <w:sz w:val="21"/>
        </w:rPr>
      </w:pPr>
    </w:p>
    <w:p w14:paraId="4265F5DE">
      <w:pPr>
        <w:spacing w:line="244" w:lineRule="auto"/>
        <w:rPr>
          <w:rFonts w:ascii="Arial"/>
          <w:sz w:val="21"/>
        </w:rPr>
      </w:pPr>
    </w:p>
    <w:p w14:paraId="4F06519E">
      <w:pPr>
        <w:spacing w:line="244" w:lineRule="auto"/>
        <w:rPr>
          <w:rFonts w:ascii="Arial"/>
          <w:sz w:val="21"/>
        </w:rPr>
      </w:pPr>
    </w:p>
    <w:p w14:paraId="6413CF56">
      <w:pPr>
        <w:spacing w:line="244" w:lineRule="auto"/>
        <w:rPr>
          <w:rFonts w:ascii="Arial"/>
          <w:sz w:val="21"/>
        </w:rPr>
      </w:pPr>
    </w:p>
    <w:p w14:paraId="7EE4F6B3">
      <w:pPr>
        <w:spacing w:line="244" w:lineRule="auto"/>
        <w:rPr>
          <w:rFonts w:ascii="Arial"/>
          <w:sz w:val="21"/>
        </w:rPr>
      </w:pPr>
    </w:p>
    <w:p w14:paraId="52C6FDB9">
      <w:pPr>
        <w:spacing w:line="244" w:lineRule="auto"/>
        <w:rPr>
          <w:rFonts w:ascii="Arial"/>
          <w:sz w:val="21"/>
        </w:rPr>
      </w:pPr>
    </w:p>
    <w:p w14:paraId="2E655AA5">
      <w:pPr>
        <w:spacing w:line="244" w:lineRule="auto"/>
        <w:rPr>
          <w:rFonts w:ascii="Arial"/>
          <w:sz w:val="21"/>
        </w:rPr>
      </w:pPr>
    </w:p>
    <w:p w14:paraId="7129732D">
      <w:pPr>
        <w:spacing w:line="244" w:lineRule="auto"/>
        <w:rPr>
          <w:rFonts w:ascii="Arial"/>
          <w:sz w:val="21"/>
        </w:rPr>
      </w:pPr>
    </w:p>
    <w:p w14:paraId="13063FC9">
      <w:pPr>
        <w:spacing w:line="244" w:lineRule="auto"/>
        <w:rPr>
          <w:rFonts w:ascii="Arial"/>
          <w:sz w:val="21"/>
        </w:rPr>
      </w:pPr>
    </w:p>
    <w:p w14:paraId="4B5F67A4">
      <w:pPr>
        <w:spacing w:line="244" w:lineRule="auto"/>
        <w:rPr>
          <w:rFonts w:ascii="Arial"/>
          <w:sz w:val="21"/>
        </w:rPr>
      </w:pPr>
    </w:p>
    <w:p w14:paraId="6DED8DCA">
      <w:pPr>
        <w:spacing w:line="244" w:lineRule="auto"/>
        <w:rPr>
          <w:rFonts w:ascii="Arial"/>
          <w:sz w:val="21"/>
        </w:rPr>
      </w:pPr>
    </w:p>
    <w:p w14:paraId="033F8B7D">
      <w:pPr>
        <w:spacing w:line="244" w:lineRule="auto"/>
        <w:rPr>
          <w:rFonts w:ascii="Arial"/>
          <w:sz w:val="21"/>
        </w:rPr>
      </w:pPr>
    </w:p>
    <w:p w14:paraId="69DA4A41">
      <w:pPr>
        <w:spacing w:line="244" w:lineRule="auto"/>
        <w:rPr>
          <w:rFonts w:ascii="Arial"/>
          <w:sz w:val="21"/>
        </w:rPr>
      </w:pPr>
    </w:p>
    <w:p w14:paraId="7CE2B456">
      <w:pPr>
        <w:spacing w:line="244" w:lineRule="auto"/>
        <w:rPr>
          <w:rFonts w:ascii="Arial"/>
          <w:sz w:val="21"/>
        </w:rPr>
      </w:pPr>
    </w:p>
    <w:p w14:paraId="42CA8C0B">
      <w:pPr>
        <w:spacing w:line="244" w:lineRule="auto"/>
        <w:rPr>
          <w:rFonts w:ascii="Arial"/>
          <w:sz w:val="21"/>
        </w:rPr>
      </w:pPr>
    </w:p>
    <w:p w14:paraId="75B15171">
      <w:pPr>
        <w:spacing w:line="244" w:lineRule="auto"/>
        <w:rPr>
          <w:rFonts w:ascii="Arial"/>
          <w:sz w:val="21"/>
        </w:rPr>
      </w:pPr>
    </w:p>
    <w:p w14:paraId="7D929D0A">
      <w:pPr>
        <w:spacing w:line="244" w:lineRule="auto"/>
        <w:rPr>
          <w:rFonts w:ascii="Arial"/>
          <w:sz w:val="21"/>
        </w:rPr>
      </w:pPr>
    </w:p>
    <w:p w14:paraId="2FFB065B">
      <w:pPr>
        <w:pStyle w:val="3"/>
        <w:spacing w:before="91" w:line="222" w:lineRule="auto"/>
        <w:jc w:val="right"/>
      </w:pPr>
      <w:r>
        <w:rPr>
          <w:spacing w:val="-3"/>
        </w:rPr>
        <w:t>2026</w:t>
      </w:r>
      <w:r>
        <w:rPr>
          <w:spacing w:val="-64"/>
        </w:rPr>
        <w:t xml:space="preserve"> </w:t>
      </w:r>
      <w:r>
        <w:rPr>
          <w:spacing w:val="-3"/>
        </w:rPr>
        <w:t>-</w:t>
      </w:r>
      <w:r>
        <w:rPr>
          <w:rFonts w:hint="eastAsia"/>
          <w:spacing w:val="-60"/>
          <w:lang w:val="en-US" w:eastAsia="zh-CN"/>
        </w:rPr>
        <w:t>6</w:t>
      </w:r>
      <w:r>
        <w:rPr>
          <w:spacing w:val="-64"/>
        </w:rPr>
        <w:t xml:space="preserve"> </w:t>
      </w:r>
      <w:r>
        <w:rPr>
          <w:spacing w:val="-3"/>
        </w:rPr>
        <w:t>-</w:t>
      </w:r>
      <w:r>
        <w:rPr>
          <w:rFonts w:hint="eastAsia"/>
          <w:spacing w:val="-3"/>
          <w:lang w:val="en-US" w:eastAsia="zh-CN"/>
        </w:rPr>
        <w:t>30</w:t>
      </w:r>
      <w:r>
        <w:rPr>
          <w:spacing w:val="-56"/>
        </w:rPr>
        <w:t xml:space="preserve"> </w:t>
      </w:r>
      <w:r>
        <w:rPr>
          <w:spacing w:val="-3"/>
        </w:rPr>
        <w:t xml:space="preserve">发布           </w:t>
      </w:r>
      <w:r>
        <w:rPr>
          <w:spacing w:val="-4"/>
        </w:rPr>
        <w:t xml:space="preserve">                              2026</w:t>
      </w:r>
      <w:r>
        <w:rPr>
          <w:spacing w:val="-64"/>
        </w:rPr>
        <w:t xml:space="preserve"> </w:t>
      </w:r>
      <w:r>
        <w:rPr>
          <w:spacing w:val="-4"/>
        </w:rPr>
        <w:t>-</w:t>
      </w:r>
      <w:r>
        <w:rPr>
          <w:rFonts w:hint="eastAsia"/>
          <w:spacing w:val="-61"/>
          <w:lang w:val="en-US" w:eastAsia="zh-CN"/>
        </w:rPr>
        <w:t xml:space="preserve">7 </w:t>
      </w:r>
      <w:r>
        <w:rPr>
          <w:spacing w:val="-4"/>
        </w:rPr>
        <w:t>-</w:t>
      </w:r>
      <w:r>
        <w:rPr>
          <w:rFonts w:hint="eastAsia"/>
          <w:spacing w:val="-4"/>
          <w:lang w:val="en-US" w:eastAsia="zh-CN"/>
        </w:rPr>
        <w:t>10</w:t>
      </w:r>
      <w:r>
        <w:rPr>
          <w:spacing w:val="-4"/>
        </w:rPr>
        <w:t>实施</w:t>
      </w:r>
    </w:p>
    <w:p w14:paraId="46CD106E">
      <w:pPr>
        <w:spacing w:line="252" w:lineRule="auto"/>
        <w:rPr>
          <w:rFonts w:ascii="Arial"/>
          <w:sz w:val="21"/>
        </w:rPr>
      </w:pPr>
      <w:r>
        <w:drawing>
          <wp:anchor distT="0" distB="0" distL="0" distR="0" simplePos="0" relativeHeight="251661312" behindDoc="0" locked="0" layoutInCell="1" allowOverlap="1">
            <wp:simplePos x="0" y="0"/>
            <wp:positionH relativeFrom="column">
              <wp:posOffset>0</wp:posOffset>
            </wp:positionH>
            <wp:positionV relativeFrom="paragraph">
              <wp:posOffset>6350</wp:posOffset>
            </wp:positionV>
            <wp:extent cx="6120130"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6120129" cy="9525"/>
                    </a:xfrm>
                    <a:prstGeom prst="rect">
                      <a:avLst/>
                    </a:prstGeom>
                  </pic:spPr>
                </pic:pic>
              </a:graphicData>
            </a:graphic>
          </wp:anchor>
        </w:drawing>
      </w:r>
    </w:p>
    <w:p w14:paraId="660C547F">
      <w:pPr>
        <w:spacing w:line="253" w:lineRule="auto"/>
        <w:rPr>
          <w:rFonts w:ascii="Arial"/>
          <w:sz w:val="21"/>
        </w:rPr>
      </w:pPr>
    </w:p>
    <w:p w14:paraId="42E5C8D0">
      <w:pPr>
        <w:spacing w:line="253" w:lineRule="auto"/>
        <w:rPr>
          <w:rFonts w:ascii="Arial"/>
          <w:sz w:val="21"/>
        </w:rPr>
      </w:pPr>
      <w:bookmarkStart w:id="39" w:name="_GoBack"/>
      <w:bookmarkEnd w:id="39"/>
    </w:p>
    <w:p w14:paraId="0D0F3F72">
      <w:pPr>
        <w:pStyle w:val="3"/>
        <w:spacing w:before="91" w:line="222" w:lineRule="auto"/>
        <w:ind w:left="3131"/>
      </w:pPr>
      <w:r>
        <w:rPr>
          <w:spacing w:val="-1"/>
        </w:rPr>
        <w:t>大宁县果业协会    发</w:t>
      </w:r>
      <w:r>
        <w:rPr>
          <w:spacing w:val="42"/>
        </w:rPr>
        <w:t xml:space="preserve"> </w:t>
      </w:r>
      <w:r>
        <w:rPr>
          <w:spacing w:val="-1"/>
        </w:rPr>
        <w:t>布</w:t>
      </w:r>
    </w:p>
    <w:p w14:paraId="72342BD2">
      <w:pPr>
        <w:spacing w:line="222" w:lineRule="auto"/>
        <w:sectPr>
          <w:pgSz w:w="11906" w:h="16839"/>
          <w:pgMar w:top="1215" w:right="820" w:bottom="0" w:left="1417" w:header="0" w:footer="0" w:gutter="0"/>
          <w:pgNumType w:fmt="decimal"/>
          <w:cols w:space="720" w:num="1"/>
        </w:sectPr>
      </w:pPr>
    </w:p>
    <w:p w14:paraId="52366471">
      <w:pPr>
        <w:pStyle w:val="11"/>
        <w:numPr>
          <w:ilvl w:val="0"/>
          <w:numId w:val="0"/>
        </w:numPr>
        <w:shd w:val="clear" w:color="FFFFFF" w:fill="FFFFFF"/>
        <w:spacing w:after="360"/>
        <w:ind w:leftChars="0"/>
        <w:jc w:val="center"/>
        <w:rPr>
          <w:rFonts w:hint="default"/>
          <w:spacing w:val="320"/>
          <w:lang w:val="en-US" w:eastAsia="zh-CN"/>
        </w:rPr>
      </w:pPr>
      <w:bookmarkStart w:id="0" w:name="_Toc12454"/>
      <w:r>
        <w:rPr>
          <w:rFonts w:hint="eastAsia"/>
          <w:spacing w:val="320"/>
          <w:lang w:val="en-US" w:eastAsia="zh-CN"/>
        </w:rPr>
        <w:t>前言</w:t>
      </w:r>
      <w:bookmarkEnd w:id="0"/>
    </w:p>
    <w:p w14:paraId="276871EF">
      <w:pPr>
        <w:pStyle w:val="12"/>
        <w:ind w:firstLine="420"/>
        <w:rPr>
          <w:rFonts w:hint="eastAsia"/>
        </w:rPr>
      </w:pPr>
      <w:r>
        <w:rPr>
          <w:rFonts w:hint="eastAsia"/>
        </w:rPr>
        <w:t>本文件按照GB/T</w:t>
      </w:r>
      <w:r>
        <w:rPr>
          <w:rFonts w:hint="eastAsia"/>
          <w:lang w:val="en-US" w:eastAsia="zh-CN"/>
        </w:rPr>
        <w:t xml:space="preserve"> </w:t>
      </w:r>
      <w:r>
        <w:rPr>
          <w:rFonts w:hint="eastAsia"/>
        </w:rPr>
        <w:t>1.1—2020《标准化工作导则第1部分：标准化文件的结构和起草规则》的规定起草。</w:t>
      </w:r>
    </w:p>
    <w:p w14:paraId="1DCDF53F">
      <w:pPr>
        <w:pStyle w:val="12"/>
        <w:ind w:firstLine="420"/>
        <w:rPr>
          <w:rFonts w:hint="eastAsia"/>
        </w:rPr>
      </w:pPr>
      <w:r>
        <w:rPr>
          <w:rFonts w:hint="eastAsia"/>
        </w:rPr>
        <w:t>本文件起草单位：大宁县果业协会、大宁县农业农村局、大宁县现代农业发展中心、山西农业大学（大宁）苹果产业研究院、山西宁脆果业有限公司、山西省宁脆苹果专业合作社联合社。</w:t>
      </w:r>
    </w:p>
    <w:p w14:paraId="5A3DDC81">
      <w:pPr>
        <w:pStyle w:val="12"/>
        <w:ind w:firstLine="420"/>
        <w:rPr>
          <w:rFonts w:hint="eastAsia"/>
        </w:rPr>
      </w:pPr>
      <w:r>
        <w:rPr>
          <w:rFonts w:hint="eastAsia"/>
        </w:rPr>
        <w:t>本文件主要起草人：渠瑞平、马红宁、王林冲、杨廷桢、李帅、马旭平。</w:t>
      </w:r>
    </w:p>
    <w:p w14:paraId="18938555">
      <w:pPr>
        <w:pStyle w:val="12"/>
        <w:ind w:firstLine="420"/>
        <w:rPr>
          <w:rFonts w:hint="eastAsia"/>
        </w:rPr>
      </w:pPr>
      <w:r>
        <w:rPr>
          <w:rFonts w:hint="eastAsia"/>
        </w:rPr>
        <w:t>本文件为首次发布。</w:t>
      </w:r>
    </w:p>
    <w:p w14:paraId="5C932F44">
      <w:pPr>
        <w:rPr>
          <w:rFonts w:hint="eastAsia"/>
        </w:rPr>
        <w:sectPr>
          <w:headerReference r:id="rId3" w:type="default"/>
          <w:footerReference r:id="rId4" w:type="default"/>
          <w:pgSz w:w="11906" w:h="16838"/>
          <w:pgMar w:top="1440" w:right="1803" w:bottom="1440" w:left="1803" w:header="851" w:footer="992" w:gutter="0"/>
          <w:pgNumType w:fmt="upperRoman" w:start="1"/>
          <w:cols w:space="0" w:num="1"/>
          <w:rtlGutter w:val="0"/>
          <w:docGrid w:type="lines" w:linePitch="312" w:charSpace="0"/>
        </w:sectPr>
      </w:pPr>
      <w:r>
        <w:rPr>
          <w:rFonts w:hint="eastAsia"/>
        </w:rPr>
        <w:br w:type="page"/>
      </w:r>
    </w:p>
    <w:p w14:paraId="34AA19A7">
      <w:pPr>
        <w:rPr>
          <w:rFonts w:hint="eastAsia"/>
        </w:rPr>
      </w:pPr>
    </w:p>
    <w:p w14:paraId="73AD806C">
      <w:pPr>
        <w:pStyle w:val="11"/>
        <w:shd w:val="clear" w:color="FFFFFF" w:fill="FFFFFF"/>
        <w:spacing w:after="360"/>
        <w:rPr>
          <w:rFonts w:hint="eastAsia"/>
          <w:spacing w:val="320"/>
          <w:lang w:val="en-US" w:eastAsia="zh-CN"/>
        </w:rPr>
      </w:pPr>
      <w:bookmarkStart w:id="1" w:name="_Toc19213"/>
      <w:r>
        <w:rPr>
          <w:rFonts w:hint="eastAsia"/>
          <w:spacing w:val="320"/>
          <w:lang w:val="en-US" w:eastAsia="zh-CN"/>
        </w:rPr>
        <w:t>引言</w:t>
      </w:r>
      <w:bookmarkEnd w:id="1"/>
    </w:p>
    <w:p w14:paraId="26949F02">
      <w:pPr>
        <w:pStyle w:val="12"/>
        <w:ind w:firstLine="420"/>
        <w:rPr>
          <w:rFonts w:hint="eastAsia"/>
        </w:rPr>
      </w:pPr>
      <w:r>
        <w:rPr>
          <w:rFonts w:hint="eastAsia"/>
        </w:rPr>
        <w:t>本文件规定了大宁县区域内宁粹苹果产品质量安全及等级要求，是大宁宁粹苹果区域公用品牌建设的指导依据；</w:t>
      </w:r>
    </w:p>
    <w:p w14:paraId="0849E317">
      <w:pPr>
        <w:pStyle w:val="12"/>
        <w:ind w:firstLine="420"/>
        <w:rPr>
          <w:rFonts w:hint="eastAsia"/>
        </w:rPr>
      </w:pPr>
      <w:r>
        <w:rPr>
          <w:rFonts w:hint="eastAsia"/>
        </w:rPr>
        <w:t>本文件旨在实现普及相关国家标准、行业标准及地方标准，为大宁宁粹苹果分级管理选择合适的标准，推行标准化、生态化生产，转变农业生产方式，保障农产品质量安全；建立区域性良好的农产品消费环境氛围，引导消费者对于大宁宁粹苹果分级的主动认知与查询；强化联农带农机制，拓宽农民增收渠道，切实让果农共享产业发展红利，让农民真正受益。</w:t>
      </w:r>
    </w:p>
    <w:p w14:paraId="3781E798">
      <w:pPr>
        <w:pStyle w:val="12"/>
        <w:ind w:firstLine="420"/>
        <w:rPr>
          <w:rFonts w:hint="eastAsia"/>
        </w:rPr>
      </w:pPr>
      <w:r>
        <w:rPr>
          <w:rFonts w:hint="eastAsia"/>
        </w:rPr>
        <w:t>本文件引领特色农业实现品牌化发展，展现大宁特色农产品的生态和可持续发展、农业生产标准化和示范带动作用、质量安全追溯监管职责，提升品牌价值，实现农业的标准化生产、生态化发展、可持续发展。</w:t>
      </w:r>
    </w:p>
    <w:p w14:paraId="1F1212E5">
      <w:pPr>
        <w:pStyle w:val="13"/>
        <w:spacing w:before="2" w:beforeLines="1" w:after="528" w:afterLines="220"/>
        <w:rPr>
          <w:rFonts w:hint="eastAsia"/>
        </w:rPr>
      </w:pPr>
    </w:p>
    <w:p w14:paraId="68578368">
      <w:pPr>
        <w:pStyle w:val="13"/>
        <w:spacing w:before="2" w:beforeLines="1" w:after="528" w:afterLines="220"/>
        <w:rPr>
          <w:rFonts w:hint="eastAsia"/>
        </w:rPr>
        <w:sectPr>
          <w:footerReference r:id="rId5" w:type="default"/>
          <w:pgSz w:w="11906" w:h="16838"/>
          <w:pgMar w:top="1440" w:right="1803" w:bottom="1440" w:left="1803" w:header="851" w:footer="992" w:gutter="0"/>
          <w:pgNumType w:fmt="upperRoman" w:start="2"/>
          <w:cols w:space="0" w:num="1"/>
          <w:rtlGutter w:val="0"/>
          <w:docGrid w:type="lines" w:linePitch="312" w:charSpace="0"/>
        </w:sectPr>
      </w:pPr>
    </w:p>
    <w:sdt>
      <w:sdtPr>
        <w:rPr>
          <w:rFonts w:ascii="宋体" w:hAnsi="宋体" w:eastAsia="宋体" w:cstheme="minorBidi"/>
          <w:b/>
          <w:bCs/>
          <w:kern w:val="2"/>
          <w:sz w:val="32"/>
          <w:szCs w:val="40"/>
          <w:lang w:val="en-US" w:eastAsia="zh-CN" w:bidi="ar-SA"/>
        </w:rPr>
        <w:id w:val="147461296"/>
        <w15:color w:val="DBDBDB"/>
        <w:docPartObj>
          <w:docPartGallery w:val="Table of Contents"/>
          <w:docPartUnique/>
        </w:docPartObj>
      </w:sdtPr>
      <w:sdtEndPr>
        <w:rPr>
          <w:rFonts w:ascii="宋体" w:hAnsi="宋体" w:eastAsia="宋体" w:cstheme="minorBidi"/>
          <w:b/>
          <w:bCs/>
          <w:kern w:val="2"/>
          <w:sz w:val="28"/>
          <w:szCs w:val="36"/>
          <w:lang w:val="en-US" w:eastAsia="zh-CN" w:bidi="ar-SA"/>
        </w:rPr>
      </w:sdtEndPr>
      <w:sdtContent>
        <w:p w14:paraId="2A90FB73">
          <w:pPr>
            <w:spacing w:before="0" w:beforeLines="0" w:after="0" w:afterLines="0" w:line="240" w:lineRule="auto"/>
            <w:ind w:left="0" w:leftChars="0" w:right="0" w:rightChars="0" w:firstLine="0" w:firstLineChars="0"/>
            <w:jc w:val="center"/>
            <w:rPr>
              <w:rFonts w:hint="eastAsia" w:eastAsia="宋体"/>
              <w:b/>
              <w:bCs/>
              <w:sz w:val="32"/>
              <w:szCs w:val="40"/>
              <w:lang w:eastAsia="zh-CN"/>
            </w:rPr>
          </w:pPr>
          <w:r>
            <w:rPr>
              <w:rFonts w:ascii="宋体" w:hAnsi="宋体" w:eastAsia="宋体"/>
              <w:b/>
              <w:bCs/>
              <w:sz w:val="32"/>
              <w:szCs w:val="40"/>
            </w:rPr>
            <w:t>目</w:t>
          </w:r>
          <w:r>
            <w:rPr>
              <w:rFonts w:hint="eastAsia" w:ascii="宋体" w:hAnsi="宋体" w:eastAsia="宋体"/>
              <w:b/>
              <w:bCs/>
              <w:sz w:val="32"/>
              <w:szCs w:val="40"/>
              <w:lang w:val="en-US" w:eastAsia="zh-CN"/>
            </w:rPr>
            <w:t xml:space="preserve"> 次</w:t>
          </w:r>
        </w:p>
        <w:p w14:paraId="1B9E6448">
          <w:pPr>
            <w:pStyle w:val="6"/>
            <w:tabs>
              <w:tab w:val="right" w:leader="dot" w:pos="8300"/>
            </w:tabs>
          </w:pPr>
          <w:r>
            <w:fldChar w:fldCharType="begin"/>
          </w:r>
          <w:r>
            <w:instrText xml:space="preserve">TOC \o "1-2" \h \u </w:instrText>
          </w:r>
          <w:r>
            <w:fldChar w:fldCharType="separate"/>
          </w:r>
          <w:r>
            <w:fldChar w:fldCharType="begin"/>
          </w:r>
          <w:r>
            <w:instrText xml:space="preserve"> HYPERLINK \l _Toc12454 </w:instrText>
          </w:r>
          <w:r>
            <w:fldChar w:fldCharType="separate"/>
          </w:r>
          <w:r>
            <w:rPr>
              <w:rFonts w:hint="eastAsia"/>
              <w:spacing w:val="320"/>
              <w:lang w:val="en-US" w:eastAsia="zh-CN"/>
            </w:rPr>
            <w:t>前言</w:t>
          </w:r>
          <w:r>
            <w:tab/>
          </w:r>
          <w:r>
            <w:fldChar w:fldCharType="begin"/>
          </w:r>
          <w:r>
            <w:instrText xml:space="preserve"> PAGEREF _Toc12454 \h </w:instrText>
          </w:r>
          <w:r>
            <w:fldChar w:fldCharType="separate"/>
          </w:r>
          <w:r>
            <w:t>I</w:t>
          </w:r>
          <w:r>
            <w:fldChar w:fldCharType="end"/>
          </w:r>
          <w:r>
            <w:fldChar w:fldCharType="end"/>
          </w:r>
        </w:p>
        <w:p w14:paraId="0FD23606">
          <w:pPr>
            <w:pStyle w:val="6"/>
            <w:tabs>
              <w:tab w:val="right" w:leader="dot" w:pos="8300"/>
            </w:tabs>
          </w:pPr>
          <w:r>
            <w:fldChar w:fldCharType="begin"/>
          </w:r>
          <w:r>
            <w:instrText xml:space="preserve"> HYPERLINK \l _Toc19213 </w:instrText>
          </w:r>
          <w:r>
            <w:fldChar w:fldCharType="separate"/>
          </w:r>
          <w:r>
            <w:rPr>
              <w:rFonts w:hint="eastAsia"/>
              <w:spacing w:val="320"/>
              <w:lang w:val="en-US" w:eastAsia="zh-CN"/>
            </w:rPr>
            <w:t>引言</w:t>
          </w:r>
          <w:r>
            <w:tab/>
          </w:r>
          <w:r>
            <w:fldChar w:fldCharType="begin"/>
          </w:r>
          <w:r>
            <w:instrText xml:space="preserve"> PAGEREF _Toc19213 \h </w:instrText>
          </w:r>
          <w:r>
            <w:fldChar w:fldCharType="separate"/>
          </w:r>
          <w:r>
            <w:t>II</w:t>
          </w:r>
          <w:r>
            <w:fldChar w:fldCharType="end"/>
          </w:r>
          <w:r>
            <w:fldChar w:fldCharType="end"/>
          </w:r>
        </w:p>
        <w:p w14:paraId="1ADA7049">
          <w:pPr>
            <w:pStyle w:val="6"/>
            <w:tabs>
              <w:tab w:val="right" w:leader="dot" w:pos="8300"/>
            </w:tabs>
          </w:pPr>
          <w:r>
            <w:fldChar w:fldCharType="begin"/>
          </w:r>
          <w:r>
            <w:instrText xml:space="preserve"> HYPERLINK \l _Toc25218 </w:instrText>
          </w:r>
          <w:r>
            <w:fldChar w:fldCharType="separate"/>
          </w:r>
          <w:r>
            <w:rPr>
              <w:rFonts w:hint="eastAsia" w:ascii="黑体" w:eastAsia="黑体"/>
              <w:i w:val="0"/>
            </w:rPr>
            <w:t xml:space="preserve">1 </w:t>
          </w:r>
          <w:r>
            <w:rPr>
              <w:rFonts w:hint="eastAsia"/>
            </w:rPr>
            <w:t>范围</w:t>
          </w:r>
          <w:r>
            <w:tab/>
          </w:r>
          <w:r>
            <w:fldChar w:fldCharType="begin"/>
          </w:r>
          <w:r>
            <w:instrText xml:space="preserve"> PAGEREF _Toc25218 \h </w:instrText>
          </w:r>
          <w:r>
            <w:fldChar w:fldCharType="separate"/>
          </w:r>
          <w:r>
            <w:t>1</w:t>
          </w:r>
          <w:r>
            <w:fldChar w:fldCharType="end"/>
          </w:r>
          <w:r>
            <w:fldChar w:fldCharType="end"/>
          </w:r>
        </w:p>
        <w:p w14:paraId="02B593A7">
          <w:pPr>
            <w:pStyle w:val="6"/>
            <w:tabs>
              <w:tab w:val="right" w:leader="dot" w:pos="8300"/>
            </w:tabs>
          </w:pPr>
          <w:r>
            <w:fldChar w:fldCharType="begin"/>
          </w:r>
          <w:r>
            <w:instrText xml:space="preserve"> HYPERLINK \l _Toc25554 </w:instrText>
          </w:r>
          <w:r>
            <w:fldChar w:fldCharType="separate"/>
          </w:r>
          <w:r>
            <w:rPr>
              <w:rFonts w:hint="eastAsia" w:ascii="黑体" w:eastAsia="黑体"/>
              <w:i w:val="0"/>
            </w:rPr>
            <w:t xml:space="preserve">2 </w:t>
          </w:r>
          <w:r>
            <w:rPr>
              <w:rFonts w:hint="eastAsia"/>
            </w:rPr>
            <w:t>规范性引用文件</w:t>
          </w:r>
          <w:r>
            <w:tab/>
          </w:r>
          <w:r>
            <w:fldChar w:fldCharType="begin"/>
          </w:r>
          <w:r>
            <w:instrText xml:space="preserve"> PAGEREF _Toc25554 \h </w:instrText>
          </w:r>
          <w:r>
            <w:fldChar w:fldCharType="separate"/>
          </w:r>
          <w:r>
            <w:t>1</w:t>
          </w:r>
          <w:r>
            <w:fldChar w:fldCharType="end"/>
          </w:r>
          <w:r>
            <w:fldChar w:fldCharType="end"/>
          </w:r>
        </w:p>
        <w:p w14:paraId="298B04AC">
          <w:pPr>
            <w:pStyle w:val="6"/>
            <w:tabs>
              <w:tab w:val="right" w:leader="dot" w:pos="8300"/>
            </w:tabs>
          </w:pPr>
          <w:r>
            <w:fldChar w:fldCharType="begin"/>
          </w:r>
          <w:r>
            <w:instrText xml:space="preserve"> HYPERLINK \l _Toc21958 </w:instrText>
          </w:r>
          <w:r>
            <w:fldChar w:fldCharType="separate"/>
          </w:r>
          <w:r>
            <w:rPr>
              <w:rFonts w:hint="eastAsia" w:ascii="黑体" w:eastAsia="黑体"/>
              <w:i w:val="0"/>
            </w:rPr>
            <w:t xml:space="preserve">3 </w:t>
          </w:r>
          <w:r>
            <w:rPr>
              <w:rFonts w:hint="eastAsia"/>
            </w:rPr>
            <w:t>术语和定义</w:t>
          </w:r>
          <w:r>
            <w:tab/>
          </w:r>
          <w:r>
            <w:fldChar w:fldCharType="begin"/>
          </w:r>
          <w:r>
            <w:instrText xml:space="preserve"> PAGEREF _Toc21958 \h </w:instrText>
          </w:r>
          <w:r>
            <w:fldChar w:fldCharType="separate"/>
          </w:r>
          <w:r>
            <w:t>1</w:t>
          </w:r>
          <w:r>
            <w:fldChar w:fldCharType="end"/>
          </w:r>
          <w:r>
            <w:fldChar w:fldCharType="end"/>
          </w:r>
        </w:p>
        <w:p w14:paraId="2CFE3968">
          <w:pPr>
            <w:pStyle w:val="7"/>
            <w:tabs>
              <w:tab w:val="right" w:leader="dot" w:pos="8300"/>
            </w:tabs>
          </w:pPr>
          <w:r>
            <w:fldChar w:fldCharType="begin"/>
          </w:r>
          <w:r>
            <w:instrText xml:space="preserve"> HYPERLINK \l _Toc30573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3.1 </w:t>
          </w:r>
          <w:r>
            <w:rPr>
              <w:rFonts w:hint="eastAsia"/>
              <w:lang w:val="en-US" w:eastAsia="zh-CN"/>
            </w:rPr>
            <w:t>大宁宁粹苹果</w:t>
          </w:r>
          <w:r>
            <w:tab/>
          </w:r>
          <w:r>
            <w:fldChar w:fldCharType="begin"/>
          </w:r>
          <w:r>
            <w:instrText xml:space="preserve"> PAGEREF _Toc30573 \h </w:instrText>
          </w:r>
          <w:r>
            <w:fldChar w:fldCharType="separate"/>
          </w:r>
          <w:r>
            <w:t>1</w:t>
          </w:r>
          <w:r>
            <w:fldChar w:fldCharType="end"/>
          </w:r>
          <w:r>
            <w:fldChar w:fldCharType="end"/>
          </w:r>
        </w:p>
        <w:p w14:paraId="6085EC67">
          <w:pPr>
            <w:pStyle w:val="7"/>
            <w:tabs>
              <w:tab w:val="right" w:leader="dot" w:pos="8300"/>
            </w:tabs>
          </w:pPr>
          <w:r>
            <w:fldChar w:fldCharType="begin"/>
          </w:r>
          <w:r>
            <w:instrText xml:space="preserve"> HYPERLINK \l _Toc24674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3.2 </w:t>
          </w:r>
          <w:r>
            <w:rPr>
              <w:rFonts w:hint="eastAsia"/>
              <w:lang w:val="en-US" w:eastAsia="zh-CN"/>
            </w:rPr>
            <w:t>特级果</w:t>
          </w:r>
          <w:r>
            <w:tab/>
          </w:r>
          <w:r>
            <w:fldChar w:fldCharType="begin"/>
          </w:r>
          <w:r>
            <w:instrText xml:space="preserve"> PAGEREF _Toc24674 \h </w:instrText>
          </w:r>
          <w:r>
            <w:fldChar w:fldCharType="separate"/>
          </w:r>
          <w:r>
            <w:t>1</w:t>
          </w:r>
          <w:r>
            <w:fldChar w:fldCharType="end"/>
          </w:r>
          <w:r>
            <w:fldChar w:fldCharType="end"/>
          </w:r>
        </w:p>
        <w:p w14:paraId="0FFD8FA2">
          <w:pPr>
            <w:pStyle w:val="7"/>
            <w:tabs>
              <w:tab w:val="right" w:leader="dot" w:pos="8300"/>
            </w:tabs>
          </w:pPr>
          <w:r>
            <w:fldChar w:fldCharType="begin"/>
          </w:r>
          <w:r>
            <w:instrText xml:space="preserve"> HYPERLINK \l _Toc24184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3.3 </w:t>
          </w:r>
          <w:r>
            <w:rPr>
              <w:rFonts w:hint="eastAsia"/>
              <w:lang w:val="en-US" w:eastAsia="zh-CN"/>
            </w:rPr>
            <w:t>一级果</w:t>
          </w:r>
          <w:r>
            <w:tab/>
          </w:r>
          <w:r>
            <w:fldChar w:fldCharType="begin"/>
          </w:r>
          <w:r>
            <w:instrText xml:space="preserve"> PAGEREF _Toc24184 \h </w:instrText>
          </w:r>
          <w:r>
            <w:fldChar w:fldCharType="separate"/>
          </w:r>
          <w:r>
            <w:t>1</w:t>
          </w:r>
          <w:r>
            <w:fldChar w:fldCharType="end"/>
          </w:r>
          <w:r>
            <w:fldChar w:fldCharType="end"/>
          </w:r>
        </w:p>
        <w:p w14:paraId="1CF07177">
          <w:pPr>
            <w:pStyle w:val="7"/>
            <w:tabs>
              <w:tab w:val="right" w:leader="dot" w:pos="8300"/>
            </w:tabs>
          </w:pPr>
          <w:r>
            <w:fldChar w:fldCharType="begin"/>
          </w:r>
          <w:r>
            <w:instrText xml:space="preserve"> HYPERLINK \l _Toc4421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3.4 </w:t>
          </w:r>
          <w:r>
            <w:rPr>
              <w:rFonts w:hint="eastAsia"/>
              <w:lang w:val="en-US" w:eastAsia="zh-CN"/>
            </w:rPr>
            <w:t>二级果</w:t>
          </w:r>
          <w:r>
            <w:tab/>
          </w:r>
          <w:r>
            <w:fldChar w:fldCharType="begin"/>
          </w:r>
          <w:r>
            <w:instrText xml:space="preserve"> PAGEREF _Toc4421 \h </w:instrText>
          </w:r>
          <w:r>
            <w:fldChar w:fldCharType="separate"/>
          </w:r>
          <w:r>
            <w:t>1</w:t>
          </w:r>
          <w:r>
            <w:fldChar w:fldCharType="end"/>
          </w:r>
          <w:r>
            <w:fldChar w:fldCharType="end"/>
          </w:r>
        </w:p>
        <w:p w14:paraId="56579152">
          <w:pPr>
            <w:pStyle w:val="7"/>
            <w:tabs>
              <w:tab w:val="right" w:leader="dot" w:pos="8300"/>
            </w:tabs>
          </w:pPr>
          <w:r>
            <w:fldChar w:fldCharType="begin"/>
          </w:r>
          <w:r>
            <w:instrText xml:space="preserve"> HYPERLINK \l _Toc10718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3.5 </w:t>
          </w:r>
          <w:r>
            <w:rPr>
              <w:rFonts w:hint="eastAsia"/>
              <w:lang w:val="en-US" w:eastAsia="zh-CN"/>
            </w:rPr>
            <w:t>果实横径</w:t>
          </w:r>
          <w:r>
            <w:tab/>
          </w:r>
          <w:r>
            <w:fldChar w:fldCharType="begin"/>
          </w:r>
          <w:r>
            <w:instrText xml:space="preserve"> PAGEREF _Toc10718 \h </w:instrText>
          </w:r>
          <w:r>
            <w:fldChar w:fldCharType="separate"/>
          </w:r>
          <w:r>
            <w:t>1</w:t>
          </w:r>
          <w:r>
            <w:fldChar w:fldCharType="end"/>
          </w:r>
          <w:r>
            <w:fldChar w:fldCharType="end"/>
          </w:r>
        </w:p>
        <w:p w14:paraId="77C4D519">
          <w:pPr>
            <w:pStyle w:val="7"/>
            <w:tabs>
              <w:tab w:val="right" w:leader="dot" w:pos="8300"/>
            </w:tabs>
          </w:pPr>
          <w:r>
            <w:fldChar w:fldCharType="begin"/>
          </w:r>
          <w:r>
            <w:instrText xml:space="preserve"> HYPERLINK \l _Toc25733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3.6</w:t>
          </w:r>
          <w:r>
            <w:rPr>
              <w:rFonts w:hint="eastAsia" w:ascii="黑体" w:hAnsi="Times New Roman" w:eastAsia="黑体" w:cs="Times New Roman"/>
              <w:bCs w:val="0"/>
              <w:i w:val="0"/>
              <w:iCs w:val="0"/>
              <w:caps w:val="0"/>
              <w:smallCaps w:val="0"/>
              <w:strike w:val="0"/>
              <w:dstrike w:val="0"/>
              <w:vanish w:val="0"/>
              <w:color w:val="auto"/>
              <w:spacing w:val="0"/>
              <w:kern w:val="0"/>
              <w:position w:val="0"/>
              <w:vertAlign w:val="baseline"/>
              <w:lang w:val="en-US" w:eastAsia="zh-CN"/>
            </w:rPr>
            <w:t xml:space="preserve"> </w:t>
          </w:r>
          <w:r>
            <w:rPr>
              <w:rFonts w:hint="eastAsia"/>
              <w:color w:val="auto"/>
              <w:lang w:val="en-US" w:eastAsia="zh-CN"/>
            </w:rPr>
            <w:t>缺陷</w:t>
          </w:r>
          <w:r>
            <w:tab/>
          </w:r>
          <w:r>
            <w:fldChar w:fldCharType="begin"/>
          </w:r>
          <w:r>
            <w:instrText xml:space="preserve"> PAGEREF _Toc25733 \h </w:instrText>
          </w:r>
          <w:r>
            <w:fldChar w:fldCharType="separate"/>
          </w:r>
          <w:r>
            <w:t>1</w:t>
          </w:r>
          <w:r>
            <w:fldChar w:fldCharType="end"/>
          </w:r>
          <w:r>
            <w:fldChar w:fldCharType="end"/>
          </w:r>
        </w:p>
        <w:p w14:paraId="7EFF9D8A">
          <w:pPr>
            <w:pStyle w:val="7"/>
            <w:tabs>
              <w:tab w:val="right" w:leader="dot" w:pos="8300"/>
            </w:tabs>
          </w:pPr>
          <w:r>
            <w:fldChar w:fldCharType="begin"/>
          </w:r>
          <w:r>
            <w:instrText xml:space="preserve"> HYPERLINK \l _Toc8424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3.7 </w:t>
          </w:r>
          <w:r>
            <w:rPr>
              <w:rFonts w:hint="eastAsia"/>
              <w:lang w:val="en-US" w:eastAsia="zh-CN"/>
            </w:rPr>
            <w:t>大宁宁粹苹果区域品牌标识</w:t>
          </w:r>
          <w:r>
            <w:tab/>
          </w:r>
          <w:r>
            <w:fldChar w:fldCharType="begin"/>
          </w:r>
          <w:r>
            <w:instrText xml:space="preserve"> PAGEREF _Toc8424 \h </w:instrText>
          </w:r>
          <w:r>
            <w:fldChar w:fldCharType="separate"/>
          </w:r>
          <w:r>
            <w:t>2</w:t>
          </w:r>
          <w:r>
            <w:fldChar w:fldCharType="end"/>
          </w:r>
          <w:r>
            <w:fldChar w:fldCharType="end"/>
          </w:r>
        </w:p>
        <w:p w14:paraId="011426B5">
          <w:pPr>
            <w:pStyle w:val="7"/>
            <w:tabs>
              <w:tab w:val="right" w:leader="dot" w:pos="8300"/>
            </w:tabs>
          </w:pPr>
          <w:r>
            <w:fldChar w:fldCharType="begin"/>
          </w:r>
          <w:r>
            <w:instrText xml:space="preserve"> HYPERLINK \l _Toc31142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3.8 </w:t>
          </w:r>
          <w:r>
            <w:rPr>
              <w:rFonts w:hint="eastAsia"/>
              <w:lang w:val="en-US" w:eastAsia="zh-CN"/>
            </w:rPr>
            <w:t>溯源标识</w:t>
          </w:r>
          <w:r>
            <w:tab/>
          </w:r>
          <w:r>
            <w:fldChar w:fldCharType="begin"/>
          </w:r>
          <w:r>
            <w:instrText xml:space="preserve"> PAGEREF _Toc31142 \h </w:instrText>
          </w:r>
          <w:r>
            <w:fldChar w:fldCharType="separate"/>
          </w:r>
          <w:r>
            <w:t>2</w:t>
          </w:r>
          <w:r>
            <w:fldChar w:fldCharType="end"/>
          </w:r>
          <w:r>
            <w:fldChar w:fldCharType="end"/>
          </w:r>
        </w:p>
        <w:p w14:paraId="10953D05">
          <w:pPr>
            <w:pStyle w:val="6"/>
            <w:tabs>
              <w:tab w:val="right" w:leader="dot" w:pos="8300"/>
            </w:tabs>
          </w:pPr>
          <w:r>
            <w:fldChar w:fldCharType="begin"/>
          </w:r>
          <w:r>
            <w:instrText xml:space="preserve"> HYPERLINK \l _Toc3301 </w:instrText>
          </w:r>
          <w:r>
            <w:fldChar w:fldCharType="separate"/>
          </w:r>
          <w:r>
            <w:rPr>
              <w:rFonts w:hint="eastAsia" w:ascii="黑体" w:eastAsia="黑体"/>
              <w:i w:val="0"/>
            </w:rPr>
            <w:t xml:space="preserve">4 </w:t>
          </w:r>
          <w:r>
            <w:rPr>
              <w:rFonts w:hint="eastAsia"/>
            </w:rPr>
            <w:t>商品质量基本要求</w:t>
          </w:r>
          <w:r>
            <w:tab/>
          </w:r>
          <w:r>
            <w:fldChar w:fldCharType="begin"/>
          </w:r>
          <w:r>
            <w:instrText xml:space="preserve"> PAGEREF _Toc3301 \h </w:instrText>
          </w:r>
          <w:r>
            <w:fldChar w:fldCharType="separate"/>
          </w:r>
          <w:r>
            <w:t>2</w:t>
          </w:r>
          <w:r>
            <w:fldChar w:fldCharType="end"/>
          </w:r>
          <w:r>
            <w:fldChar w:fldCharType="end"/>
          </w:r>
        </w:p>
        <w:p w14:paraId="56A8A2CB">
          <w:pPr>
            <w:pStyle w:val="7"/>
            <w:tabs>
              <w:tab w:val="right" w:leader="dot" w:pos="8300"/>
            </w:tabs>
          </w:pPr>
          <w:r>
            <w:fldChar w:fldCharType="begin"/>
          </w:r>
          <w:r>
            <w:instrText xml:space="preserve"> HYPERLINK \l _Toc25906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4.1 </w:t>
          </w:r>
          <w:r>
            <w:rPr>
              <w:rFonts w:hint="eastAsia"/>
              <w:lang w:val="en-US" w:eastAsia="zh-CN"/>
            </w:rPr>
            <w:t>感官基本要求</w:t>
          </w:r>
          <w:r>
            <w:tab/>
          </w:r>
          <w:r>
            <w:fldChar w:fldCharType="begin"/>
          </w:r>
          <w:r>
            <w:instrText xml:space="preserve"> PAGEREF _Toc25906 \h </w:instrText>
          </w:r>
          <w:r>
            <w:fldChar w:fldCharType="separate"/>
          </w:r>
          <w:r>
            <w:t>2</w:t>
          </w:r>
          <w:r>
            <w:fldChar w:fldCharType="end"/>
          </w:r>
          <w:r>
            <w:fldChar w:fldCharType="end"/>
          </w:r>
        </w:p>
        <w:p w14:paraId="34EC15BE">
          <w:pPr>
            <w:pStyle w:val="7"/>
            <w:tabs>
              <w:tab w:val="right" w:leader="dot" w:pos="8300"/>
            </w:tabs>
          </w:pPr>
          <w:r>
            <w:fldChar w:fldCharType="begin"/>
          </w:r>
          <w:r>
            <w:instrText xml:space="preserve"> HYPERLINK \l _Toc9952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4.2 </w:t>
          </w:r>
          <w:r>
            <w:rPr>
              <w:rFonts w:hint="eastAsia"/>
              <w:lang w:val="en-US" w:eastAsia="zh-CN"/>
            </w:rPr>
            <w:t>理化基本要求</w:t>
          </w:r>
          <w:r>
            <w:tab/>
          </w:r>
          <w:r>
            <w:fldChar w:fldCharType="begin"/>
          </w:r>
          <w:r>
            <w:instrText xml:space="preserve"> PAGEREF _Toc9952 \h </w:instrText>
          </w:r>
          <w:r>
            <w:fldChar w:fldCharType="separate"/>
          </w:r>
          <w:r>
            <w:t>2</w:t>
          </w:r>
          <w:r>
            <w:fldChar w:fldCharType="end"/>
          </w:r>
          <w:r>
            <w:fldChar w:fldCharType="end"/>
          </w:r>
        </w:p>
        <w:p w14:paraId="1AF70A5C">
          <w:pPr>
            <w:pStyle w:val="7"/>
            <w:tabs>
              <w:tab w:val="right" w:leader="dot" w:pos="8300"/>
            </w:tabs>
          </w:pPr>
          <w:r>
            <w:fldChar w:fldCharType="begin"/>
          </w:r>
          <w:r>
            <w:instrText xml:space="preserve"> HYPERLINK \l _Toc16388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4.3 </w:t>
          </w:r>
          <w:r>
            <w:rPr>
              <w:rFonts w:hint="eastAsia"/>
              <w:lang w:val="en-US" w:eastAsia="zh-CN"/>
            </w:rPr>
            <w:t>安全基本要求</w:t>
          </w:r>
          <w:r>
            <w:tab/>
          </w:r>
          <w:r>
            <w:fldChar w:fldCharType="begin"/>
          </w:r>
          <w:r>
            <w:instrText xml:space="preserve"> PAGEREF _Toc16388 \h </w:instrText>
          </w:r>
          <w:r>
            <w:fldChar w:fldCharType="separate"/>
          </w:r>
          <w:r>
            <w:t>2</w:t>
          </w:r>
          <w:r>
            <w:fldChar w:fldCharType="end"/>
          </w:r>
          <w:r>
            <w:fldChar w:fldCharType="end"/>
          </w:r>
        </w:p>
        <w:p w14:paraId="3D812277">
          <w:pPr>
            <w:pStyle w:val="7"/>
            <w:tabs>
              <w:tab w:val="right" w:leader="dot" w:pos="8300"/>
            </w:tabs>
          </w:pPr>
          <w:r>
            <w:fldChar w:fldCharType="begin"/>
          </w:r>
          <w:r>
            <w:instrText xml:space="preserve"> HYPERLINK \l _Toc24643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4.4 </w:t>
          </w:r>
          <w:r>
            <w:rPr>
              <w:rFonts w:hint="eastAsia"/>
              <w:lang w:val="en-US" w:eastAsia="zh-CN"/>
            </w:rPr>
            <w:t>其他基本要求</w:t>
          </w:r>
          <w:r>
            <w:tab/>
          </w:r>
          <w:r>
            <w:fldChar w:fldCharType="begin"/>
          </w:r>
          <w:r>
            <w:instrText xml:space="preserve"> PAGEREF _Toc24643 \h </w:instrText>
          </w:r>
          <w:r>
            <w:fldChar w:fldCharType="separate"/>
          </w:r>
          <w:r>
            <w:t>2</w:t>
          </w:r>
          <w:r>
            <w:fldChar w:fldCharType="end"/>
          </w:r>
          <w:r>
            <w:fldChar w:fldCharType="end"/>
          </w:r>
        </w:p>
        <w:p w14:paraId="3CF051CC">
          <w:pPr>
            <w:pStyle w:val="6"/>
            <w:tabs>
              <w:tab w:val="right" w:leader="dot" w:pos="8300"/>
            </w:tabs>
          </w:pPr>
          <w:r>
            <w:fldChar w:fldCharType="begin"/>
          </w:r>
          <w:r>
            <w:instrText xml:space="preserve"> HYPERLINK \l _Toc27119 </w:instrText>
          </w:r>
          <w:r>
            <w:fldChar w:fldCharType="separate"/>
          </w:r>
          <w:r>
            <w:rPr>
              <w:rFonts w:hint="eastAsia" w:ascii="黑体" w:eastAsia="黑体"/>
              <w:i w:val="0"/>
            </w:rPr>
            <w:t xml:space="preserve">5 </w:t>
          </w:r>
          <w:r>
            <w:rPr>
              <w:rFonts w:hint="eastAsia"/>
            </w:rPr>
            <w:t>分级要求</w:t>
          </w:r>
          <w:r>
            <w:tab/>
          </w:r>
          <w:r>
            <w:fldChar w:fldCharType="begin"/>
          </w:r>
          <w:r>
            <w:instrText xml:space="preserve"> PAGEREF _Toc27119 \h </w:instrText>
          </w:r>
          <w:r>
            <w:fldChar w:fldCharType="separate"/>
          </w:r>
          <w:r>
            <w:t>2</w:t>
          </w:r>
          <w:r>
            <w:fldChar w:fldCharType="end"/>
          </w:r>
          <w:r>
            <w:fldChar w:fldCharType="end"/>
          </w:r>
        </w:p>
        <w:p w14:paraId="6058BAC1">
          <w:pPr>
            <w:pStyle w:val="7"/>
            <w:tabs>
              <w:tab w:val="right" w:leader="dot" w:pos="8300"/>
            </w:tabs>
          </w:pPr>
          <w:r>
            <w:fldChar w:fldCharType="begin"/>
          </w:r>
          <w:r>
            <w:instrText xml:space="preserve"> HYPERLINK \l _Toc17757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5.1 </w:t>
          </w:r>
          <w:r>
            <w:rPr>
              <w:rFonts w:hint="eastAsia"/>
              <w:lang w:val="en-US" w:eastAsia="zh-CN"/>
            </w:rPr>
            <w:t>感官与理化指标</w:t>
          </w:r>
          <w:r>
            <w:tab/>
          </w:r>
          <w:r>
            <w:fldChar w:fldCharType="begin"/>
          </w:r>
          <w:r>
            <w:instrText xml:space="preserve"> PAGEREF _Toc17757 \h </w:instrText>
          </w:r>
          <w:r>
            <w:fldChar w:fldCharType="separate"/>
          </w:r>
          <w:r>
            <w:t>2</w:t>
          </w:r>
          <w:r>
            <w:fldChar w:fldCharType="end"/>
          </w:r>
          <w:r>
            <w:fldChar w:fldCharType="end"/>
          </w:r>
        </w:p>
        <w:p w14:paraId="20EE96D8">
          <w:pPr>
            <w:pStyle w:val="7"/>
            <w:tabs>
              <w:tab w:val="right" w:leader="dot" w:pos="8300"/>
            </w:tabs>
          </w:pPr>
          <w:r>
            <w:fldChar w:fldCharType="begin"/>
          </w:r>
          <w:r>
            <w:instrText xml:space="preserve"> HYPERLINK \l _Toc25265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5.2 </w:t>
          </w:r>
          <w:r>
            <w:rPr>
              <w:rFonts w:hint="eastAsia"/>
              <w:lang w:val="en-US" w:eastAsia="zh-CN"/>
            </w:rPr>
            <w:t>安全指标</w:t>
          </w:r>
          <w:r>
            <w:tab/>
          </w:r>
          <w:r>
            <w:fldChar w:fldCharType="begin"/>
          </w:r>
          <w:r>
            <w:instrText xml:space="preserve"> PAGEREF _Toc25265 \h </w:instrText>
          </w:r>
          <w:r>
            <w:fldChar w:fldCharType="separate"/>
          </w:r>
          <w:r>
            <w:t>4</w:t>
          </w:r>
          <w:r>
            <w:fldChar w:fldCharType="end"/>
          </w:r>
          <w:r>
            <w:fldChar w:fldCharType="end"/>
          </w:r>
        </w:p>
        <w:p w14:paraId="3A96CE6E">
          <w:pPr>
            <w:pStyle w:val="7"/>
            <w:tabs>
              <w:tab w:val="right" w:leader="dot" w:pos="8300"/>
            </w:tabs>
          </w:pPr>
          <w:r>
            <w:fldChar w:fldCharType="begin"/>
          </w:r>
          <w:r>
            <w:instrText xml:space="preserve"> HYPERLINK \l _Toc28946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5.3 </w:t>
          </w:r>
          <w:r>
            <w:rPr>
              <w:rFonts w:hint="eastAsia"/>
              <w:lang w:val="en-US" w:eastAsia="zh-CN"/>
            </w:rPr>
            <w:t>容许度</w:t>
          </w:r>
          <w:r>
            <w:tab/>
          </w:r>
          <w:r>
            <w:fldChar w:fldCharType="begin"/>
          </w:r>
          <w:r>
            <w:instrText xml:space="preserve"> PAGEREF _Toc28946 \h </w:instrText>
          </w:r>
          <w:r>
            <w:fldChar w:fldCharType="separate"/>
          </w:r>
          <w:r>
            <w:t>4</w:t>
          </w:r>
          <w:r>
            <w:fldChar w:fldCharType="end"/>
          </w:r>
          <w:r>
            <w:fldChar w:fldCharType="end"/>
          </w:r>
        </w:p>
        <w:p w14:paraId="379684A9">
          <w:pPr>
            <w:pStyle w:val="6"/>
            <w:tabs>
              <w:tab w:val="right" w:leader="dot" w:pos="8300"/>
            </w:tabs>
          </w:pPr>
          <w:r>
            <w:fldChar w:fldCharType="begin"/>
          </w:r>
          <w:r>
            <w:instrText xml:space="preserve"> HYPERLINK \l _Toc29509 </w:instrText>
          </w:r>
          <w:r>
            <w:fldChar w:fldCharType="separate"/>
          </w:r>
          <w:r>
            <w:rPr>
              <w:rFonts w:hint="eastAsia" w:ascii="黑体" w:eastAsia="黑体"/>
              <w:i w:val="0"/>
            </w:rPr>
            <w:t xml:space="preserve">6 </w:t>
          </w:r>
          <w:r>
            <w:rPr>
              <w:rFonts w:hint="eastAsia"/>
            </w:rPr>
            <w:t>试验方法</w:t>
          </w:r>
          <w:r>
            <w:tab/>
          </w:r>
          <w:r>
            <w:fldChar w:fldCharType="begin"/>
          </w:r>
          <w:r>
            <w:instrText xml:space="preserve"> PAGEREF _Toc29509 \h </w:instrText>
          </w:r>
          <w:r>
            <w:fldChar w:fldCharType="separate"/>
          </w:r>
          <w:r>
            <w:t>4</w:t>
          </w:r>
          <w:r>
            <w:fldChar w:fldCharType="end"/>
          </w:r>
          <w:r>
            <w:fldChar w:fldCharType="end"/>
          </w:r>
        </w:p>
        <w:p w14:paraId="79321DF9">
          <w:pPr>
            <w:pStyle w:val="7"/>
            <w:tabs>
              <w:tab w:val="right" w:leader="dot" w:pos="8300"/>
            </w:tabs>
          </w:pPr>
          <w:r>
            <w:fldChar w:fldCharType="begin"/>
          </w:r>
          <w:r>
            <w:instrText xml:space="preserve"> HYPERLINK \l _Toc853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6.1 </w:t>
          </w:r>
          <w:r>
            <w:rPr>
              <w:rFonts w:hint="eastAsia"/>
              <w:lang w:val="en-US" w:eastAsia="zh-CN"/>
            </w:rPr>
            <w:t>感官检验</w:t>
          </w:r>
          <w:r>
            <w:tab/>
          </w:r>
          <w:r>
            <w:fldChar w:fldCharType="begin"/>
          </w:r>
          <w:r>
            <w:instrText xml:space="preserve"> PAGEREF _Toc853 \h </w:instrText>
          </w:r>
          <w:r>
            <w:fldChar w:fldCharType="separate"/>
          </w:r>
          <w:r>
            <w:t>5</w:t>
          </w:r>
          <w:r>
            <w:fldChar w:fldCharType="end"/>
          </w:r>
          <w:r>
            <w:fldChar w:fldCharType="end"/>
          </w:r>
        </w:p>
        <w:p w14:paraId="1D137F39">
          <w:pPr>
            <w:pStyle w:val="7"/>
            <w:tabs>
              <w:tab w:val="right" w:leader="dot" w:pos="8300"/>
            </w:tabs>
          </w:pPr>
          <w:r>
            <w:fldChar w:fldCharType="begin"/>
          </w:r>
          <w:r>
            <w:instrText xml:space="preserve"> HYPERLINK \l _Toc29468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6.2 </w:t>
          </w:r>
          <w:r>
            <w:rPr>
              <w:rFonts w:hint="eastAsia"/>
              <w:lang w:val="en-US" w:eastAsia="zh-CN"/>
            </w:rPr>
            <w:t>理化指标检验。</w:t>
          </w:r>
          <w:r>
            <w:tab/>
          </w:r>
          <w:r>
            <w:fldChar w:fldCharType="begin"/>
          </w:r>
          <w:r>
            <w:instrText xml:space="preserve"> PAGEREF _Toc29468 \h </w:instrText>
          </w:r>
          <w:r>
            <w:fldChar w:fldCharType="separate"/>
          </w:r>
          <w:r>
            <w:t>5</w:t>
          </w:r>
          <w:r>
            <w:fldChar w:fldCharType="end"/>
          </w:r>
          <w:r>
            <w:fldChar w:fldCharType="end"/>
          </w:r>
        </w:p>
        <w:p w14:paraId="3EB0BBE1">
          <w:pPr>
            <w:pStyle w:val="7"/>
            <w:tabs>
              <w:tab w:val="right" w:leader="dot" w:pos="8300"/>
            </w:tabs>
          </w:pPr>
          <w:r>
            <w:fldChar w:fldCharType="begin"/>
          </w:r>
          <w:r>
            <w:instrText xml:space="preserve"> HYPERLINK \l _Toc22545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6.3 </w:t>
          </w:r>
          <w:r>
            <w:rPr>
              <w:rFonts w:hint="eastAsia"/>
              <w:lang w:val="en-US" w:eastAsia="zh-CN"/>
            </w:rPr>
            <w:t>安全指标检验</w:t>
          </w:r>
          <w:r>
            <w:tab/>
          </w:r>
          <w:r>
            <w:fldChar w:fldCharType="begin"/>
          </w:r>
          <w:r>
            <w:instrText xml:space="preserve"> PAGEREF _Toc22545 \h </w:instrText>
          </w:r>
          <w:r>
            <w:fldChar w:fldCharType="separate"/>
          </w:r>
          <w:r>
            <w:t>5</w:t>
          </w:r>
          <w:r>
            <w:fldChar w:fldCharType="end"/>
          </w:r>
          <w:r>
            <w:fldChar w:fldCharType="end"/>
          </w:r>
        </w:p>
        <w:p w14:paraId="7A9F9132">
          <w:pPr>
            <w:pStyle w:val="6"/>
            <w:tabs>
              <w:tab w:val="right" w:leader="dot" w:pos="8300"/>
            </w:tabs>
          </w:pPr>
          <w:r>
            <w:fldChar w:fldCharType="begin"/>
          </w:r>
          <w:r>
            <w:instrText xml:space="preserve"> HYPERLINK \l _Toc4035 </w:instrText>
          </w:r>
          <w:r>
            <w:fldChar w:fldCharType="separate"/>
          </w:r>
          <w:r>
            <w:rPr>
              <w:rFonts w:hint="eastAsia" w:ascii="黑体" w:eastAsia="黑体"/>
              <w:i w:val="0"/>
            </w:rPr>
            <w:t xml:space="preserve">7 </w:t>
          </w:r>
          <w:r>
            <w:rPr>
              <w:rFonts w:hint="eastAsia"/>
            </w:rPr>
            <w:t>检验规则</w:t>
          </w:r>
          <w:r>
            <w:tab/>
          </w:r>
          <w:r>
            <w:fldChar w:fldCharType="begin"/>
          </w:r>
          <w:r>
            <w:instrText xml:space="preserve"> PAGEREF _Toc4035 \h </w:instrText>
          </w:r>
          <w:r>
            <w:fldChar w:fldCharType="separate"/>
          </w:r>
          <w:r>
            <w:t>5</w:t>
          </w:r>
          <w:r>
            <w:fldChar w:fldCharType="end"/>
          </w:r>
          <w:r>
            <w:fldChar w:fldCharType="end"/>
          </w:r>
        </w:p>
        <w:p w14:paraId="4F19989E">
          <w:pPr>
            <w:pStyle w:val="7"/>
            <w:tabs>
              <w:tab w:val="right" w:leader="dot" w:pos="8300"/>
            </w:tabs>
          </w:pPr>
          <w:r>
            <w:fldChar w:fldCharType="begin"/>
          </w:r>
          <w:r>
            <w:instrText xml:space="preserve"> HYPERLINK \l _Toc27304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7.1 </w:t>
          </w:r>
          <w:r>
            <w:rPr>
              <w:rFonts w:hint="eastAsia"/>
              <w:lang w:val="en-US" w:eastAsia="zh-CN"/>
            </w:rPr>
            <w:t>组批</w:t>
          </w:r>
          <w:r>
            <w:tab/>
          </w:r>
          <w:r>
            <w:fldChar w:fldCharType="begin"/>
          </w:r>
          <w:r>
            <w:instrText xml:space="preserve"> PAGEREF _Toc27304 \h </w:instrText>
          </w:r>
          <w:r>
            <w:fldChar w:fldCharType="separate"/>
          </w:r>
          <w:r>
            <w:t>5</w:t>
          </w:r>
          <w:r>
            <w:fldChar w:fldCharType="end"/>
          </w:r>
          <w:r>
            <w:fldChar w:fldCharType="end"/>
          </w:r>
        </w:p>
        <w:p w14:paraId="03DFCD98">
          <w:pPr>
            <w:pStyle w:val="7"/>
            <w:tabs>
              <w:tab w:val="right" w:leader="dot" w:pos="8300"/>
            </w:tabs>
          </w:pPr>
          <w:r>
            <w:fldChar w:fldCharType="begin"/>
          </w:r>
          <w:r>
            <w:instrText xml:space="preserve"> HYPERLINK \l _Toc29432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7.2 </w:t>
          </w:r>
          <w:r>
            <w:rPr>
              <w:rFonts w:hint="eastAsia"/>
              <w:lang w:val="en-US" w:eastAsia="zh-CN"/>
            </w:rPr>
            <w:t>抽样</w:t>
          </w:r>
          <w:r>
            <w:tab/>
          </w:r>
          <w:r>
            <w:fldChar w:fldCharType="begin"/>
          </w:r>
          <w:r>
            <w:instrText xml:space="preserve"> PAGEREF _Toc29432 \h </w:instrText>
          </w:r>
          <w:r>
            <w:fldChar w:fldCharType="separate"/>
          </w:r>
          <w:r>
            <w:t>5</w:t>
          </w:r>
          <w:r>
            <w:fldChar w:fldCharType="end"/>
          </w:r>
          <w:r>
            <w:fldChar w:fldCharType="end"/>
          </w:r>
        </w:p>
        <w:p w14:paraId="1AC8C8BE">
          <w:pPr>
            <w:pStyle w:val="7"/>
            <w:tabs>
              <w:tab w:val="right" w:leader="dot" w:pos="8300"/>
            </w:tabs>
          </w:pPr>
          <w:r>
            <w:fldChar w:fldCharType="begin"/>
          </w:r>
          <w:r>
            <w:instrText xml:space="preserve"> HYPERLINK \l _Toc29245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7.3 </w:t>
          </w:r>
          <w:r>
            <w:rPr>
              <w:rFonts w:hint="eastAsia"/>
              <w:lang w:val="en-US" w:eastAsia="zh-CN"/>
            </w:rPr>
            <w:t>检验分类</w:t>
          </w:r>
          <w:r>
            <w:tab/>
          </w:r>
          <w:r>
            <w:fldChar w:fldCharType="begin"/>
          </w:r>
          <w:r>
            <w:instrText xml:space="preserve"> PAGEREF _Toc29245 \h </w:instrText>
          </w:r>
          <w:r>
            <w:fldChar w:fldCharType="separate"/>
          </w:r>
          <w:r>
            <w:t>5</w:t>
          </w:r>
          <w:r>
            <w:fldChar w:fldCharType="end"/>
          </w:r>
          <w:r>
            <w:fldChar w:fldCharType="end"/>
          </w:r>
        </w:p>
        <w:p w14:paraId="2F601B13">
          <w:pPr>
            <w:pStyle w:val="7"/>
            <w:tabs>
              <w:tab w:val="right" w:leader="dot" w:pos="8300"/>
            </w:tabs>
          </w:pPr>
          <w:r>
            <w:fldChar w:fldCharType="begin"/>
          </w:r>
          <w:r>
            <w:instrText xml:space="preserve"> HYPERLINK \l _Toc16966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rPr>
            <w:t xml:space="preserve">7.4 </w:t>
          </w:r>
          <w:r>
            <w:rPr>
              <w:rFonts w:hint="eastAsia"/>
              <w:lang w:val="en-US" w:eastAsia="zh-CN"/>
            </w:rPr>
            <w:t>判定规则</w:t>
          </w:r>
          <w:r>
            <w:tab/>
          </w:r>
          <w:r>
            <w:fldChar w:fldCharType="begin"/>
          </w:r>
          <w:r>
            <w:instrText xml:space="preserve"> PAGEREF _Toc16966 \h </w:instrText>
          </w:r>
          <w:r>
            <w:fldChar w:fldCharType="separate"/>
          </w:r>
          <w:r>
            <w:t>5</w:t>
          </w:r>
          <w:r>
            <w:fldChar w:fldCharType="end"/>
          </w:r>
          <w:r>
            <w:fldChar w:fldCharType="end"/>
          </w:r>
        </w:p>
        <w:p w14:paraId="24D8A41B">
          <w:pPr>
            <w:pStyle w:val="6"/>
            <w:tabs>
              <w:tab w:val="right" w:leader="dot" w:pos="8300"/>
            </w:tabs>
          </w:pPr>
          <w:r>
            <w:fldChar w:fldCharType="begin"/>
          </w:r>
          <w:r>
            <w:instrText xml:space="preserve"> HYPERLINK \l _Toc25941 </w:instrText>
          </w:r>
          <w:r>
            <w:fldChar w:fldCharType="separate"/>
          </w:r>
          <w:r>
            <w:rPr>
              <w:rFonts w:hint="eastAsia" w:ascii="黑体" w:eastAsia="黑体"/>
              <w:i w:val="0"/>
            </w:rPr>
            <w:t xml:space="preserve">8 </w:t>
          </w:r>
          <w:r>
            <w:rPr>
              <w:rFonts w:hint="eastAsia"/>
            </w:rPr>
            <w:t>标志、标签</w:t>
          </w:r>
          <w:r>
            <w:tab/>
          </w:r>
          <w:r>
            <w:fldChar w:fldCharType="begin"/>
          </w:r>
          <w:r>
            <w:instrText xml:space="preserve"> PAGEREF _Toc25941 \h </w:instrText>
          </w:r>
          <w:r>
            <w:fldChar w:fldCharType="separate"/>
          </w:r>
          <w:r>
            <w:t>6</w:t>
          </w:r>
          <w:r>
            <w:fldChar w:fldCharType="end"/>
          </w:r>
          <w:r>
            <w:fldChar w:fldCharType="end"/>
          </w:r>
        </w:p>
        <w:p w14:paraId="0D1BC994">
          <w:pPr>
            <w:pStyle w:val="7"/>
            <w:tabs>
              <w:tab w:val="right" w:leader="dot" w:pos="8300"/>
            </w:tabs>
          </w:pPr>
          <w:r>
            <w:fldChar w:fldCharType="begin"/>
          </w:r>
          <w:r>
            <w:instrText xml:space="preserve"> HYPERLINK \l _Toc3226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8.1 </w:t>
          </w:r>
          <w:r>
            <w:rPr>
              <w:rFonts w:hint="eastAsia"/>
              <w:lang w:val="en-US" w:eastAsia="zh-CN"/>
            </w:rPr>
            <w:t>标志</w:t>
          </w:r>
          <w:r>
            <w:tab/>
          </w:r>
          <w:r>
            <w:fldChar w:fldCharType="begin"/>
          </w:r>
          <w:r>
            <w:instrText xml:space="preserve"> PAGEREF _Toc3226 \h </w:instrText>
          </w:r>
          <w:r>
            <w:fldChar w:fldCharType="separate"/>
          </w:r>
          <w:r>
            <w:t>6</w:t>
          </w:r>
          <w:r>
            <w:fldChar w:fldCharType="end"/>
          </w:r>
          <w:r>
            <w:fldChar w:fldCharType="end"/>
          </w:r>
        </w:p>
        <w:p w14:paraId="3C84653E">
          <w:pPr>
            <w:pStyle w:val="7"/>
            <w:tabs>
              <w:tab w:val="right" w:leader="dot" w:pos="8300"/>
            </w:tabs>
          </w:pPr>
          <w:r>
            <w:fldChar w:fldCharType="begin"/>
          </w:r>
          <w:r>
            <w:instrText xml:space="preserve"> HYPERLINK \l _Toc18337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8.2 </w:t>
          </w:r>
          <w:r>
            <w:rPr>
              <w:rFonts w:hint="eastAsia"/>
              <w:lang w:val="en-US" w:eastAsia="zh-CN"/>
            </w:rPr>
            <w:t>标签</w:t>
          </w:r>
          <w:r>
            <w:tab/>
          </w:r>
          <w:r>
            <w:fldChar w:fldCharType="begin"/>
          </w:r>
          <w:r>
            <w:instrText xml:space="preserve"> PAGEREF _Toc18337 \h </w:instrText>
          </w:r>
          <w:r>
            <w:fldChar w:fldCharType="separate"/>
          </w:r>
          <w:r>
            <w:t>6</w:t>
          </w:r>
          <w:r>
            <w:fldChar w:fldCharType="end"/>
          </w:r>
          <w:r>
            <w:fldChar w:fldCharType="end"/>
          </w:r>
        </w:p>
        <w:p w14:paraId="32487612">
          <w:pPr>
            <w:pStyle w:val="6"/>
            <w:tabs>
              <w:tab w:val="right" w:leader="dot" w:pos="8300"/>
            </w:tabs>
          </w:pPr>
          <w:r>
            <w:fldChar w:fldCharType="begin"/>
          </w:r>
          <w:r>
            <w:instrText xml:space="preserve"> HYPERLINK \l _Toc7543 </w:instrText>
          </w:r>
          <w:r>
            <w:fldChar w:fldCharType="separate"/>
          </w:r>
          <w:r>
            <w:rPr>
              <w:rFonts w:hint="eastAsia" w:ascii="黑体" w:eastAsia="黑体"/>
              <w:i w:val="0"/>
            </w:rPr>
            <w:t xml:space="preserve">9 </w:t>
          </w:r>
          <w:r>
            <w:rPr>
              <w:rFonts w:hint="eastAsia"/>
            </w:rPr>
            <w:t>包装、运输和贮存</w:t>
          </w:r>
          <w:r>
            <w:tab/>
          </w:r>
          <w:r>
            <w:fldChar w:fldCharType="begin"/>
          </w:r>
          <w:r>
            <w:instrText xml:space="preserve"> PAGEREF _Toc7543 \h </w:instrText>
          </w:r>
          <w:r>
            <w:fldChar w:fldCharType="separate"/>
          </w:r>
          <w:r>
            <w:t>6</w:t>
          </w:r>
          <w:r>
            <w:fldChar w:fldCharType="end"/>
          </w:r>
          <w:r>
            <w:fldChar w:fldCharType="end"/>
          </w:r>
        </w:p>
        <w:p w14:paraId="68D7453B">
          <w:pPr>
            <w:pStyle w:val="7"/>
            <w:tabs>
              <w:tab w:val="right" w:leader="dot" w:pos="8300"/>
            </w:tabs>
          </w:pPr>
          <w:r>
            <w:fldChar w:fldCharType="begin"/>
          </w:r>
          <w:r>
            <w:instrText xml:space="preserve"> HYPERLINK \l _Toc31465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9.1 </w:t>
          </w:r>
          <w:r>
            <w:rPr>
              <w:rFonts w:hint="eastAsia"/>
              <w:lang w:val="en-US" w:eastAsia="zh-CN"/>
            </w:rPr>
            <w:t>包装</w:t>
          </w:r>
          <w:r>
            <w:tab/>
          </w:r>
          <w:r>
            <w:fldChar w:fldCharType="begin"/>
          </w:r>
          <w:r>
            <w:instrText xml:space="preserve"> PAGEREF _Toc31465 \h </w:instrText>
          </w:r>
          <w:r>
            <w:fldChar w:fldCharType="separate"/>
          </w:r>
          <w:r>
            <w:t>6</w:t>
          </w:r>
          <w:r>
            <w:fldChar w:fldCharType="end"/>
          </w:r>
          <w:r>
            <w:fldChar w:fldCharType="end"/>
          </w:r>
        </w:p>
        <w:p w14:paraId="2DAE30CB">
          <w:pPr>
            <w:pStyle w:val="7"/>
            <w:tabs>
              <w:tab w:val="right" w:leader="dot" w:pos="8300"/>
            </w:tabs>
          </w:pPr>
          <w:r>
            <w:fldChar w:fldCharType="begin"/>
          </w:r>
          <w:r>
            <w:instrText xml:space="preserve"> HYPERLINK \l _Toc10915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9.2 </w:t>
          </w:r>
          <w:r>
            <w:rPr>
              <w:rFonts w:hint="eastAsia"/>
              <w:lang w:val="en-US" w:eastAsia="zh-CN"/>
            </w:rPr>
            <w:t>运输</w:t>
          </w:r>
          <w:r>
            <w:tab/>
          </w:r>
          <w:r>
            <w:fldChar w:fldCharType="begin"/>
          </w:r>
          <w:r>
            <w:instrText xml:space="preserve"> PAGEREF _Toc10915 \h </w:instrText>
          </w:r>
          <w:r>
            <w:fldChar w:fldCharType="separate"/>
          </w:r>
          <w:r>
            <w:t>6</w:t>
          </w:r>
          <w:r>
            <w:fldChar w:fldCharType="end"/>
          </w:r>
          <w:r>
            <w:fldChar w:fldCharType="end"/>
          </w:r>
        </w:p>
        <w:p w14:paraId="1398BA35">
          <w:pPr>
            <w:pStyle w:val="7"/>
            <w:tabs>
              <w:tab w:val="right" w:leader="dot" w:pos="8300"/>
            </w:tabs>
          </w:pPr>
          <w:r>
            <w:fldChar w:fldCharType="begin"/>
          </w:r>
          <w:r>
            <w:instrText xml:space="preserve"> HYPERLINK \l _Toc21614 </w:instrText>
          </w:r>
          <w: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rPr>
            <w:t xml:space="preserve">9.3 </w:t>
          </w:r>
          <w:r>
            <w:rPr>
              <w:rFonts w:hint="eastAsia"/>
              <w:lang w:val="en-US" w:eastAsia="zh-CN"/>
            </w:rPr>
            <w:t>贮存</w:t>
          </w:r>
          <w:r>
            <w:tab/>
          </w:r>
          <w:r>
            <w:fldChar w:fldCharType="begin"/>
          </w:r>
          <w:r>
            <w:instrText xml:space="preserve"> PAGEREF _Toc21614 \h </w:instrText>
          </w:r>
          <w:r>
            <w:fldChar w:fldCharType="separate"/>
          </w:r>
          <w:r>
            <w:t>7</w:t>
          </w:r>
          <w:r>
            <w:fldChar w:fldCharType="end"/>
          </w:r>
          <w:r>
            <w:fldChar w:fldCharType="end"/>
          </w:r>
        </w:p>
        <w:p w14:paraId="4F627FAD">
          <w:r>
            <w:fldChar w:fldCharType="end"/>
          </w:r>
        </w:p>
      </w:sdtContent>
    </w:sdt>
    <w:p w14:paraId="028B9C2E"/>
    <w:p w14:paraId="34C9E1E2">
      <w:pPr>
        <w:pStyle w:val="13"/>
        <w:spacing w:before="2" w:beforeLines="1" w:after="528" w:afterLines="220"/>
        <w:rPr>
          <w:rFonts w:hint="eastAsia"/>
        </w:rPr>
        <w:sectPr>
          <w:footerReference r:id="rId6" w:type="default"/>
          <w:pgSz w:w="11906" w:h="16838"/>
          <w:pgMar w:top="1440" w:right="1803" w:bottom="1440" w:left="1803" w:header="851" w:footer="992" w:gutter="0"/>
          <w:pgNumType w:fmt="upperRoman"/>
          <w:cols w:space="0" w:num="1"/>
          <w:rtlGutter w:val="0"/>
          <w:docGrid w:type="lines" w:linePitch="312" w:charSpace="0"/>
        </w:sectPr>
      </w:pPr>
    </w:p>
    <w:p w14:paraId="12698D11">
      <w:pPr>
        <w:pStyle w:val="13"/>
        <w:spacing w:before="2" w:beforeLines="1" w:after="528" w:afterLines="220"/>
        <w:rPr>
          <w:rFonts w:hint="eastAsia"/>
        </w:rPr>
      </w:pPr>
      <w:r>
        <w:rPr>
          <w:rFonts w:hint="eastAsia"/>
        </w:rPr>
        <w:t>大宁宁粹苹果</w:t>
      </w:r>
      <w:r>
        <w:rPr>
          <w:rFonts w:hint="eastAsia"/>
          <w:lang w:val="en-US" w:eastAsia="zh-CN"/>
        </w:rPr>
        <w:t>质量</w:t>
      </w:r>
      <w:r>
        <w:rPr>
          <w:rFonts w:hint="eastAsia"/>
        </w:rPr>
        <w:t>分级标准</w:t>
      </w:r>
    </w:p>
    <w:p w14:paraId="0DFE9F76">
      <w:pPr>
        <w:pStyle w:val="14"/>
        <w:spacing w:before="240" w:after="240"/>
        <w:rPr>
          <w:rFonts w:hint="eastAsia"/>
        </w:rPr>
      </w:pPr>
      <w:bookmarkStart w:id="2" w:name="_Toc25218"/>
      <w:r>
        <w:rPr>
          <w:rFonts w:hint="eastAsia"/>
        </w:rPr>
        <w:t>范围</w:t>
      </w:r>
      <w:bookmarkEnd w:id="2"/>
    </w:p>
    <w:p w14:paraId="4626306A">
      <w:pPr>
        <w:pStyle w:val="12"/>
        <w:ind w:firstLine="420"/>
        <w:rPr>
          <w:rFonts w:hint="eastAsia"/>
        </w:rPr>
      </w:pPr>
      <w:r>
        <w:rPr>
          <w:rFonts w:hint="eastAsia"/>
        </w:rPr>
        <w:t>本文件规定了大宁宁粹苹果的术语和定义、等级要求、试验方法、检验规则、标志、标签、包装、运输和贮存。</w:t>
      </w:r>
    </w:p>
    <w:p w14:paraId="54219840">
      <w:pPr>
        <w:pStyle w:val="12"/>
        <w:ind w:firstLine="420"/>
        <w:rPr>
          <w:rFonts w:hint="eastAsia"/>
        </w:rPr>
      </w:pPr>
      <w:r>
        <w:rPr>
          <w:rFonts w:hint="eastAsia"/>
        </w:rPr>
        <w:t>本文件适用于大宁宁粹苹果的生产、收购、加工、销售及相关环节的分级。</w:t>
      </w:r>
    </w:p>
    <w:p w14:paraId="39A9E52B">
      <w:pPr>
        <w:pStyle w:val="14"/>
        <w:spacing w:before="240" w:after="240"/>
        <w:rPr>
          <w:rFonts w:hint="eastAsia"/>
        </w:rPr>
      </w:pPr>
      <w:bookmarkStart w:id="3" w:name="_Toc25554"/>
      <w:r>
        <w:rPr>
          <w:rFonts w:hint="eastAsia"/>
        </w:rPr>
        <w:t>规范性引用文件</w:t>
      </w:r>
      <w:bookmarkEnd w:id="3"/>
    </w:p>
    <w:p w14:paraId="24B4F96A">
      <w:pPr>
        <w:pStyle w:val="12"/>
        <w:ind w:firstLine="420"/>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9DCEE19">
      <w:pPr>
        <w:pStyle w:val="12"/>
        <w:ind w:firstLine="420"/>
        <w:rPr>
          <w:rFonts w:hint="eastAsia"/>
        </w:rPr>
      </w:pPr>
      <w:r>
        <w:rPr>
          <w:rFonts w:hint="eastAsia"/>
        </w:rPr>
        <w:t>GB/T</w:t>
      </w:r>
      <w:r>
        <w:rPr>
          <w:rFonts w:hint="eastAsia"/>
          <w:lang w:val="en-US" w:eastAsia="zh-CN"/>
        </w:rPr>
        <w:t xml:space="preserve"> </w:t>
      </w:r>
      <w:r>
        <w:rPr>
          <w:rFonts w:hint="eastAsia"/>
        </w:rPr>
        <w:t>191</w:t>
      </w:r>
      <w:r>
        <w:rPr>
          <w:rFonts w:hint="eastAsia"/>
          <w:lang w:val="en-US" w:eastAsia="zh-CN"/>
        </w:rPr>
        <w:t xml:space="preserve"> </w:t>
      </w:r>
      <w:r>
        <w:rPr>
          <w:rFonts w:hint="eastAsia"/>
        </w:rPr>
        <w:t>包装储运图示标志</w:t>
      </w:r>
    </w:p>
    <w:p w14:paraId="0D5757A0">
      <w:pPr>
        <w:pStyle w:val="12"/>
        <w:ind w:firstLine="420"/>
        <w:rPr>
          <w:rFonts w:hint="eastAsia"/>
        </w:rPr>
      </w:pPr>
      <w:r>
        <w:rPr>
          <w:rFonts w:hint="eastAsia"/>
        </w:rPr>
        <w:t>GB</w:t>
      </w:r>
      <w:r>
        <w:rPr>
          <w:rFonts w:hint="eastAsia"/>
          <w:lang w:val="en-US" w:eastAsia="zh-CN"/>
        </w:rPr>
        <w:t xml:space="preserve"> </w:t>
      </w:r>
      <w:r>
        <w:rPr>
          <w:rFonts w:hint="eastAsia"/>
        </w:rPr>
        <w:t>2762</w:t>
      </w:r>
      <w:r>
        <w:rPr>
          <w:rFonts w:hint="eastAsia"/>
          <w:lang w:val="en-US" w:eastAsia="zh-CN"/>
        </w:rPr>
        <w:t xml:space="preserve"> </w:t>
      </w:r>
      <w:r>
        <w:rPr>
          <w:rFonts w:hint="eastAsia"/>
        </w:rPr>
        <w:t>食品中污染物限量</w:t>
      </w:r>
    </w:p>
    <w:p w14:paraId="26D9600C">
      <w:pPr>
        <w:pStyle w:val="12"/>
        <w:ind w:firstLine="420"/>
        <w:rPr>
          <w:rFonts w:hint="eastAsia"/>
        </w:rPr>
      </w:pPr>
      <w:r>
        <w:rPr>
          <w:rFonts w:hint="eastAsia"/>
        </w:rPr>
        <w:t>GB</w:t>
      </w:r>
      <w:r>
        <w:rPr>
          <w:rFonts w:hint="eastAsia"/>
          <w:lang w:val="en-US" w:eastAsia="zh-CN"/>
        </w:rPr>
        <w:t xml:space="preserve"> </w:t>
      </w:r>
      <w:r>
        <w:rPr>
          <w:rFonts w:hint="eastAsia"/>
        </w:rPr>
        <w:t>2763</w:t>
      </w:r>
      <w:r>
        <w:rPr>
          <w:rFonts w:hint="eastAsia"/>
          <w:lang w:val="en-US" w:eastAsia="zh-CN"/>
        </w:rPr>
        <w:t xml:space="preserve"> </w:t>
      </w:r>
      <w:r>
        <w:rPr>
          <w:rFonts w:hint="eastAsia"/>
        </w:rPr>
        <w:t>食品安全国家标准食品中农药最大残留限量</w:t>
      </w:r>
    </w:p>
    <w:p w14:paraId="12452579">
      <w:pPr>
        <w:pStyle w:val="12"/>
        <w:ind w:firstLine="420"/>
        <w:rPr>
          <w:rFonts w:hint="eastAsia"/>
        </w:rPr>
      </w:pPr>
      <w:r>
        <w:rPr>
          <w:rFonts w:hint="eastAsia"/>
        </w:rPr>
        <w:t>GB/T</w:t>
      </w:r>
      <w:r>
        <w:rPr>
          <w:rFonts w:hint="eastAsia"/>
          <w:lang w:val="en-US" w:eastAsia="zh-CN"/>
        </w:rPr>
        <w:t xml:space="preserve"> </w:t>
      </w:r>
      <w:r>
        <w:rPr>
          <w:rFonts w:hint="eastAsia"/>
        </w:rPr>
        <w:t>6543</w:t>
      </w:r>
      <w:r>
        <w:rPr>
          <w:rFonts w:hint="eastAsia"/>
          <w:lang w:val="en-US" w:eastAsia="zh-CN"/>
        </w:rPr>
        <w:t xml:space="preserve"> </w:t>
      </w:r>
      <w:r>
        <w:rPr>
          <w:rFonts w:hint="eastAsia"/>
        </w:rPr>
        <w:t>运输包装用单瓦楞纸箱和双瓦楞纸箱</w:t>
      </w:r>
    </w:p>
    <w:p w14:paraId="1E5F3392">
      <w:pPr>
        <w:pStyle w:val="12"/>
        <w:ind w:firstLine="420"/>
        <w:rPr>
          <w:rFonts w:hint="eastAsia"/>
        </w:rPr>
      </w:pPr>
      <w:r>
        <w:rPr>
          <w:rFonts w:hint="eastAsia"/>
        </w:rPr>
        <w:t>GB/T</w:t>
      </w:r>
      <w:r>
        <w:rPr>
          <w:rFonts w:hint="eastAsia"/>
          <w:lang w:val="en-US" w:eastAsia="zh-CN"/>
        </w:rPr>
        <w:t xml:space="preserve"> </w:t>
      </w:r>
      <w:r>
        <w:rPr>
          <w:rFonts w:hint="eastAsia"/>
        </w:rPr>
        <w:t>10651</w:t>
      </w:r>
      <w:r>
        <w:rPr>
          <w:rFonts w:hint="eastAsia"/>
          <w:lang w:val="en-US" w:eastAsia="zh-CN"/>
        </w:rPr>
        <w:t xml:space="preserve"> </w:t>
      </w:r>
      <w:r>
        <w:rPr>
          <w:rFonts w:hint="eastAsia"/>
        </w:rPr>
        <w:t>鲜苹果</w:t>
      </w:r>
    </w:p>
    <w:p w14:paraId="73E8BE33">
      <w:pPr>
        <w:pStyle w:val="14"/>
        <w:spacing w:before="240" w:after="240"/>
        <w:rPr>
          <w:rFonts w:hint="eastAsia"/>
        </w:rPr>
      </w:pPr>
      <w:bookmarkStart w:id="4" w:name="_Toc21958"/>
      <w:r>
        <w:rPr>
          <w:rFonts w:hint="eastAsia"/>
        </w:rPr>
        <w:t>术语和定义</w:t>
      </w:r>
      <w:bookmarkEnd w:id="4"/>
    </w:p>
    <w:p w14:paraId="277B6688">
      <w:pPr>
        <w:rPr>
          <w:rFonts w:hint="eastAsia"/>
        </w:rPr>
      </w:pPr>
      <w:r>
        <w:rPr>
          <w:rFonts w:hint="eastAsia"/>
        </w:rPr>
        <w:t>下列术语和定义适用于本文件。</w:t>
      </w:r>
    </w:p>
    <w:p w14:paraId="24DE50FE">
      <w:pPr>
        <w:pStyle w:val="17"/>
        <w:spacing w:before="120" w:after="120"/>
        <w:rPr>
          <w:rFonts w:hint="eastAsia"/>
        </w:rPr>
      </w:pPr>
      <w:bookmarkStart w:id="5" w:name="_Toc30573"/>
      <w:r>
        <w:rPr>
          <w:rFonts w:hint="eastAsia"/>
          <w:lang w:val="en-US" w:eastAsia="zh-CN"/>
        </w:rPr>
        <w:t>大宁宁粹苹果Daning Ningcui apple</w:t>
      </w:r>
      <w:bookmarkEnd w:id="5"/>
    </w:p>
    <w:p w14:paraId="34CD3936">
      <w:pPr>
        <w:pStyle w:val="12"/>
        <w:ind w:firstLine="420"/>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指在大宁县特定生态区域内，按照矮砧集约化等特定栽培技术种植，由西北农林科技大学“秦脆”品种嫁接山西农业大学矮化“SXND-1”砧穗培育而成的本土化优良品种，具有果形端正、色泽艳丽、酥脆多汁、风味浓郁等固有品质特征的苹果品种。</w:t>
      </w:r>
    </w:p>
    <w:p w14:paraId="2702CFC1">
      <w:pPr>
        <w:pStyle w:val="17"/>
        <w:spacing w:before="120" w:after="120"/>
        <w:rPr>
          <w:rFonts w:hint="eastAsia"/>
          <w:lang w:val="en-US" w:eastAsia="zh-CN"/>
        </w:rPr>
      </w:pPr>
      <w:bookmarkStart w:id="6" w:name="_Toc24674"/>
      <w:r>
        <w:rPr>
          <w:rFonts w:hint="eastAsia"/>
          <w:lang w:val="en-US" w:eastAsia="zh-CN"/>
        </w:rPr>
        <w:t>特级果gradeA fruit</w:t>
      </w:r>
      <w:bookmarkEnd w:id="6"/>
    </w:p>
    <w:p w14:paraId="4AE38B51">
      <w:pPr>
        <w:pStyle w:val="12"/>
        <w:ind w:firstLine="420"/>
        <w:rPr>
          <w:rFonts w:hint="eastAsia"/>
        </w:rPr>
      </w:pPr>
      <w:r>
        <w:rPr>
          <w:rFonts w:hint="eastAsia"/>
        </w:rPr>
        <w:t>符合本文件特级要求的大宁宁粹苹果。</w:t>
      </w:r>
    </w:p>
    <w:p w14:paraId="19A88CA0">
      <w:pPr>
        <w:pStyle w:val="17"/>
        <w:spacing w:before="120" w:after="120"/>
        <w:rPr>
          <w:rFonts w:hint="eastAsia"/>
          <w:lang w:val="en-US" w:eastAsia="zh-CN"/>
        </w:rPr>
      </w:pPr>
      <w:bookmarkStart w:id="7" w:name="_Toc24184"/>
      <w:r>
        <w:rPr>
          <w:rFonts w:hint="eastAsia"/>
          <w:lang w:val="en-US" w:eastAsia="zh-CN"/>
        </w:rPr>
        <w:t>一级果gradeB fruit</w:t>
      </w:r>
      <w:bookmarkEnd w:id="7"/>
    </w:p>
    <w:p w14:paraId="73DD7335">
      <w:pPr>
        <w:pStyle w:val="12"/>
        <w:ind w:firstLine="420"/>
        <w:rPr>
          <w:rFonts w:hint="eastAsia"/>
        </w:rPr>
      </w:pPr>
      <w:r>
        <w:rPr>
          <w:rFonts w:hint="eastAsia"/>
        </w:rPr>
        <w:t>符合本文件一级要求的大宁宁粹苹果。</w:t>
      </w:r>
    </w:p>
    <w:p w14:paraId="1C453A16">
      <w:pPr>
        <w:pStyle w:val="17"/>
        <w:spacing w:before="120" w:after="120"/>
        <w:rPr>
          <w:rFonts w:hint="eastAsia"/>
          <w:lang w:val="en-US" w:eastAsia="zh-CN"/>
        </w:rPr>
      </w:pPr>
      <w:bookmarkStart w:id="8" w:name="_Toc4421"/>
      <w:r>
        <w:rPr>
          <w:rFonts w:hint="eastAsia"/>
          <w:lang w:val="en-US" w:eastAsia="zh-CN"/>
        </w:rPr>
        <w:t>二级果gradeC fruit</w:t>
      </w:r>
      <w:bookmarkEnd w:id="8"/>
    </w:p>
    <w:p w14:paraId="56CBCFB8">
      <w:pPr>
        <w:pStyle w:val="12"/>
        <w:ind w:firstLine="420"/>
        <w:rPr>
          <w:rFonts w:hint="eastAsia"/>
        </w:rPr>
      </w:pPr>
      <w:r>
        <w:rPr>
          <w:rFonts w:hint="eastAsia"/>
        </w:rPr>
        <w:t>符合本文件二级要求的大宁宁粹苹果。</w:t>
      </w:r>
    </w:p>
    <w:p w14:paraId="38DBA1D8">
      <w:pPr>
        <w:pStyle w:val="17"/>
        <w:spacing w:before="120" w:after="120"/>
        <w:rPr>
          <w:rFonts w:hint="eastAsia"/>
          <w:lang w:val="en-US" w:eastAsia="zh-CN"/>
        </w:rPr>
      </w:pPr>
      <w:bookmarkStart w:id="9" w:name="_Toc10718"/>
      <w:r>
        <w:rPr>
          <w:rFonts w:hint="eastAsia"/>
          <w:lang w:val="en-US" w:eastAsia="zh-CN"/>
        </w:rPr>
        <w:t>果实横径fruit diameter</w:t>
      </w:r>
      <w:bookmarkEnd w:id="9"/>
    </w:p>
    <w:p w14:paraId="6B6AFC28">
      <w:pPr>
        <w:pStyle w:val="12"/>
        <w:ind w:firstLine="420"/>
        <w:rPr>
          <w:rFonts w:hint="eastAsia"/>
        </w:rPr>
      </w:pPr>
      <w:r>
        <w:rPr>
          <w:rFonts w:hint="eastAsia"/>
        </w:rPr>
        <w:t>果实最大横切面的直径。</w:t>
      </w:r>
    </w:p>
    <w:p w14:paraId="48BC067F">
      <w:pPr>
        <w:pStyle w:val="17"/>
        <w:spacing w:before="120" w:after="120"/>
        <w:rPr>
          <w:rFonts w:hint="eastAsia"/>
          <w:lang w:val="en-US" w:eastAsia="zh-CN"/>
        </w:rPr>
      </w:pPr>
      <w:bookmarkStart w:id="10" w:name="_Toc25733"/>
      <w:r>
        <w:rPr>
          <w:rFonts w:hint="eastAsia"/>
          <w:lang w:val="en-US" w:eastAsia="zh-CN"/>
        </w:rPr>
        <w:t>缺陷defect</w:t>
      </w:r>
      <w:bookmarkEnd w:id="10"/>
    </w:p>
    <w:p w14:paraId="6787055E">
      <w:pPr>
        <w:pStyle w:val="12"/>
        <w:ind w:firstLine="420"/>
        <w:rPr>
          <w:rFonts w:hint="eastAsia"/>
        </w:rPr>
      </w:pPr>
      <w:r>
        <w:rPr>
          <w:rFonts w:hint="eastAsia"/>
        </w:rPr>
        <w:t>影响果实外观、品质的各种损伤和异常状况，包括机械损伤、病虫害斑、日灼、冻伤、畸形等。</w:t>
      </w:r>
    </w:p>
    <w:p w14:paraId="297BC90E">
      <w:pPr>
        <w:pStyle w:val="17"/>
        <w:spacing w:before="120" w:after="120"/>
        <w:rPr>
          <w:rFonts w:hint="eastAsia"/>
          <w:color w:val="auto"/>
          <w:lang w:val="en-US" w:eastAsia="zh-CN"/>
        </w:rPr>
      </w:pPr>
      <w:bookmarkStart w:id="11" w:name="_Toc8424"/>
      <w:r>
        <w:rPr>
          <w:rFonts w:hint="eastAsia"/>
          <w:color w:val="auto"/>
          <w:lang w:val="en-US" w:eastAsia="zh-CN"/>
        </w:rPr>
        <w:t>大宁宁粹苹果区域品牌标识regional brand logo of Daning Ningcui apple</w:t>
      </w:r>
      <w:bookmarkEnd w:id="11"/>
    </w:p>
    <w:p w14:paraId="6E384D11">
      <w:pPr>
        <w:pStyle w:val="12"/>
        <w:ind w:firstLine="420"/>
        <w:rPr>
          <w:rFonts w:hint="eastAsia"/>
          <w:color w:val="auto"/>
        </w:rPr>
      </w:pPr>
      <w:bookmarkStart w:id="12" w:name="_Toc31142"/>
      <w:r>
        <w:rPr>
          <w:rFonts w:hint="eastAsia"/>
          <w:color w:val="auto"/>
        </w:rPr>
        <w:t>由大宁区域品牌管理机构认证发布，用于标识“大宁宁粹苹果”专属产地和品质的图形、文字组合标志（如包含“大宁宁粹”字样及地理元素的LOGO）。</w:t>
      </w:r>
    </w:p>
    <w:p w14:paraId="73FB5186">
      <w:pPr>
        <w:pStyle w:val="17"/>
        <w:spacing w:before="120" w:after="120"/>
        <w:rPr>
          <w:rFonts w:hint="eastAsia"/>
          <w:color w:val="auto"/>
          <w:lang w:val="en-US" w:eastAsia="zh-CN"/>
        </w:rPr>
      </w:pPr>
      <w:r>
        <w:rPr>
          <w:rFonts w:hint="eastAsia"/>
          <w:color w:val="auto"/>
          <w:lang w:val="en-US" w:eastAsia="zh-CN"/>
        </w:rPr>
        <w:t>溯源标识traceability mark</w:t>
      </w:r>
      <w:bookmarkEnd w:id="12"/>
    </w:p>
    <w:p w14:paraId="203B5B67">
      <w:pPr>
        <w:pStyle w:val="12"/>
        <w:ind w:firstLine="420"/>
        <w:rPr>
          <w:rFonts w:hint="eastAsia"/>
          <w:color w:val="auto"/>
          <w:highlight w:val="none"/>
        </w:rPr>
      </w:pPr>
      <w:bookmarkStart w:id="13" w:name="_Toc3301"/>
      <w:r>
        <w:rPr>
          <w:rFonts w:hint="eastAsia"/>
          <w:color w:val="auto"/>
          <w:highlight w:val="none"/>
        </w:rPr>
        <w:t>包含大宁宁粹苹果种植、采收、检测、包装、流通等全链条信息的二维码或条形码，可通过扫描查询追溯数据。</w:t>
      </w:r>
    </w:p>
    <w:p w14:paraId="0B4C65CD">
      <w:pPr>
        <w:pStyle w:val="14"/>
        <w:spacing w:before="240" w:after="240"/>
        <w:rPr>
          <w:rFonts w:hint="eastAsia"/>
          <w:color w:val="auto"/>
        </w:rPr>
      </w:pPr>
      <w:r>
        <w:rPr>
          <w:rFonts w:hint="eastAsia"/>
          <w:color w:val="auto"/>
        </w:rPr>
        <w:t>商品质量基本要求</w:t>
      </w:r>
      <w:bookmarkEnd w:id="13"/>
    </w:p>
    <w:p w14:paraId="7E36770F">
      <w:pPr>
        <w:pStyle w:val="17"/>
        <w:spacing w:before="120" w:after="120"/>
        <w:rPr>
          <w:rFonts w:hint="eastAsia"/>
          <w:lang w:val="en-US" w:eastAsia="zh-CN"/>
        </w:rPr>
      </w:pPr>
      <w:bookmarkStart w:id="14" w:name="_Toc25906"/>
      <w:r>
        <w:rPr>
          <w:rFonts w:hint="eastAsia"/>
          <w:lang w:val="en-US" w:eastAsia="zh-CN"/>
        </w:rPr>
        <w:t>感官基本要求</w:t>
      </w:r>
      <w:bookmarkEnd w:id="14"/>
    </w:p>
    <w:p w14:paraId="1A31208B">
      <w:pPr>
        <w:pStyle w:val="12"/>
        <w:ind w:firstLine="420"/>
        <w:rPr>
          <w:rFonts w:hint="eastAsia"/>
        </w:rPr>
      </w:pPr>
      <w:r>
        <w:rPr>
          <w:rFonts w:hint="eastAsia"/>
        </w:rPr>
        <w:t>果实完整，无明显腐烂、变质现象；具有该品种应有的基本色泽，果面无严重污染；果肉质地酥脆，无明显异味；果形无严重畸形，能够保持正常的商品形态。</w:t>
      </w:r>
    </w:p>
    <w:p w14:paraId="197D61BE">
      <w:pPr>
        <w:pStyle w:val="17"/>
        <w:spacing w:before="120" w:after="120"/>
        <w:rPr>
          <w:rFonts w:hint="eastAsia"/>
          <w:lang w:val="en-US" w:eastAsia="zh-CN"/>
        </w:rPr>
      </w:pPr>
      <w:bookmarkStart w:id="15" w:name="_Toc9952"/>
      <w:r>
        <w:rPr>
          <w:rFonts w:hint="eastAsia"/>
          <w:lang w:val="en-US" w:eastAsia="zh-CN"/>
        </w:rPr>
        <w:t>理化基本要求</w:t>
      </w:r>
      <w:bookmarkEnd w:id="15"/>
    </w:p>
    <w:p w14:paraId="4A91A8C1">
      <w:pPr>
        <w:pStyle w:val="12"/>
        <w:ind w:firstLine="420"/>
        <w:rPr>
          <w:rFonts w:hint="eastAsia"/>
        </w:rPr>
      </w:pPr>
      <w:r>
        <w:rPr>
          <w:rFonts w:hint="eastAsia"/>
        </w:rPr>
        <w:t>果实成熟度适中，可溶性固形物含量不低于</w:t>
      </w:r>
      <w:r>
        <w:rPr>
          <w:rFonts w:hint="eastAsia"/>
          <w:lang w:val="en-US" w:eastAsia="zh-CN"/>
        </w:rPr>
        <w:t xml:space="preserve"> </w:t>
      </w:r>
      <w:r>
        <w:rPr>
          <w:rFonts w:hint="eastAsia"/>
        </w:rPr>
        <w:t>14.5</w:t>
      </w:r>
      <w:r>
        <w:rPr>
          <w:rFonts w:hint="eastAsia"/>
          <w:lang w:val="en-US" w:eastAsia="zh-CN"/>
        </w:rPr>
        <w:t xml:space="preserve"> </w:t>
      </w:r>
      <w:r>
        <w:rPr>
          <w:rFonts w:hint="eastAsia"/>
        </w:rPr>
        <w:t>%，果实硬度不低于</w:t>
      </w:r>
      <w:r>
        <w:rPr>
          <w:rFonts w:hint="eastAsia"/>
          <w:lang w:val="en-US" w:eastAsia="zh-CN"/>
        </w:rPr>
        <w:t xml:space="preserve"> </w:t>
      </w:r>
      <w:r>
        <w:rPr>
          <w:rFonts w:hint="eastAsia"/>
        </w:rPr>
        <w:t>6.5</w:t>
      </w:r>
      <w:r>
        <w:rPr>
          <w:rFonts w:hint="eastAsia"/>
          <w:lang w:val="en-US" w:eastAsia="zh-CN"/>
        </w:rPr>
        <w:t xml:space="preserve"> </w:t>
      </w:r>
      <w:r>
        <w:rPr>
          <w:rFonts w:hint="eastAsia"/>
        </w:rPr>
        <w:t>kg/cm²，可滴定酸含量不高于</w:t>
      </w:r>
      <w:r>
        <w:rPr>
          <w:rFonts w:hint="eastAsia"/>
          <w:lang w:val="en-US" w:eastAsia="zh-CN"/>
        </w:rPr>
        <w:t xml:space="preserve"> </w:t>
      </w:r>
      <w:r>
        <w:rPr>
          <w:rFonts w:hint="eastAsia"/>
        </w:rPr>
        <w:t>0.4</w:t>
      </w:r>
      <w:r>
        <w:rPr>
          <w:rFonts w:hint="eastAsia"/>
          <w:lang w:val="en-US" w:eastAsia="zh-CN"/>
        </w:rPr>
        <w:t xml:space="preserve"> </w:t>
      </w:r>
      <w:r>
        <w:rPr>
          <w:rFonts w:hint="eastAsia"/>
        </w:rPr>
        <w:t>%，保证果实具有一定的风味和耐贮性。</w:t>
      </w:r>
    </w:p>
    <w:p w14:paraId="11640EA2">
      <w:pPr>
        <w:pStyle w:val="17"/>
        <w:spacing w:before="120" w:after="120"/>
        <w:rPr>
          <w:rFonts w:hint="eastAsia"/>
          <w:lang w:val="en-US" w:eastAsia="zh-CN"/>
        </w:rPr>
      </w:pPr>
      <w:bookmarkStart w:id="16" w:name="_Toc16388"/>
      <w:r>
        <w:rPr>
          <w:rFonts w:hint="eastAsia"/>
          <w:lang w:val="en-US" w:eastAsia="zh-CN"/>
        </w:rPr>
        <w:t>安全基本要求</w:t>
      </w:r>
      <w:bookmarkEnd w:id="16"/>
    </w:p>
    <w:p w14:paraId="5BCC8AC4">
      <w:pPr>
        <w:pStyle w:val="12"/>
        <w:ind w:firstLine="420"/>
        <w:rPr>
          <w:rFonts w:hint="eastAsia"/>
        </w:rPr>
      </w:pPr>
      <w:r>
        <w:rPr>
          <w:rFonts w:hint="eastAsia"/>
        </w:rPr>
        <w:t>必须符合</w:t>
      </w:r>
      <w:r>
        <w:rPr>
          <w:rFonts w:hint="eastAsia"/>
          <w:lang w:val="en-US" w:eastAsia="zh-CN"/>
        </w:rPr>
        <w:t xml:space="preserve"> </w:t>
      </w:r>
      <w:r>
        <w:rPr>
          <w:rFonts w:hint="eastAsia"/>
        </w:rPr>
        <w:t>GB</w:t>
      </w:r>
      <w:r>
        <w:rPr>
          <w:rFonts w:hint="eastAsia"/>
          <w:lang w:val="en-US" w:eastAsia="zh-CN"/>
        </w:rPr>
        <w:t xml:space="preserve"> </w:t>
      </w:r>
      <w:r>
        <w:rPr>
          <w:rFonts w:hint="eastAsia"/>
        </w:rPr>
        <w:t>2762</w:t>
      </w:r>
      <w:r>
        <w:rPr>
          <w:rFonts w:hint="eastAsia"/>
          <w:lang w:val="en-US" w:eastAsia="zh-CN"/>
        </w:rPr>
        <w:t xml:space="preserve"> </w:t>
      </w:r>
      <w:r>
        <w:rPr>
          <w:rFonts w:hint="eastAsia"/>
        </w:rPr>
        <w:t>和</w:t>
      </w:r>
      <w:r>
        <w:rPr>
          <w:rFonts w:hint="eastAsia"/>
          <w:lang w:val="en-US" w:eastAsia="zh-CN"/>
        </w:rPr>
        <w:t xml:space="preserve"> </w:t>
      </w:r>
      <w:r>
        <w:rPr>
          <w:rFonts w:hint="eastAsia"/>
        </w:rPr>
        <w:t>GB</w:t>
      </w:r>
      <w:r>
        <w:rPr>
          <w:rFonts w:hint="eastAsia"/>
          <w:lang w:val="en-US" w:eastAsia="zh-CN"/>
        </w:rPr>
        <w:t xml:space="preserve"> </w:t>
      </w:r>
      <w:r>
        <w:rPr>
          <w:rFonts w:hint="eastAsia"/>
        </w:rPr>
        <w:t>2763</w:t>
      </w:r>
      <w:r>
        <w:rPr>
          <w:rFonts w:hint="eastAsia"/>
          <w:lang w:val="en-US" w:eastAsia="zh-CN"/>
        </w:rPr>
        <w:t xml:space="preserve"> </w:t>
      </w:r>
      <w:r>
        <w:rPr>
          <w:rFonts w:hint="eastAsia"/>
        </w:rPr>
        <w:t>的规定，禁止使用国家明令禁止的农药和添加剂，确保食品安全。</w:t>
      </w:r>
    </w:p>
    <w:p w14:paraId="6E3DE839">
      <w:pPr>
        <w:pStyle w:val="17"/>
        <w:spacing w:before="120" w:after="120"/>
        <w:rPr>
          <w:rFonts w:hint="eastAsia"/>
          <w:lang w:val="en-US" w:eastAsia="zh-CN"/>
        </w:rPr>
      </w:pPr>
      <w:bookmarkStart w:id="17" w:name="_Toc24643"/>
      <w:r>
        <w:rPr>
          <w:rFonts w:hint="eastAsia"/>
          <w:lang w:val="en-US" w:eastAsia="zh-CN"/>
        </w:rPr>
        <w:t>其他基本要求</w:t>
      </w:r>
      <w:bookmarkEnd w:id="17"/>
    </w:p>
    <w:p w14:paraId="7E5308EB">
      <w:pPr>
        <w:pStyle w:val="12"/>
        <w:ind w:firstLine="420"/>
        <w:rPr>
          <w:rFonts w:hint="eastAsia"/>
        </w:rPr>
      </w:pPr>
      <w:r>
        <w:rPr>
          <w:rFonts w:hint="eastAsia"/>
        </w:rPr>
        <w:t>果实新鲜，采收后经过适当的处理，无明显失水、萎蔫现象；无外来异物附着，如泥土、杂草等影响商品品质的物质。</w:t>
      </w:r>
    </w:p>
    <w:p w14:paraId="2F4F6621">
      <w:pPr>
        <w:pStyle w:val="14"/>
        <w:spacing w:before="240" w:after="240"/>
        <w:rPr>
          <w:rFonts w:hint="eastAsia"/>
        </w:rPr>
      </w:pPr>
      <w:bookmarkStart w:id="18" w:name="_Toc27119"/>
      <w:r>
        <w:rPr>
          <w:rFonts w:hint="eastAsia"/>
        </w:rPr>
        <w:t>分级要求</w:t>
      </w:r>
      <w:bookmarkEnd w:id="18"/>
    </w:p>
    <w:p w14:paraId="2C12E4E6">
      <w:pPr>
        <w:pStyle w:val="17"/>
        <w:spacing w:before="120" w:after="120"/>
        <w:rPr>
          <w:rFonts w:hint="eastAsia"/>
          <w:lang w:val="en-US" w:eastAsia="zh-CN"/>
        </w:rPr>
      </w:pPr>
      <w:bookmarkStart w:id="19" w:name="_Toc17757"/>
      <w:r>
        <w:rPr>
          <w:rFonts w:hint="eastAsia"/>
          <w:lang w:val="en-US" w:eastAsia="zh-CN"/>
        </w:rPr>
        <w:t>感官与理化指标</w:t>
      </w:r>
      <w:bookmarkEnd w:id="19"/>
    </w:p>
    <w:p w14:paraId="5504F263">
      <w:pPr>
        <w:pStyle w:val="12"/>
        <w:ind w:firstLine="420"/>
        <w:rPr>
          <w:rFonts w:hint="eastAsia"/>
        </w:rPr>
      </w:pPr>
      <w:r>
        <w:rPr>
          <w:rFonts w:hint="eastAsia"/>
        </w:rPr>
        <w:t>在符合基本要求的前提下，大宁宁粹苹果分为特级、一级和二级，各等级的感官与理化指标应符合表1的规定。</w:t>
      </w:r>
    </w:p>
    <w:p w14:paraId="68EF7B19">
      <w:pPr>
        <w:rPr>
          <w:rFonts w:hint="eastAsia"/>
        </w:rPr>
      </w:pPr>
      <w:r>
        <w:rPr>
          <w:rFonts w:hint="eastAsia"/>
        </w:rPr>
        <w:br w:type="page"/>
      </w:r>
    </w:p>
    <w:p w14:paraId="5C4DEE1B">
      <w:pPr>
        <w:pStyle w:val="20"/>
        <w:tabs>
          <w:tab w:val="left" w:pos="0"/>
        </w:tabs>
        <w:spacing w:before="120" w:after="120"/>
        <w:rPr>
          <w:rFonts w:hint="eastAsia"/>
        </w:rPr>
      </w:pPr>
      <w:r>
        <w:rPr>
          <w:rFonts w:hint="eastAsia"/>
        </w:rPr>
        <w:t>感官与理化指标</w:t>
      </w:r>
    </w:p>
    <w:p w14:paraId="5138DFE3">
      <w:pPr>
        <w:pStyle w:val="12"/>
        <w:ind w:left="0" w:leftChars="0" w:firstLine="0" w:firstLineChars="0"/>
        <w:rPr>
          <w:rFonts w:hint="eastAsia"/>
        </w:rPr>
      </w:pPr>
    </w:p>
    <w:p w14:paraId="3AAE13C0">
      <w:pPr>
        <w:spacing w:line="121" w:lineRule="exact"/>
      </w:pPr>
    </w:p>
    <w:tbl>
      <w:tblPr>
        <w:tblStyle w:val="19"/>
        <w:tblW w:w="82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7"/>
        <w:gridCol w:w="716"/>
        <w:gridCol w:w="2371"/>
        <w:gridCol w:w="2339"/>
        <w:gridCol w:w="2151"/>
      </w:tblGrid>
      <w:tr w14:paraId="2664C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433" w:type="dxa"/>
            <w:gridSpan w:val="2"/>
            <w:tcBorders>
              <w:top w:val="single" w:color="000000" w:sz="6" w:space="0"/>
              <w:left w:val="single" w:color="000000" w:sz="6" w:space="0"/>
              <w:bottom w:val="single" w:color="000000" w:sz="6" w:space="0"/>
            </w:tcBorders>
            <w:vAlign w:val="top"/>
          </w:tcPr>
          <w:p w14:paraId="6FCA3AEB">
            <w:pPr>
              <w:pStyle w:val="21"/>
              <w:rPr>
                <w:rFonts w:hint="eastAsia"/>
              </w:rPr>
            </w:pPr>
            <w:r>
              <w:rPr>
                <w:rFonts w:hint="eastAsia"/>
              </w:rPr>
              <w:t>项 目</w:t>
            </w:r>
          </w:p>
        </w:tc>
        <w:tc>
          <w:tcPr>
            <w:tcW w:w="2371" w:type="dxa"/>
            <w:tcBorders>
              <w:top w:val="single" w:color="000000" w:sz="6" w:space="0"/>
              <w:bottom w:val="single" w:color="000000" w:sz="6" w:space="0"/>
            </w:tcBorders>
            <w:vAlign w:val="top"/>
          </w:tcPr>
          <w:p w14:paraId="760857A6">
            <w:pPr>
              <w:pStyle w:val="21"/>
              <w:rPr>
                <w:rFonts w:hint="eastAsia"/>
              </w:rPr>
            </w:pPr>
            <w:r>
              <w:rPr>
                <w:rFonts w:hint="eastAsia"/>
              </w:rPr>
              <w:t>特级</w:t>
            </w:r>
          </w:p>
        </w:tc>
        <w:tc>
          <w:tcPr>
            <w:tcW w:w="2339" w:type="dxa"/>
            <w:tcBorders>
              <w:top w:val="single" w:color="000000" w:sz="6" w:space="0"/>
              <w:bottom w:val="single" w:color="000000" w:sz="6" w:space="0"/>
            </w:tcBorders>
            <w:vAlign w:val="top"/>
          </w:tcPr>
          <w:p w14:paraId="1FD97C1E">
            <w:pPr>
              <w:pStyle w:val="21"/>
              <w:rPr>
                <w:rFonts w:hint="eastAsia"/>
              </w:rPr>
            </w:pPr>
            <w:r>
              <w:rPr>
                <w:rFonts w:hint="eastAsia"/>
              </w:rPr>
              <w:t>一级</w:t>
            </w:r>
          </w:p>
        </w:tc>
        <w:tc>
          <w:tcPr>
            <w:tcW w:w="2151" w:type="dxa"/>
            <w:tcBorders>
              <w:top w:val="single" w:color="000000" w:sz="6" w:space="0"/>
              <w:bottom w:val="single" w:color="000000" w:sz="6" w:space="0"/>
              <w:right w:val="single" w:color="000000" w:sz="6" w:space="0"/>
            </w:tcBorders>
            <w:vAlign w:val="top"/>
          </w:tcPr>
          <w:p w14:paraId="44F17DDA">
            <w:pPr>
              <w:pStyle w:val="21"/>
              <w:rPr>
                <w:rFonts w:hint="eastAsia"/>
              </w:rPr>
            </w:pPr>
            <w:r>
              <w:rPr>
                <w:rFonts w:hint="eastAsia"/>
              </w:rPr>
              <w:t>二级</w:t>
            </w:r>
          </w:p>
        </w:tc>
      </w:tr>
      <w:tr w14:paraId="7AC63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1433" w:type="dxa"/>
            <w:gridSpan w:val="2"/>
            <w:tcBorders>
              <w:top w:val="single" w:color="000000" w:sz="6" w:space="0"/>
              <w:left w:val="single" w:color="000000" w:sz="6" w:space="0"/>
            </w:tcBorders>
            <w:vAlign w:val="center"/>
          </w:tcPr>
          <w:p w14:paraId="5C8BB936">
            <w:pPr>
              <w:pStyle w:val="21"/>
              <w:jc w:val="center"/>
              <w:rPr>
                <w:rFonts w:hint="eastAsia"/>
              </w:rPr>
            </w:pPr>
            <w:r>
              <w:rPr>
                <w:rFonts w:hint="eastAsia"/>
              </w:rPr>
              <w:t>色泽</w:t>
            </w:r>
          </w:p>
        </w:tc>
        <w:tc>
          <w:tcPr>
            <w:tcW w:w="2371" w:type="dxa"/>
            <w:tcBorders>
              <w:top w:val="single" w:color="000000" w:sz="6" w:space="0"/>
            </w:tcBorders>
            <w:vAlign w:val="center"/>
          </w:tcPr>
          <w:p w14:paraId="73498341">
            <w:pPr>
              <w:pStyle w:val="21"/>
              <w:jc w:val="center"/>
              <w:rPr>
                <w:rFonts w:hint="eastAsia"/>
              </w:rPr>
            </w:pPr>
            <w:r>
              <w:rPr>
                <w:rFonts w:hint="eastAsia" w:ascii="宋体" w:hAnsi="宋体" w:eastAsia="宋体" w:cs="宋体"/>
                <w:b w:val="0"/>
                <w:bCs w:val="0"/>
                <w:color w:val="000000"/>
                <w:sz w:val="18"/>
                <w:szCs w:val="18"/>
              </w:rPr>
              <w:t>集中着色面积95%以上，条红或片红</w:t>
            </w:r>
          </w:p>
        </w:tc>
        <w:tc>
          <w:tcPr>
            <w:tcW w:w="2339" w:type="dxa"/>
            <w:tcBorders>
              <w:top w:val="single" w:color="000000" w:sz="6" w:space="0"/>
            </w:tcBorders>
            <w:vAlign w:val="center"/>
          </w:tcPr>
          <w:p w14:paraId="3973A678">
            <w:pPr>
              <w:pStyle w:val="21"/>
              <w:jc w:val="center"/>
              <w:rPr>
                <w:rFonts w:hint="eastAsia"/>
              </w:rPr>
            </w:pPr>
            <w:r>
              <w:rPr>
                <w:rFonts w:hint="eastAsia" w:ascii="宋体" w:hAnsi="宋体" w:eastAsia="宋体" w:cs="宋体"/>
                <w:b w:val="0"/>
                <w:bCs w:val="0"/>
                <w:color w:val="000000"/>
                <w:sz w:val="18"/>
                <w:szCs w:val="18"/>
              </w:rPr>
              <w:t>集中着色面积80%～95%（不含95%）， 条红或片红</w:t>
            </w:r>
          </w:p>
        </w:tc>
        <w:tc>
          <w:tcPr>
            <w:tcW w:w="2151" w:type="dxa"/>
            <w:tcBorders>
              <w:top w:val="single" w:color="000000" w:sz="6" w:space="0"/>
              <w:right w:val="single" w:color="000000" w:sz="6" w:space="0"/>
            </w:tcBorders>
            <w:vAlign w:val="center"/>
          </w:tcPr>
          <w:p w14:paraId="39BCAF6B">
            <w:pPr>
              <w:pStyle w:val="21"/>
              <w:jc w:val="center"/>
              <w:rPr>
                <w:rFonts w:hint="eastAsia"/>
              </w:rPr>
            </w:pPr>
            <w:r>
              <w:rPr>
                <w:rFonts w:hint="eastAsia" w:ascii="宋体" w:hAnsi="宋体" w:eastAsia="宋体" w:cs="宋体"/>
                <w:b w:val="0"/>
                <w:bCs w:val="0"/>
                <w:color w:val="000000"/>
                <w:sz w:val="18"/>
                <w:szCs w:val="18"/>
              </w:rPr>
              <w:t>集中着色面积70%～80%（不含 80%），条红或片红</w:t>
            </w:r>
          </w:p>
        </w:tc>
      </w:tr>
      <w:tr w14:paraId="0573B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433" w:type="dxa"/>
            <w:gridSpan w:val="2"/>
            <w:tcBorders>
              <w:left w:val="single" w:color="000000" w:sz="6" w:space="0"/>
            </w:tcBorders>
            <w:vAlign w:val="center"/>
          </w:tcPr>
          <w:p w14:paraId="52B47080">
            <w:pPr>
              <w:pStyle w:val="21"/>
              <w:jc w:val="center"/>
              <w:rPr>
                <w:rFonts w:hint="eastAsia"/>
              </w:rPr>
            </w:pPr>
            <w:r>
              <w:rPr>
                <w:rFonts w:hint="eastAsia"/>
              </w:rPr>
              <w:t>果形</w:t>
            </w:r>
          </w:p>
        </w:tc>
        <w:tc>
          <w:tcPr>
            <w:tcW w:w="2371" w:type="dxa"/>
            <w:vAlign w:val="center"/>
          </w:tcPr>
          <w:p w14:paraId="18B3283A">
            <w:pPr>
              <w:pStyle w:val="21"/>
              <w:jc w:val="center"/>
              <w:rPr>
                <w:rFonts w:hint="eastAsia"/>
              </w:rPr>
            </w:pPr>
            <w:r>
              <w:rPr>
                <w:rFonts w:hint="eastAsia"/>
              </w:rPr>
              <w:t>果形端正，符合该品种典型果形，果形指数</w:t>
            </w:r>
            <w:r>
              <w:rPr>
                <w:rFonts w:hint="eastAsia"/>
                <w:lang w:eastAsia="zh-CN"/>
              </w:rPr>
              <w:t>（</w:t>
            </w:r>
            <w:r>
              <w:rPr>
                <w:rFonts w:hint="eastAsia"/>
              </w:rPr>
              <w:t>纵径/横径）偏差不超过10%</w:t>
            </w:r>
          </w:p>
        </w:tc>
        <w:tc>
          <w:tcPr>
            <w:tcW w:w="2339" w:type="dxa"/>
            <w:vAlign w:val="center"/>
          </w:tcPr>
          <w:p w14:paraId="6D743415">
            <w:pPr>
              <w:pStyle w:val="21"/>
              <w:jc w:val="center"/>
              <w:rPr>
                <w:rFonts w:hint="eastAsia"/>
              </w:rPr>
            </w:pPr>
            <w:r>
              <w:rPr>
                <w:rFonts w:hint="eastAsia"/>
              </w:rPr>
              <w:t>果形较端正，基本符合该品种典型果形，果形指数偏差不超过15%</w:t>
            </w:r>
          </w:p>
        </w:tc>
        <w:tc>
          <w:tcPr>
            <w:tcW w:w="2151" w:type="dxa"/>
            <w:tcBorders>
              <w:right w:val="single" w:color="000000" w:sz="6" w:space="0"/>
            </w:tcBorders>
            <w:vAlign w:val="center"/>
          </w:tcPr>
          <w:p w14:paraId="5BABCFF4">
            <w:pPr>
              <w:pStyle w:val="21"/>
              <w:jc w:val="center"/>
              <w:rPr>
                <w:rFonts w:hint="eastAsia"/>
              </w:rPr>
            </w:pPr>
            <w:r>
              <w:rPr>
                <w:rFonts w:hint="eastAsia"/>
              </w:rPr>
              <w:t>果形允许有一定偏差，无明显畸形</w:t>
            </w:r>
          </w:p>
        </w:tc>
      </w:tr>
      <w:tr w14:paraId="56375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433" w:type="dxa"/>
            <w:gridSpan w:val="2"/>
            <w:tcBorders>
              <w:left w:val="single" w:color="000000" w:sz="6" w:space="0"/>
            </w:tcBorders>
            <w:vAlign w:val="center"/>
          </w:tcPr>
          <w:p w14:paraId="3FB3175A">
            <w:pPr>
              <w:pStyle w:val="21"/>
              <w:jc w:val="center"/>
              <w:rPr>
                <w:rFonts w:hint="eastAsia"/>
              </w:rPr>
            </w:pPr>
            <w:r>
              <w:rPr>
                <w:rFonts w:hint="eastAsia"/>
              </w:rPr>
              <w:t>风味</w:t>
            </w:r>
          </w:p>
        </w:tc>
        <w:tc>
          <w:tcPr>
            <w:tcW w:w="2371" w:type="dxa"/>
            <w:vAlign w:val="center"/>
          </w:tcPr>
          <w:p w14:paraId="0F8E6DE2">
            <w:pPr>
              <w:pStyle w:val="21"/>
              <w:jc w:val="center"/>
              <w:rPr>
                <w:rFonts w:hint="eastAsia"/>
              </w:rPr>
            </w:pPr>
            <w:r>
              <w:rPr>
                <w:rFonts w:hint="eastAsia"/>
              </w:rPr>
              <w:t>具有浓郁的该品种特有风味，果肉细腻，酥脆爽口，汁液多，风味甜香浓郁</w:t>
            </w:r>
          </w:p>
        </w:tc>
        <w:tc>
          <w:tcPr>
            <w:tcW w:w="2339" w:type="dxa"/>
            <w:vAlign w:val="center"/>
          </w:tcPr>
          <w:p w14:paraId="256650A9">
            <w:pPr>
              <w:pStyle w:val="21"/>
              <w:jc w:val="center"/>
              <w:rPr>
                <w:rFonts w:hint="eastAsia"/>
              </w:rPr>
            </w:pPr>
            <w:r>
              <w:rPr>
                <w:rFonts w:hint="eastAsia"/>
              </w:rPr>
              <w:t>具有良好的该品种特有风味，甜酸较适口，有一定香气，</w:t>
            </w:r>
            <w:r>
              <w:rPr>
                <w:rFonts w:hint="eastAsia" w:hAnsi="Times New Roman" w:cs="Times New Roman"/>
              </w:rPr>
              <w:t>无</w:t>
            </w:r>
            <w:r>
              <w:rPr>
                <w:rFonts w:hint="eastAsia"/>
              </w:rPr>
              <w:t>异味</w:t>
            </w:r>
          </w:p>
        </w:tc>
        <w:tc>
          <w:tcPr>
            <w:tcW w:w="2151" w:type="dxa"/>
            <w:tcBorders>
              <w:right w:val="single" w:color="000000" w:sz="6" w:space="0"/>
            </w:tcBorders>
            <w:vAlign w:val="center"/>
          </w:tcPr>
          <w:p w14:paraId="27668B10">
            <w:pPr>
              <w:pStyle w:val="21"/>
              <w:jc w:val="center"/>
              <w:rPr>
                <w:rFonts w:hint="eastAsia"/>
              </w:rPr>
            </w:pPr>
            <w:r>
              <w:rPr>
                <w:rFonts w:hint="eastAsia"/>
              </w:rPr>
              <w:t>具有该品种基本的特有风味，甜酸尚可，无异味</w:t>
            </w:r>
          </w:p>
        </w:tc>
      </w:tr>
      <w:tr w14:paraId="33C84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433" w:type="dxa"/>
            <w:gridSpan w:val="2"/>
            <w:tcBorders>
              <w:left w:val="single" w:color="000000" w:sz="6" w:space="0"/>
            </w:tcBorders>
            <w:vAlign w:val="center"/>
          </w:tcPr>
          <w:p w14:paraId="04E80C26">
            <w:pPr>
              <w:pStyle w:val="21"/>
              <w:jc w:val="center"/>
              <w:rPr>
                <w:rFonts w:hint="eastAsia"/>
              </w:rPr>
            </w:pPr>
            <w:r>
              <w:rPr>
                <w:rFonts w:hint="eastAsia"/>
              </w:rPr>
              <w:t>可溶性固形物（%）</w:t>
            </w:r>
          </w:p>
        </w:tc>
        <w:tc>
          <w:tcPr>
            <w:tcW w:w="2371" w:type="dxa"/>
            <w:vAlign w:val="center"/>
          </w:tcPr>
          <w:p w14:paraId="4D42E503">
            <w:pPr>
              <w:pStyle w:val="21"/>
              <w:jc w:val="center"/>
              <w:rPr>
                <w:rFonts w:hint="eastAsia"/>
              </w:rPr>
            </w:pPr>
            <w:r>
              <w:rPr>
                <w:rFonts w:hint="eastAsia"/>
              </w:rPr>
              <w:t>≥1</w:t>
            </w:r>
            <w:r>
              <w:rPr>
                <w:rFonts w:hint="eastAsia"/>
                <w:lang w:val="en-US" w:eastAsia="zh-CN"/>
              </w:rPr>
              <w:t>3</w:t>
            </w:r>
            <w:r>
              <w:rPr>
                <w:rFonts w:hint="eastAsia"/>
              </w:rPr>
              <w:t>.5</w:t>
            </w:r>
          </w:p>
        </w:tc>
        <w:tc>
          <w:tcPr>
            <w:tcW w:w="2339" w:type="dxa"/>
            <w:vAlign w:val="center"/>
          </w:tcPr>
          <w:p w14:paraId="254D57A9">
            <w:pPr>
              <w:pStyle w:val="21"/>
              <w:jc w:val="center"/>
              <w:rPr>
                <w:rFonts w:hint="eastAsia"/>
              </w:rPr>
            </w:pPr>
            <w:r>
              <w:rPr>
                <w:rFonts w:hint="eastAsia"/>
              </w:rPr>
              <w:t>≥1</w:t>
            </w:r>
            <w:r>
              <w:rPr>
                <w:rFonts w:hint="eastAsia"/>
                <w:lang w:val="en-US" w:eastAsia="zh-CN"/>
              </w:rPr>
              <w:t>2</w:t>
            </w:r>
            <w:r>
              <w:rPr>
                <w:rFonts w:hint="eastAsia"/>
              </w:rPr>
              <w:t>.5</w:t>
            </w:r>
          </w:p>
        </w:tc>
        <w:tc>
          <w:tcPr>
            <w:tcW w:w="2151" w:type="dxa"/>
            <w:tcBorders>
              <w:right w:val="single" w:color="000000" w:sz="6" w:space="0"/>
            </w:tcBorders>
            <w:vAlign w:val="center"/>
          </w:tcPr>
          <w:p w14:paraId="1DD74283">
            <w:pPr>
              <w:pStyle w:val="21"/>
              <w:jc w:val="center"/>
              <w:rPr>
                <w:rFonts w:hint="eastAsia"/>
              </w:rPr>
            </w:pPr>
            <w:r>
              <w:rPr>
                <w:rFonts w:hint="eastAsia"/>
              </w:rPr>
              <w:t>≥1</w:t>
            </w:r>
            <w:r>
              <w:rPr>
                <w:rFonts w:hint="eastAsia"/>
                <w:lang w:val="en-US" w:eastAsia="zh-CN"/>
              </w:rPr>
              <w:t>1</w:t>
            </w:r>
            <w:r>
              <w:rPr>
                <w:rFonts w:hint="eastAsia"/>
              </w:rPr>
              <w:t>.5</w:t>
            </w:r>
          </w:p>
        </w:tc>
      </w:tr>
      <w:tr w14:paraId="49225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433" w:type="dxa"/>
            <w:gridSpan w:val="2"/>
            <w:tcBorders>
              <w:left w:val="single" w:color="000000" w:sz="6" w:space="0"/>
            </w:tcBorders>
            <w:vAlign w:val="center"/>
          </w:tcPr>
          <w:p w14:paraId="56CDB12A">
            <w:pPr>
              <w:pStyle w:val="21"/>
              <w:jc w:val="center"/>
              <w:rPr>
                <w:rFonts w:hint="eastAsia"/>
              </w:rPr>
            </w:pPr>
            <w:r>
              <w:rPr>
                <w:rFonts w:hint="eastAsia"/>
              </w:rPr>
              <w:t>硬度（kg/</w:t>
            </w:r>
            <w:r>
              <w:rPr>
                <w:rFonts w:hint="eastAsia"/>
                <w:lang w:eastAsia="zh-CN"/>
              </w:rPr>
              <w:t>cm²</w:t>
            </w:r>
            <w:r>
              <w:rPr>
                <w:rFonts w:hint="eastAsia"/>
              </w:rPr>
              <w:t>）</w:t>
            </w:r>
          </w:p>
        </w:tc>
        <w:tc>
          <w:tcPr>
            <w:tcW w:w="2371" w:type="dxa"/>
            <w:vAlign w:val="center"/>
          </w:tcPr>
          <w:p w14:paraId="17A6177F">
            <w:pPr>
              <w:pStyle w:val="21"/>
              <w:jc w:val="center"/>
              <w:rPr>
                <w:rFonts w:hint="eastAsia"/>
              </w:rPr>
            </w:pPr>
            <w:r>
              <w:rPr>
                <w:rFonts w:hint="eastAsia"/>
              </w:rPr>
              <w:t>≥</w:t>
            </w:r>
            <w:r>
              <w:rPr>
                <w:rFonts w:hint="eastAsia"/>
                <w:lang w:val="en-US" w:eastAsia="zh-CN"/>
              </w:rPr>
              <w:t>8</w:t>
            </w:r>
            <w:r>
              <w:rPr>
                <w:rFonts w:hint="eastAsia"/>
              </w:rPr>
              <w:t>.5</w:t>
            </w:r>
          </w:p>
        </w:tc>
        <w:tc>
          <w:tcPr>
            <w:tcW w:w="2339" w:type="dxa"/>
            <w:vAlign w:val="center"/>
          </w:tcPr>
          <w:p w14:paraId="0A33E279">
            <w:pPr>
              <w:pStyle w:val="21"/>
              <w:jc w:val="center"/>
              <w:rPr>
                <w:rFonts w:hint="eastAsia"/>
              </w:rPr>
            </w:pPr>
            <w:r>
              <w:rPr>
                <w:rFonts w:hint="eastAsia"/>
              </w:rPr>
              <w:t>≥7.5</w:t>
            </w:r>
          </w:p>
        </w:tc>
        <w:tc>
          <w:tcPr>
            <w:tcW w:w="2151" w:type="dxa"/>
            <w:tcBorders>
              <w:right w:val="single" w:color="000000" w:sz="6" w:space="0"/>
            </w:tcBorders>
            <w:vAlign w:val="center"/>
          </w:tcPr>
          <w:p w14:paraId="3726E040">
            <w:pPr>
              <w:pStyle w:val="21"/>
              <w:jc w:val="center"/>
              <w:rPr>
                <w:rFonts w:hint="eastAsia"/>
              </w:rPr>
            </w:pPr>
            <w:r>
              <w:rPr>
                <w:rFonts w:hint="eastAsia"/>
              </w:rPr>
              <w:t>≥</w:t>
            </w:r>
            <w:r>
              <w:rPr>
                <w:rFonts w:hint="eastAsia"/>
                <w:lang w:val="en-US" w:eastAsia="zh-CN"/>
              </w:rPr>
              <w:t>6</w:t>
            </w:r>
            <w:r>
              <w:rPr>
                <w:rFonts w:hint="eastAsia"/>
              </w:rPr>
              <w:t>.5</w:t>
            </w:r>
          </w:p>
        </w:tc>
      </w:tr>
      <w:tr w14:paraId="0A367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trPr>
        <w:tc>
          <w:tcPr>
            <w:tcW w:w="1433" w:type="dxa"/>
            <w:gridSpan w:val="2"/>
            <w:vMerge w:val="restart"/>
            <w:tcBorders>
              <w:left w:val="single" w:color="000000" w:sz="6" w:space="0"/>
            </w:tcBorders>
            <w:vAlign w:val="center"/>
          </w:tcPr>
          <w:p w14:paraId="1848F0DD">
            <w:pPr>
              <w:pStyle w:val="21"/>
              <w:jc w:val="center"/>
              <w:rPr>
                <w:rFonts w:hint="eastAsia"/>
              </w:rPr>
            </w:pPr>
            <w:r>
              <w:rPr>
                <w:rFonts w:hint="eastAsia"/>
              </w:rPr>
              <w:t>果实横径（mm）</w:t>
            </w:r>
          </w:p>
        </w:tc>
        <w:tc>
          <w:tcPr>
            <w:tcW w:w="6861" w:type="dxa"/>
            <w:gridSpan w:val="3"/>
            <w:tcBorders>
              <w:right w:val="single" w:color="000000" w:sz="6" w:space="0"/>
            </w:tcBorders>
            <w:vAlign w:val="center"/>
          </w:tcPr>
          <w:p w14:paraId="37BE8060">
            <w:pPr>
              <w:pStyle w:val="21"/>
              <w:ind w:firstLine="1620" w:firstLineChars="900"/>
              <w:jc w:val="both"/>
              <w:rPr>
                <w:rFonts w:hint="eastAsia"/>
              </w:rPr>
            </w:pPr>
            <w:r>
              <w:rPr>
                <w:rFonts w:hint="eastAsia"/>
                <w:lang w:val="en-US" w:eastAsia="zh-CN"/>
              </w:rPr>
              <w:t>小型果，</w:t>
            </w:r>
            <w:r>
              <w:rPr>
                <w:rFonts w:hint="eastAsia"/>
              </w:rPr>
              <w:t>果实横径</w:t>
            </w:r>
            <w:r>
              <w:rPr>
                <w:rFonts w:hint="eastAsia"/>
                <w:lang w:val="en-US" w:eastAsia="zh-CN"/>
              </w:rPr>
              <w:t>75</w:t>
            </w:r>
            <w:r>
              <w:rPr>
                <w:rFonts w:hint="eastAsia"/>
              </w:rPr>
              <w:t>mm～</w:t>
            </w:r>
            <w:r>
              <w:rPr>
                <w:rFonts w:hint="eastAsia"/>
                <w:lang w:val="en-US" w:eastAsia="zh-CN"/>
              </w:rPr>
              <w:t>80</w:t>
            </w:r>
            <w:r>
              <w:rPr>
                <w:rFonts w:hint="eastAsia"/>
              </w:rPr>
              <w:t>mm</w:t>
            </w:r>
            <w:r>
              <w:rPr>
                <w:rFonts w:hint="eastAsia"/>
                <w:lang w:eastAsia="zh-CN"/>
              </w:rPr>
              <w:t>（不含</w:t>
            </w:r>
            <w:r>
              <w:rPr>
                <w:rFonts w:hint="eastAsia"/>
                <w:lang w:val="en-US" w:eastAsia="zh-CN"/>
              </w:rPr>
              <w:t>80</w:t>
            </w:r>
            <w:r>
              <w:rPr>
                <w:rFonts w:hint="eastAsia"/>
              </w:rPr>
              <w:t>mm</w:t>
            </w:r>
            <w:r>
              <w:rPr>
                <w:rFonts w:hint="eastAsia"/>
                <w:lang w:eastAsia="zh-CN"/>
              </w:rPr>
              <w:t>）</w:t>
            </w:r>
          </w:p>
        </w:tc>
      </w:tr>
      <w:tr w14:paraId="00165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trPr>
        <w:tc>
          <w:tcPr>
            <w:tcW w:w="1433" w:type="dxa"/>
            <w:gridSpan w:val="2"/>
            <w:vMerge w:val="continue"/>
            <w:tcBorders>
              <w:left w:val="single" w:color="000000" w:sz="6" w:space="0"/>
            </w:tcBorders>
            <w:vAlign w:val="center"/>
          </w:tcPr>
          <w:p w14:paraId="149AE372">
            <w:pPr>
              <w:pStyle w:val="21"/>
              <w:jc w:val="center"/>
            </w:pPr>
          </w:p>
        </w:tc>
        <w:tc>
          <w:tcPr>
            <w:tcW w:w="6861" w:type="dxa"/>
            <w:gridSpan w:val="3"/>
            <w:tcBorders>
              <w:right w:val="single" w:color="000000" w:sz="6" w:space="0"/>
            </w:tcBorders>
            <w:vAlign w:val="center"/>
          </w:tcPr>
          <w:p w14:paraId="6B6926D8">
            <w:pPr>
              <w:pStyle w:val="21"/>
              <w:ind w:firstLine="1620" w:firstLineChars="900"/>
              <w:jc w:val="both"/>
              <w:rPr>
                <w:rFonts w:hint="eastAsia"/>
                <w:lang w:val="en-US" w:eastAsia="zh-CN"/>
              </w:rPr>
            </w:pPr>
            <w:r>
              <w:rPr>
                <w:rFonts w:hint="eastAsia"/>
                <w:lang w:val="en-US" w:eastAsia="zh-CN"/>
              </w:rPr>
              <w:t>中型果，</w:t>
            </w:r>
            <w:r>
              <w:rPr>
                <w:rFonts w:hint="eastAsia"/>
              </w:rPr>
              <w:t>果实横径</w:t>
            </w:r>
            <w:r>
              <w:rPr>
                <w:rFonts w:hint="eastAsia"/>
                <w:lang w:val="en-US" w:eastAsia="zh-CN"/>
              </w:rPr>
              <w:t>80</w:t>
            </w:r>
            <w:r>
              <w:rPr>
                <w:rFonts w:hint="eastAsia"/>
              </w:rPr>
              <w:t>mm～</w:t>
            </w:r>
            <w:r>
              <w:rPr>
                <w:rFonts w:hint="eastAsia"/>
                <w:lang w:val="en-US" w:eastAsia="zh-CN"/>
              </w:rPr>
              <w:t>85</w:t>
            </w:r>
            <w:r>
              <w:rPr>
                <w:rFonts w:hint="eastAsia"/>
              </w:rPr>
              <w:t>mm</w:t>
            </w:r>
            <w:r>
              <w:rPr>
                <w:rFonts w:hint="eastAsia"/>
                <w:lang w:eastAsia="zh-CN"/>
              </w:rPr>
              <w:t>（不含</w:t>
            </w:r>
            <w:r>
              <w:rPr>
                <w:rFonts w:hint="eastAsia"/>
                <w:lang w:val="en-US" w:eastAsia="zh-CN"/>
              </w:rPr>
              <w:t>85</w:t>
            </w:r>
            <w:r>
              <w:rPr>
                <w:rFonts w:hint="eastAsia"/>
              </w:rPr>
              <w:t>mm</w:t>
            </w:r>
            <w:r>
              <w:rPr>
                <w:rFonts w:hint="eastAsia"/>
                <w:lang w:eastAsia="zh-CN"/>
              </w:rPr>
              <w:t>）</w:t>
            </w:r>
          </w:p>
        </w:tc>
      </w:tr>
      <w:tr w14:paraId="65C6B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 w:hRule="atLeast"/>
        </w:trPr>
        <w:tc>
          <w:tcPr>
            <w:tcW w:w="1433" w:type="dxa"/>
            <w:gridSpan w:val="2"/>
            <w:vMerge w:val="continue"/>
            <w:tcBorders>
              <w:left w:val="single" w:color="000000" w:sz="6" w:space="0"/>
            </w:tcBorders>
            <w:vAlign w:val="center"/>
          </w:tcPr>
          <w:p w14:paraId="64BCC9EF">
            <w:pPr>
              <w:pStyle w:val="21"/>
              <w:jc w:val="center"/>
              <w:rPr>
                <w:rFonts w:hint="eastAsia"/>
                <w:lang w:val="en-US" w:eastAsia="zh-CN"/>
              </w:rPr>
            </w:pPr>
          </w:p>
        </w:tc>
        <w:tc>
          <w:tcPr>
            <w:tcW w:w="6861" w:type="dxa"/>
            <w:gridSpan w:val="3"/>
            <w:tcBorders>
              <w:right w:val="single" w:color="000000" w:sz="6" w:space="0"/>
            </w:tcBorders>
            <w:vAlign w:val="center"/>
          </w:tcPr>
          <w:p w14:paraId="1DB019B6">
            <w:pPr>
              <w:pStyle w:val="21"/>
              <w:ind w:firstLine="1620" w:firstLineChars="900"/>
              <w:jc w:val="both"/>
              <w:rPr>
                <w:rFonts w:hint="eastAsia"/>
                <w:lang w:val="en-US" w:eastAsia="zh-CN"/>
              </w:rPr>
            </w:pPr>
            <w:r>
              <w:rPr>
                <w:rFonts w:hint="eastAsia"/>
                <w:lang w:val="en-US" w:eastAsia="zh-CN"/>
              </w:rPr>
              <w:t>大型果，</w:t>
            </w:r>
            <w:r>
              <w:rPr>
                <w:rFonts w:hint="eastAsia"/>
              </w:rPr>
              <w:t>果实横径</w:t>
            </w:r>
            <w:r>
              <w:rPr>
                <w:rFonts w:hint="eastAsia"/>
                <w:lang w:val="en-US" w:eastAsia="zh-CN"/>
              </w:rPr>
              <w:t>85</w:t>
            </w:r>
            <w:r>
              <w:rPr>
                <w:rFonts w:hint="eastAsia"/>
              </w:rPr>
              <w:t>mm</w:t>
            </w:r>
            <w:r>
              <w:rPr>
                <w:rFonts w:hint="eastAsia"/>
                <w:lang w:eastAsia="zh-CN"/>
              </w:rPr>
              <w:t>以上</w:t>
            </w:r>
          </w:p>
        </w:tc>
      </w:tr>
      <w:tr w14:paraId="016EF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restart"/>
            <w:tcBorders>
              <w:left w:val="single" w:color="000000" w:sz="6" w:space="0"/>
              <w:right w:val="single" w:color="auto" w:sz="4" w:space="0"/>
            </w:tcBorders>
            <w:shd w:val="clear" w:color="auto" w:fill="auto"/>
            <w:vAlign w:val="center"/>
          </w:tcPr>
          <w:p w14:paraId="7340E146">
            <w:pPr>
              <w:pStyle w:val="21"/>
              <w:jc w:val="center"/>
              <w:rPr>
                <w:spacing w:val="-4"/>
              </w:rPr>
            </w:pPr>
            <w:r>
              <w:rPr>
                <w:spacing w:val="-4"/>
              </w:rPr>
              <w:t>果</w:t>
            </w:r>
          </w:p>
          <w:p w14:paraId="1E478D2D">
            <w:pPr>
              <w:pStyle w:val="21"/>
              <w:jc w:val="center"/>
              <w:rPr>
                <w:spacing w:val="-4"/>
              </w:rPr>
            </w:pPr>
            <w:r>
              <w:rPr>
                <w:spacing w:val="-4"/>
              </w:rPr>
              <w:t>面</w:t>
            </w:r>
          </w:p>
          <w:p w14:paraId="66EE56C5">
            <w:pPr>
              <w:pStyle w:val="21"/>
              <w:jc w:val="center"/>
              <w:rPr>
                <w:spacing w:val="-4"/>
              </w:rPr>
            </w:pPr>
            <w:r>
              <w:rPr>
                <w:spacing w:val="-4"/>
              </w:rPr>
              <w:t>缺</w:t>
            </w:r>
          </w:p>
          <w:p w14:paraId="143E3D04">
            <w:pPr>
              <w:pStyle w:val="21"/>
              <w:jc w:val="center"/>
              <w:rPr>
                <w:rFonts w:hint="eastAsia"/>
                <w:lang w:val="en-US" w:eastAsia="en-US"/>
              </w:rPr>
            </w:pPr>
            <w:r>
              <w:rPr>
                <w:spacing w:val="-4"/>
              </w:rPr>
              <w:t>陷</w:t>
            </w:r>
          </w:p>
        </w:tc>
        <w:tc>
          <w:tcPr>
            <w:tcW w:w="716" w:type="dxa"/>
            <w:tcBorders>
              <w:left w:val="single" w:color="auto" w:sz="4" w:space="0"/>
            </w:tcBorders>
            <w:shd w:val="clear" w:color="auto" w:fill="auto"/>
            <w:vAlign w:val="center"/>
          </w:tcPr>
          <w:p w14:paraId="4A2F2B4A">
            <w:pPr>
              <w:pStyle w:val="21"/>
              <w:ind w:firstLine="0" w:firstLineChars="0"/>
              <w:jc w:val="center"/>
              <w:rPr>
                <w:rFonts w:hint="eastAsia" w:ascii="宋体" w:hAnsi="Times New Roman" w:eastAsia="宋体" w:cs="Times New Roman"/>
                <w:sz w:val="18"/>
                <w:lang w:val="en-US" w:eastAsia="en-US" w:bidi="ar-SA"/>
              </w:rPr>
            </w:pPr>
            <w:r>
              <w:rPr>
                <w:rFonts w:hint="eastAsia"/>
              </w:rPr>
              <w:t>机械伤</w:t>
            </w:r>
          </w:p>
        </w:tc>
        <w:tc>
          <w:tcPr>
            <w:tcW w:w="2371" w:type="dxa"/>
            <w:shd w:val="clear" w:color="auto" w:fill="auto"/>
            <w:vAlign w:val="center"/>
          </w:tcPr>
          <w:p w14:paraId="4CEEE216">
            <w:pPr>
              <w:pStyle w:val="21"/>
              <w:jc w:val="center"/>
              <w:rPr>
                <w:rFonts w:hint="eastAsia"/>
                <w:lang w:val="en-US" w:eastAsia="en-US"/>
              </w:rPr>
            </w:pPr>
            <w:r>
              <w:rPr>
                <w:rFonts w:hint="eastAsia"/>
              </w:rPr>
              <w:t>无</w:t>
            </w:r>
          </w:p>
        </w:tc>
        <w:tc>
          <w:tcPr>
            <w:tcW w:w="2339" w:type="dxa"/>
            <w:shd w:val="clear" w:color="auto" w:fill="auto"/>
            <w:vAlign w:val="center"/>
          </w:tcPr>
          <w:p w14:paraId="0E3E99BF">
            <w:pPr>
              <w:pStyle w:val="21"/>
              <w:jc w:val="center"/>
              <w:rPr>
                <w:rFonts w:hint="eastAsia"/>
                <w:lang w:val="en-US" w:eastAsia="en-US"/>
              </w:rPr>
            </w:pPr>
            <w:r>
              <w:rPr>
                <w:rFonts w:hint="eastAsia"/>
              </w:rPr>
              <w:t>无</w:t>
            </w:r>
          </w:p>
        </w:tc>
        <w:tc>
          <w:tcPr>
            <w:tcW w:w="2151" w:type="dxa"/>
            <w:tcBorders>
              <w:right w:val="single" w:color="000000" w:sz="6" w:space="0"/>
            </w:tcBorders>
            <w:shd w:val="clear" w:color="auto" w:fill="auto"/>
            <w:vAlign w:val="center"/>
          </w:tcPr>
          <w:p w14:paraId="78020EFB">
            <w:pPr>
              <w:pStyle w:val="21"/>
              <w:jc w:val="center"/>
              <w:rPr>
                <w:rFonts w:hint="eastAsia"/>
                <w:lang w:val="en-US" w:eastAsia="en-US"/>
              </w:rPr>
            </w:pPr>
            <w:r>
              <w:rPr>
                <w:rFonts w:hint="eastAsia"/>
              </w:rPr>
              <w:t>总面积不超过 1 cm</w:t>
            </w:r>
            <w:r>
              <w:rPr>
                <w:rFonts w:hint="eastAsia"/>
                <w:lang w:val="en-US" w:eastAsia="zh-CN"/>
              </w:rPr>
              <w:t>²</w:t>
            </w:r>
            <w:r>
              <w:rPr>
                <w:rFonts w:hint="eastAsia"/>
              </w:rPr>
              <w:t xml:space="preserve"> ,伤处不应褐变</w:t>
            </w:r>
          </w:p>
        </w:tc>
      </w:tr>
      <w:tr w14:paraId="692F3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7E6EDAA7">
            <w:pPr>
              <w:pStyle w:val="21"/>
              <w:jc w:val="center"/>
              <w:rPr>
                <w:rFonts w:hint="eastAsia"/>
                <w:lang w:val="en-US" w:eastAsia="en-US"/>
              </w:rPr>
            </w:pPr>
          </w:p>
        </w:tc>
        <w:tc>
          <w:tcPr>
            <w:tcW w:w="716" w:type="dxa"/>
            <w:tcBorders>
              <w:left w:val="single" w:color="auto" w:sz="4" w:space="0"/>
            </w:tcBorders>
            <w:shd w:val="clear" w:color="auto" w:fill="auto"/>
            <w:vAlign w:val="center"/>
          </w:tcPr>
          <w:p w14:paraId="5D7F1783">
            <w:pPr>
              <w:pStyle w:val="21"/>
              <w:ind w:firstLine="0" w:firstLineChars="0"/>
              <w:jc w:val="center"/>
              <w:rPr>
                <w:rFonts w:hint="eastAsia" w:ascii="宋体" w:hAnsi="Times New Roman" w:eastAsia="宋体" w:cs="Times New Roman"/>
                <w:sz w:val="18"/>
                <w:lang w:val="en-US" w:eastAsia="en-US" w:bidi="ar-SA"/>
              </w:rPr>
            </w:pPr>
            <w:r>
              <w:rPr>
                <w:rFonts w:hint="eastAsia"/>
              </w:rPr>
              <w:t>日灼</w:t>
            </w:r>
          </w:p>
        </w:tc>
        <w:tc>
          <w:tcPr>
            <w:tcW w:w="2371" w:type="dxa"/>
            <w:shd w:val="clear" w:color="auto" w:fill="auto"/>
            <w:vAlign w:val="center"/>
          </w:tcPr>
          <w:p w14:paraId="07B9C740">
            <w:pPr>
              <w:pStyle w:val="21"/>
              <w:jc w:val="center"/>
              <w:rPr>
                <w:rFonts w:hint="eastAsia"/>
                <w:lang w:val="en-US" w:eastAsia="en-US"/>
              </w:rPr>
            </w:pPr>
            <w:r>
              <w:rPr>
                <w:rFonts w:hint="eastAsia"/>
              </w:rPr>
              <w:t>无</w:t>
            </w:r>
          </w:p>
        </w:tc>
        <w:tc>
          <w:tcPr>
            <w:tcW w:w="2339" w:type="dxa"/>
            <w:shd w:val="clear" w:color="auto" w:fill="auto"/>
            <w:vAlign w:val="center"/>
          </w:tcPr>
          <w:p w14:paraId="349CBE19">
            <w:pPr>
              <w:pStyle w:val="21"/>
              <w:jc w:val="center"/>
              <w:rPr>
                <w:rFonts w:hint="eastAsia"/>
                <w:lang w:val="en-US" w:eastAsia="en-US"/>
              </w:rPr>
            </w:pPr>
            <w:r>
              <w:rPr>
                <w:rFonts w:hint="eastAsia"/>
              </w:rPr>
              <w:t>无</w:t>
            </w:r>
          </w:p>
        </w:tc>
        <w:tc>
          <w:tcPr>
            <w:tcW w:w="2151" w:type="dxa"/>
            <w:tcBorders>
              <w:right w:val="single" w:color="000000" w:sz="6" w:space="0"/>
            </w:tcBorders>
            <w:shd w:val="clear" w:color="auto" w:fill="auto"/>
            <w:vAlign w:val="center"/>
          </w:tcPr>
          <w:p w14:paraId="6C550C1B">
            <w:pPr>
              <w:pStyle w:val="21"/>
              <w:jc w:val="center"/>
              <w:rPr>
                <w:rFonts w:hint="eastAsia" w:eastAsia="宋体"/>
                <w:lang w:val="en-US" w:eastAsia="zh-CN"/>
              </w:rPr>
            </w:pPr>
            <w:r>
              <w:rPr>
                <w:rFonts w:hint="eastAsia"/>
              </w:rPr>
              <w:t xml:space="preserve">允许浅褐色或褐色 ,面积不超过1 </w:t>
            </w:r>
            <w:r>
              <w:rPr>
                <w:rFonts w:hint="eastAsia"/>
                <w:lang w:eastAsia="zh-CN"/>
              </w:rPr>
              <w:t>cm²</w:t>
            </w:r>
          </w:p>
        </w:tc>
      </w:tr>
      <w:tr w14:paraId="056AB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4DD79AF6">
            <w:pPr>
              <w:pStyle w:val="21"/>
              <w:jc w:val="center"/>
              <w:rPr>
                <w:rFonts w:hint="eastAsia"/>
                <w:lang w:val="en-US" w:eastAsia="en-US"/>
              </w:rPr>
            </w:pPr>
          </w:p>
        </w:tc>
        <w:tc>
          <w:tcPr>
            <w:tcW w:w="716" w:type="dxa"/>
            <w:tcBorders>
              <w:left w:val="single" w:color="auto" w:sz="4" w:space="0"/>
            </w:tcBorders>
            <w:shd w:val="clear" w:color="auto" w:fill="auto"/>
            <w:vAlign w:val="center"/>
          </w:tcPr>
          <w:p w14:paraId="6C075752">
            <w:pPr>
              <w:pStyle w:val="21"/>
              <w:ind w:firstLine="0" w:firstLineChars="0"/>
              <w:jc w:val="center"/>
              <w:rPr>
                <w:rFonts w:hint="eastAsia" w:ascii="宋体" w:hAnsi="Times New Roman" w:eastAsia="宋体" w:cs="Times New Roman"/>
                <w:sz w:val="18"/>
                <w:lang w:val="en-US" w:eastAsia="en-US" w:bidi="ar-SA"/>
              </w:rPr>
            </w:pPr>
            <w:r>
              <w:rPr>
                <w:rFonts w:hint="eastAsia"/>
              </w:rPr>
              <w:t>雹伤</w:t>
            </w:r>
          </w:p>
        </w:tc>
        <w:tc>
          <w:tcPr>
            <w:tcW w:w="2371" w:type="dxa"/>
            <w:shd w:val="clear" w:color="auto" w:fill="auto"/>
            <w:vAlign w:val="center"/>
          </w:tcPr>
          <w:p w14:paraId="3161F1A5">
            <w:pPr>
              <w:pStyle w:val="21"/>
              <w:jc w:val="center"/>
              <w:rPr>
                <w:rFonts w:hint="eastAsia"/>
                <w:lang w:val="en-US" w:eastAsia="en-US"/>
              </w:rPr>
            </w:pPr>
            <w:r>
              <w:rPr>
                <w:rFonts w:hint="eastAsia"/>
              </w:rPr>
              <w:t>无</w:t>
            </w:r>
          </w:p>
        </w:tc>
        <w:tc>
          <w:tcPr>
            <w:tcW w:w="2339" w:type="dxa"/>
            <w:shd w:val="clear" w:color="auto" w:fill="auto"/>
            <w:vAlign w:val="center"/>
          </w:tcPr>
          <w:p w14:paraId="20910880">
            <w:pPr>
              <w:pStyle w:val="21"/>
              <w:jc w:val="center"/>
              <w:rPr>
                <w:rFonts w:hint="eastAsia"/>
                <w:lang w:val="en-US" w:eastAsia="en-US"/>
              </w:rPr>
            </w:pPr>
            <w:r>
              <w:rPr>
                <w:rFonts w:hint="eastAsia"/>
              </w:rPr>
              <w:t>无</w:t>
            </w:r>
          </w:p>
        </w:tc>
        <w:tc>
          <w:tcPr>
            <w:tcW w:w="2151" w:type="dxa"/>
            <w:tcBorders>
              <w:right w:val="single" w:color="000000" w:sz="6" w:space="0"/>
            </w:tcBorders>
            <w:shd w:val="clear" w:color="auto" w:fill="auto"/>
            <w:vAlign w:val="center"/>
          </w:tcPr>
          <w:p w14:paraId="19A6CF07">
            <w:pPr>
              <w:pStyle w:val="21"/>
              <w:jc w:val="center"/>
              <w:rPr>
                <w:rFonts w:hint="eastAsia" w:eastAsia="宋体"/>
                <w:lang w:val="en-US" w:eastAsia="zh-CN"/>
              </w:rPr>
            </w:pPr>
            <w:r>
              <w:rPr>
                <w:rFonts w:hint="eastAsia"/>
              </w:rPr>
              <w:t xml:space="preserve">允许果皮愈合良好的轻微雹伤 ,总面积不超过 1 </w:t>
            </w:r>
            <w:r>
              <w:rPr>
                <w:rFonts w:hint="eastAsia"/>
                <w:lang w:eastAsia="zh-CN"/>
              </w:rPr>
              <w:t>cm²</w:t>
            </w:r>
          </w:p>
        </w:tc>
      </w:tr>
      <w:tr w14:paraId="293748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24E839B2">
            <w:pPr>
              <w:pStyle w:val="21"/>
              <w:jc w:val="center"/>
              <w:rPr>
                <w:rFonts w:hint="eastAsia"/>
                <w:lang w:val="en-US" w:eastAsia="en-US"/>
              </w:rPr>
            </w:pPr>
          </w:p>
        </w:tc>
        <w:tc>
          <w:tcPr>
            <w:tcW w:w="716" w:type="dxa"/>
            <w:tcBorders>
              <w:left w:val="single" w:color="auto" w:sz="4" w:space="0"/>
            </w:tcBorders>
            <w:shd w:val="clear" w:color="auto" w:fill="auto"/>
            <w:vAlign w:val="center"/>
          </w:tcPr>
          <w:p w14:paraId="3C78CCDF">
            <w:pPr>
              <w:pStyle w:val="21"/>
              <w:ind w:firstLine="0" w:firstLineChars="0"/>
              <w:jc w:val="center"/>
              <w:rPr>
                <w:rFonts w:hint="eastAsia" w:ascii="宋体" w:hAnsi="Times New Roman" w:eastAsia="宋体" w:cs="Times New Roman"/>
                <w:sz w:val="18"/>
                <w:lang w:val="en-US" w:eastAsia="en-US" w:bidi="ar-SA"/>
              </w:rPr>
            </w:pPr>
            <w:r>
              <w:rPr>
                <w:rFonts w:hint="eastAsia"/>
              </w:rPr>
              <w:t>裂纹</w:t>
            </w:r>
          </w:p>
        </w:tc>
        <w:tc>
          <w:tcPr>
            <w:tcW w:w="2371" w:type="dxa"/>
            <w:shd w:val="clear" w:color="auto" w:fill="auto"/>
            <w:vAlign w:val="center"/>
          </w:tcPr>
          <w:p w14:paraId="28AD515C">
            <w:pPr>
              <w:pStyle w:val="21"/>
              <w:jc w:val="center"/>
              <w:rPr>
                <w:rFonts w:hint="eastAsia"/>
                <w:lang w:val="en-US" w:eastAsia="en-US"/>
              </w:rPr>
            </w:pPr>
            <w:r>
              <w:rPr>
                <w:rFonts w:hint="eastAsia"/>
              </w:rPr>
              <w:t>无</w:t>
            </w:r>
          </w:p>
        </w:tc>
        <w:tc>
          <w:tcPr>
            <w:tcW w:w="2339" w:type="dxa"/>
            <w:shd w:val="clear" w:color="auto" w:fill="auto"/>
            <w:vAlign w:val="center"/>
          </w:tcPr>
          <w:p w14:paraId="7E558F85">
            <w:pPr>
              <w:pStyle w:val="21"/>
              <w:jc w:val="center"/>
              <w:rPr>
                <w:rFonts w:hint="eastAsia"/>
                <w:lang w:val="en-US" w:eastAsia="en-US"/>
              </w:rPr>
            </w:pPr>
            <w:r>
              <w:rPr>
                <w:rFonts w:hint="eastAsia"/>
              </w:rPr>
              <w:t>允许梗洼或萼洼内有微小裂纹</w:t>
            </w:r>
          </w:p>
        </w:tc>
        <w:tc>
          <w:tcPr>
            <w:tcW w:w="2151" w:type="dxa"/>
            <w:tcBorders>
              <w:right w:val="single" w:color="000000" w:sz="6" w:space="0"/>
            </w:tcBorders>
            <w:shd w:val="clear" w:color="auto" w:fill="auto"/>
            <w:vAlign w:val="center"/>
          </w:tcPr>
          <w:p w14:paraId="3CE4BA3D">
            <w:pPr>
              <w:pStyle w:val="21"/>
              <w:jc w:val="center"/>
              <w:rPr>
                <w:rFonts w:hint="eastAsia"/>
                <w:lang w:val="en-US" w:eastAsia="en-US"/>
              </w:rPr>
            </w:pPr>
            <w:r>
              <w:rPr>
                <w:rFonts w:hint="eastAsia"/>
              </w:rPr>
              <w:t>允许有不超出梗洼或萼洼的微小裂纹</w:t>
            </w:r>
          </w:p>
        </w:tc>
      </w:tr>
      <w:tr w14:paraId="00542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1A4A49D3">
            <w:pPr>
              <w:pStyle w:val="21"/>
              <w:jc w:val="center"/>
              <w:rPr>
                <w:rFonts w:hint="eastAsia"/>
                <w:lang w:val="en-US" w:eastAsia="en-US"/>
              </w:rPr>
            </w:pPr>
          </w:p>
        </w:tc>
        <w:tc>
          <w:tcPr>
            <w:tcW w:w="716" w:type="dxa"/>
            <w:tcBorders>
              <w:left w:val="single" w:color="auto" w:sz="4" w:space="0"/>
            </w:tcBorders>
            <w:shd w:val="clear" w:color="auto" w:fill="auto"/>
            <w:vAlign w:val="center"/>
          </w:tcPr>
          <w:p w14:paraId="4401ED04">
            <w:pPr>
              <w:pStyle w:val="21"/>
              <w:ind w:firstLine="0" w:firstLineChars="0"/>
              <w:jc w:val="center"/>
              <w:rPr>
                <w:rFonts w:hint="eastAsia" w:ascii="宋体" w:hAnsi="Times New Roman" w:eastAsia="宋体" w:cs="Times New Roman"/>
                <w:sz w:val="18"/>
                <w:lang w:val="en-US" w:eastAsia="en-US" w:bidi="ar-SA"/>
              </w:rPr>
            </w:pPr>
            <w:r>
              <w:rPr>
                <w:rFonts w:hint="eastAsia"/>
              </w:rPr>
              <w:t>小疵点</w:t>
            </w:r>
          </w:p>
        </w:tc>
        <w:tc>
          <w:tcPr>
            <w:tcW w:w="2371" w:type="dxa"/>
            <w:shd w:val="clear" w:color="auto" w:fill="auto"/>
            <w:vAlign w:val="center"/>
          </w:tcPr>
          <w:p w14:paraId="6D524A99">
            <w:pPr>
              <w:pStyle w:val="21"/>
              <w:jc w:val="center"/>
              <w:rPr>
                <w:rFonts w:hint="eastAsia"/>
                <w:lang w:val="en-US" w:eastAsia="en-US"/>
              </w:rPr>
            </w:pPr>
            <w:r>
              <w:rPr>
                <w:rFonts w:hint="eastAsia"/>
              </w:rPr>
              <w:t>无</w:t>
            </w:r>
          </w:p>
        </w:tc>
        <w:tc>
          <w:tcPr>
            <w:tcW w:w="2339" w:type="dxa"/>
            <w:shd w:val="clear" w:color="auto" w:fill="auto"/>
            <w:vAlign w:val="center"/>
          </w:tcPr>
          <w:p w14:paraId="24A1DF03">
            <w:pPr>
              <w:pStyle w:val="21"/>
              <w:jc w:val="center"/>
              <w:rPr>
                <w:rFonts w:hint="eastAsia"/>
                <w:lang w:val="en-US" w:eastAsia="en-US"/>
              </w:rPr>
            </w:pPr>
            <w:r>
              <w:rPr>
                <w:rFonts w:hint="eastAsia"/>
              </w:rPr>
              <w:t>不超过 5个</w:t>
            </w:r>
          </w:p>
        </w:tc>
        <w:tc>
          <w:tcPr>
            <w:tcW w:w="2151" w:type="dxa"/>
            <w:tcBorders>
              <w:right w:val="single" w:color="000000" w:sz="6" w:space="0"/>
            </w:tcBorders>
            <w:shd w:val="clear" w:color="auto" w:fill="auto"/>
            <w:vAlign w:val="center"/>
          </w:tcPr>
          <w:p w14:paraId="5BC2E227">
            <w:pPr>
              <w:pStyle w:val="21"/>
              <w:jc w:val="center"/>
              <w:rPr>
                <w:rFonts w:hint="eastAsia"/>
                <w:lang w:val="en-US" w:eastAsia="en-US"/>
              </w:rPr>
            </w:pPr>
            <w:r>
              <w:rPr>
                <w:rFonts w:hint="eastAsia"/>
              </w:rPr>
              <w:t>不超过 10个</w:t>
            </w:r>
          </w:p>
        </w:tc>
      </w:tr>
      <w:tr w14:paraId="59E37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1668DBBD">
            <w:pPr>
              <w:pStyle w:val="21"/>
              <w:jc w:val="center"/>
              <w:rPr>
                <w:rFonts w:hint="eastAsia"/>
                <w:lang w:val="en-US" w:eastAsia="en-US"/>
              </w:rPr>
            </w:pPr>
          </w:p>
        </w:tc>
        <w:tc>
          <w:tcPr>
            <w:tcW w:w="716" w:type="dxa"/>
            <w:tcBorders>
              <w:left w:val="single" w:color="auto" w:sz="4" w:space="0"/>
            </w:tcBorders>
            <w:shd w:val="clear" w:color="auto" w:fill="auto"/>
            <w:vAlign w:val="center"/>
          </w:tcPr>
          <w:p w14:paraId="171ED634">
            <w:pPr>
              <w:pStyle w:val="21"/>
              <w:ind w:firstLine="0" w:firstLineChars="0"/>
              <w:jc w:val="center"/>
              <w:rPr>
                <w:rFonts w:hint="eastAsia" w:ascii="宋体" w:hAnsi="Times New Roman" w:eastAsia="宋体" w:cs="Times New Roman"/>
                <w:sz w:val="18"/>
                <w:lang w:val="en-US" w:eastAsia="en-US" w:bidi="ar-SA"/>
              </w:rPr>
            </w:pPr>
            <w:r>
              <w:rPr>
                <w:rFonts w:hint="eastAsia"/>
              </w:rPr>
              <w:t>药害</w:t>
            </w:r>
          </w:p>
        </w:tc>
        <w:tc>
          <w:tcPr>
            <w:tcW w:w="2371" w:type="dxa"/>
            <w:shd w:val="clear" w:color="auto" w:fill="auto"/>
            <w:vAlign w:val="center"/>
          </w:tcPr>
          <w:p w14:paraId="7796D89B">
            <w:pPr>
              <w:pStyle w:val="21"/>
              <w:jc w:val="center"/>
              <w:rPr>
                <w:rFonts w:hint="eastAsia"/>
                <w:lang w:val="en-US" w:eastAsia="en-US"/>
              </w:rPr>
            </w:pPr>
            <w:r>
              <w:rPr>
                <w:rFonts w:hint="eastAsia"/>
              </w:rPr>
              <w:t>无</w:t>
            </w:r>
          </w:p>
        </w:tc>
        <w:tc>
          <w:tcPr>
            <w:tcW w:w="2339" w:type="dxa"/>
            <w:shd w:val="clear" w:color="auto" w:fill="auto"/>
            <w:vAlign w:val="center"/>
          </w:tcPr>
          <w:p w14:paraId="2A2130B4">
            <w:pPr>
              <w:pStyle w:val="21"/>
              <w:jc w:val="center"/>
              <w:rPr>
                <w:rFonts w:hint="eastAsia"/>
                <w:lang w:val="en-US" w:eastAsia="en-US"/>
              </w:rPr>
            </w:pPr>
            <w:r>
              <w:rPr>
                <w:rFonts w:hint="eastAsia"/>
              </w:rPr>
              <w:t>无</w:t>
            </w:r>
          </w:p>
        </w:tc>
        <w:tc>
          <w:tcPr>
            <w:tcW w:w="2151" w:type="dxa"/>
            <w:tcBorders>
              <w:right w:val="single" w:color="000000" w:sz="6" w:space="0"/>
            </w:tcBorders>
            <w:shd w:val="clear" w:color="auto" w:fill="auto"/>
            <w:vAlign w:val="center"/>
          </w:tcPr>
          <w:p w14:paraId="448D9CE6">
            <w:pPr>
              <w:pStyle w:val="21"/>
              <w:jc w:val="center"/>
              <w:rPr>
                <w:rFonts w:hint="eastAsia"/>
                <w:lang w:val="en-US" w:eastAsia="en-US"/>
              </w:rPr>
            </w:pPr>
            <w:r>
              <w:rPr>
                <w:rFonts w:hint="eastAsia"/>
              </w:rPr>
              <w:t>无</w:t>
            </w:r>
          </w:p>
        </w:tc>
      </w:tr>
      <w:tr w14:paraId="02F27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50BE7CD1">
            <w:pPr>
              <w:pStyle w:val="21"/>
              <w:jc w:val="center"/>
              <w:rPr>
                <w:rFonts w:hint="eastAsia"/>
                <w:lang w:val="en-US" w:eastAsia="en-US"/>
              </w:rPr>
            </w:pPr>
          </w:p>
        </w:tc>
        <w:tc>
          <w:tcPr>
            <w:tcW w:w="716" w:type="dxa"/>
            <w:tcBorders>
              <w:left w:val="single" w:color="auto" w:sz="4" w:space="0"/>
            </w:tcBorders>
            <w:shd w:val="clear" w:color="auto" w:fill="auto"/>
            <w:vAlign w:val="center"/>
          </w:tcPr>
          <w:p w14:paraId="57E10DC4">
            <w:pPr>
              <w:pStyle w:val="21"/>
              <w:ind w:firstLine="0" w:firstLineChars="0"/>
              <w:jc w:val="center"/>
              <w:rPr>
                <w:rFonts w:hint="eastAsia" w:ascii="宋体" w:hAnsi="Times New Roman" w:eastAsia="宋体" w:cs="Times New Roman"/>
                <w:sz w:val="18"/>
                <w:lang w:val="en-US" w:eastAsia="en-US" w:bidi="ar-SA"/>
              </w:rPr>
            </w:pPr>
            <w:r>
              <w:rPr>
                <w:rFonts w:hint="eastAsia"/>
              </w:rPr>
              <w:t>裂果</w:t>
            </w:r>
          </w:p>
        </w:tc>
        <w:tc>
          <w:tcPr>
            <w:tcW w:w="2371" w:type="dxa"/>
            <w:shd w:val="clear" w:color="auto" w:fill="auto"/>
            <w:vAlign w:val="center"/>
          </w:tcPr>
          <w:p w14:paraId="228E20E8">
            <w:pPr>
              <w:pStyle w:val="21"/>
              <w:jc w:val="center"/>
              <w:rPr>
                <w:rFonts w:hint="eastAsia"/>
                <w:lang w:val="en-US" w:eastAsia="en-US"/>
              </w:rPr>
            </w:pPr>
            <w:r>
              <w:rPr>
                <w:rFonts w:hint="eastAsia"/>
              </w:rPr>
              <w:t>无</w:t>
            </w:r>
          </w:p>
        </w:tc>
        <w:tc>
          <w:tcPr>
            <w:tcW w:w="2339" w:type="dxa"/>
            <w:shd w:val="clear" w:color="auto" w:fill="auto"/>
            <w:vAlign w:val="center"/>
          </w:tcPr>
          <w:p w14:paraId="1F48BBE8">
            <w:pPr>
              <w:pStyle w:val="21"/>
              <w:jc w:val="center"/>
              <w:rPr>
                <w:rFonts w:hint="eastAsia"/>
                <w:lang w:val="en-US" w:eastAsia="en-US"/>
              </w:rPr>
            </w:pPr>
            <w:r>
              <w:rPr>
                <w:rFonts w:hint="eastAsia"/>
              </w:rPr>
              <w:t>无</w:t>
            </w:r>
          </w:p>
        </w:tc>
        <w:tc>
          <w:tcPr>
            <w:tcW w:w="2151" w:type="dxa"/>
            <w:tcBorders>
              <w:right w:val="single" w:color="000000" w:sz="6" w:space="0"/>
            </w:tcBorders>
            <w:shd w:val="clear" w:color="auto" w:fill="auto"/>
            <w:vAlign w:val="center"/>
          </w:tcPr>
          <w:p w14:paraId="36CB9804">
            <w:pPr>
              <w:pStyle w:val="21"/>
              <w:jc w:val="center"/>
              <w:rPr>
                <w:rFonts w:hint="eastAsia"/>
                <w:lang w:val="en-US" w:eastAsia="en-US"/>
              </w:rPr>
            </w:pPr>
            <w:r>
              <w:rPr>
                <w:rFonts w:hint="eastAsia"/>
              </w:rPr>
              <w:t>无</w:t>
            </w:r>
          </w:p>
        </w:tc>
      </w:tr>
      <w:tr w14:paraId="1EDB9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restart"/>
            <w:tcBorders>
              <w:left w:val="single" w:color="000000" w:sz="6" w:space="0"/>
              <w:right w:val="single" w:color="auto" w:sz="4" w:space="0"/>
            </w:tcBorders>
            <w:shd w:val="clear" w:color="auto" w:fill="auto"/>
            <w:vAlign w:val="center"/>
          </w:tcPr>
          <w:p w14:paraId="2DBABE45">
            <w:pPr>
              <w:pStyle w:val="21"/>
              <w:jc w:val="center"/>
              <w:rPr>
                <w:spacing w:val="-5"/>
              </w:rPr>
            </w:pPr>
            <w:r>
              <w:rPr>
                <w:spacing w:val="-5"/>
              </w:rPr>
              <w:t>果</w:t>
            </w:r>
          </w:p>
          <w:p w14:paraId="54D32619">
            <w:pPr>
              <w:pStyle w:val="21"/>
              <w:jc w:val="center"/>
              <w:rPr>
                <w:rFonts w:hint="eastAsia"/>
                <w:lang w:val="en-US" w:eastAsia="en-US"/>
              </w:rPr>
            </w:pPr>
            <w:r>
              <w:rPr>
                <w:spacing w:val="-5"/>
              </w:rPr>
              <w:t>锈</w:t>
            </w:r>
          </w:p>
        </w:tc>
        <w:tc>
          <w:tcPr>
            <w:tcW w:w="716" w:type="dxa"/>
            <w:tcBorders>
              <w:left w:val="single" w:color="auto" w:sz="4" w:space="0"/>
            </w:tcBorders>
            <w:shd w:val="clear" w:color="auto" w:fill="auto"/>
            <w:vAlign w:val="center"/>
          </w:tcPr>
          <w:p w14:paraId="21225994">
            <w:pPr>
              <w:pStyle w:val="21"/>
              <w:ind w:firstLine="0" w:firstLineChars="0"/>
              <w:jc w:val="center"/>
              <w:rPr>
                <w:rFonts w:hint="eastAsia" w:ascii="宋体" w:hAnsi="Times New Roman" w:eastAsia="宋体" w:cs="Times New Roman"/>
                <w:sz w:val="18"/>
                <w:lang w:val="en-US" w:eastAsia="en-US" w:bidi="ar-SA"/>
              </w:rPr>
            </w:pPr>
            <w:r>
              <w:rPr>
                <w:rFonts w:hint="eastAsia"/>
              </w:rPr>
              <w:t>片锈</w:t>
            </w:r>
          </w:p>
        </w:tc>
        <w:tc>
          <w:tcPr>
            <w:tcW w:w="2371" w:type="dxa"/>
            <w:shd w:val="clear" w:color="auto" w:fill="auto"/>
            <w:vAlign w:val="center"/>
          </w:tcPr>
          <w:p w14:paraId="7710A194">
            <w:pPr>
              <w:pStyle w:val="21"/>
              <w:jc w:val="center"/>
              <w:rPr>
                <w:rFonts w:hint="eastAsia"/>
                <w:lang w:val="en-US" w:eastAsia="en-US"/>
              </w:rPr>
            </w:pPr>
            <w:r>
              <w:rPr>
                <w:rFonts w:hint="eastAsia"/>
              </w:rPr>
              <w:t>无</w:t>
            </w:r>
          </w:p>
        </w:tc>
        <w:tc>
          <w:tcPr>
            <w:tcW w:w="2339" w:type="dxa"/>
            <w:shd w:val="clear" w:color="auto" w:fill="auto"/>
            <w:vAlign w:val="center"/>
          </w:tcPr>
          <w:p w14:paraId="334CE6B4">
            <w:pPr>
              <w:pStyle w:val="21"/>
              <w:jc w:val="center"/>
              <w:rPr>
                <w:rFonts w:hint="eastAsia"/>
                <w:lang w:val="en-US" w:eastAsia="en-US"/>
              </w:rPr>
            </w:pPr>
            <w:r>
              <w:rPr>
                <w:rFonts w:hint="eastAsia"/>
              </w:rPr>
              <w:t>不超出梗洼的轻微锈斑</w:t>
            </w:r>
          </w:p>
        </w:tc>
        <w:tc>
          <w:tcPr>
            <w:tcW w:w="2151" w:type="dxa"/>
            <w:tcBorders>
              <w:right w:val="single" w:color="000000" w:sz="6" w:space="0"/>
            </w:tcBorders>
            <w:shd w:val="clear" w:color="auto" w:fill="auto"/>
            <w:vAlign w:val="center"/>
          </w:tcPr>
          <w:p w14:paraId="638F8FEE">
            <w:pPr>
              <w:pStyle w:val="21"/>
              <w:jc w:val="center"/>
              <w:rPr>
                <w:rFonts w:hint="eastAsia"/>
                <w:lang w:val="en-US" w:eastAsia="en-US"/>
              </w:rPr>
            </w:pPr>
            <w:r>
              <w:rPr>
                <w:rFonts w:hint="eastAsia"/>
              </w:rPr>
              <w:t>允许轻微超出梗洼或萼洼的锈斑</w:t>
            </w:r>
          </w:p>
        </w:tc>
      </w:tr>
      <w:tr w14:paraId="0C808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right w:val="single" w:color="auto" w:sz="4" w:space="0"/>
            </w:tcBorders>
            <w:shd w:val="clear" w:color="auto" w:fill="auto"/>
            <w:vAlign w:val="center"/>
          </w:tcPr>
          <w:p w14:paraId="6F3B8FB5">
            <w:pPr>
              <w:pStyle w:val="21"/>
              <w:jc w:val="center"/>
              <w:rPr>
                <w:rFonts w:hint="eastAsia"/>
                <w:lang w:val="en-US" w:eastAsia="en-US"/>
              </w:rPr>
            </w:pPr>
          </w:p>
        </w:tc>
        <w:tc>
          <w:tcPr>
            <w:tcW w:w="716" w:type="dxa"/>
            <w:tcBorders>
              <w:left w:val="single" w:color="auto" w:sz="4" w:space="0"/>
            </w:tcBorders>
            <w:shd w:val="clear" w:color="auto" w:fill="auto"/>
            <w:vAlign w:val="center"/>
          </w:tcPr>
          <w:p w14:paraId="50252D4D">
            <w:pPr>
              <w:pStyle w:val="21"/>
              <w:ind w:firstLine="0" w:firstLineChars="0"/>
              <w:jc w:val="center"/>
              <w:rPr>
                <w:rFonts w:hint="eastAsia" w:ascii="宋体" w:hAnsi="Times New Roman" w:eastAsia="宋体" w:cs="Times New Roman"/>
                <w:sz w:val="18"/>
                <w:lang w:val="en-US" w:eastAsia="en-US" w:bidi="ar-SA"/>
              </w:rPr>
            </w:pPr>
            <w:r>
              <w:rPr>
                <w:rFonts w:hint="eastAsia"/>
              </w:rPr>
              <w:t>网锈</w:t>
            </w:r>
          </w:p>
        </w:tc>
        <w:tc>
          <w:tcPr>
            <w:tcW w:w="2371" w:type="dxa"/>
            <w:shd w:val="clear" w:color="auto" w:fill="auto"/>
            <w:vAlign w:val="center"/>
          </w:tcPr>
          <w:p w14:paraId="234A6955">
            <w:pPr>
              <w:pStyle w:val="21"/>
              <w:jc w:val="center"/>
              <w:rPr>
                <w:rFonts w:hint="eastAsia"/>
                <w:lang w:val="en-US" w:eastAsia="en-US"/>
              </w:rPr>
            </w:pPr>
            <w:r>
              <w:rPr>
                <w:rFonts w:hint="eastAsia"/>
              </w:rPr>
              <w:t>允许轻微而分离的平滑网状 ,不明显锈痕 ,总面积不超过果面的 1/20</w:t>
            </w:r>
          </w:p>
        </w:tc>
        <w:tc>
          <w:tcPr>
            <w:tcW w:w="2339" w:type="dxa"/>
            <w:shd w:val="clear" w:color="auto" w:fill="auto"/>
            <w:vAlign w:val="center"/>
          </w:tcPr>
          <w:p w14:paraId="031B0FFE">
            <w:pPr>
              <w:pStyle w:val="21"/>
              <w:jc w:val="center"/>
              <w:rPr>
                <w:rFonts w:hint="eastAsia"/>
                <w:lang w:val="en-US" w:eastAsia="en-US"/>
              </w:rPr>
            </w:pPr>
            <w:r>
              <w:rPr>
                <w:rFonts w:hint="eastAsia"/>
              </w:rPr>
              <w:t>允许平滑网状薄层 ,总面积不超过果面的 1/10</w:t>
            </w:r>
          </w:p>
        </w:tc>
        <w:tc>
          <w:tcPr>
            <w:tcW w:w="2151" w:type="dxa"/>
            <w:tcBorders>
              <w:right w:val="single" w:color="000000" w:sz="6" w:space="0"/>
            </w:tcBorders>
            <w:shd w:val="clear" w:color="auto" w:fill="auto"/>
            <w:vAlign w:val="center"/>
          </w:tcPr>
          <w:p w14:paraId="5D4F16B1">
            <w:pPr>
              <w:pStyle w:val="21"/>
              <w:jc w:val="center"/>
              <w:rPr>
                <w:rFonts w:hint="eastAsia"/>
                <w:lang w:val="en-US" w:eastAsia="en-US"/>
              </w:rPr>
            </w:pPr>
            <w:r>
              <w:rPr>
                <w:rFonts w:hint="eastAsia"/>
              </w:rPr>
              <w:t>允许轻度粗糙的网状果锈 ,总面积不超过果面的 1/5</w:t>
            </w:r>
          </w:p>
        </w:tc>
      </w:tr>
      <w:tr w14:paraId="1F3D9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717" w:type="dxa"/>
            <w:vMerge w:val="continue"/>
            <w:tcBorders>
              <w:left w:val="single" w:color="000000" w:sz="6" w:space="0"/>
              <w:bottom w:val="single" w:color="000000" w:sz="6" w:space="0"/>
              <w:right w:val="single" w:color="auto" w:sz="4" w:space="0"/>
            </w:tcBorders>
            <w:shd w:val="clear" w:color="auto" w:fill="auto"/>
            <w:vAlign w:val="center"/>
          </w:tcPr>
          <w:p w14:paraId="047DEB29">
            <w:pPr>
              <w:pStyle w:val="21"/>
              <w:jc w:val="center"/>
              <w:rPr>
                <w:rFonts w:hint="eastAsia"/>
                <w:lang w:val="en-US" w:eastAsia="en-US"/>
              </w:rPr>
            </w:pPr>
          </w:p>
        </w:tc>
        <w:tc>
          <w:tcPr>
            <w:tcW w:w="716" w:type="dxa"/>
            <w:tcBorders>
              <w:left w:val="single" w:color="auto" w:sz="4" w:space="0"/>
              <w:bottom w:val="single" w:color="000000" w:sz="6" w:space="0"/>
            </w:tcBorders>
            <w:shd w:val="clear" w:color="auto" w:fill="auto"/>
            <w:vAlign w:val="center"/>
          </w:tcPr>
          <w:p w14:paraId="35615A06">
            <w:pPr>
              <w:pStyle w:val="21"/>
              <w:ind w:firstLine="0" w:firstLineChars="0"/>
              <w:jc w:val="center"/>
              <w:rPr>
                <w:rFonts w:hint="eastAsia" w:ascii="宋体" w:hAnsi="Times New Roman" w:eastAsia="宋体" w:cs="Times New Roman"/>
                <w:sz w:val="18"/>
                <w:lang w:val="en-US" w:eastAsia="en-US" w:bidi="ar-SA"/>
              </w:rPr>
            </w:pPr>
            <w:r>
              <w:rPr>
                <w:rFonts w:hint="eastAsia"/>
              </w:rPr>
              <w:t>点锈</w:t>
            </w:r>
          </w:p>
        </w:tc>
        <w:tc>
          <w:tcPr>
            <w:tcW w:w="2371" w:type="dxa"/>
            <w:tcBorders>
              <w:bottom w:val="single" w:color="000000" w:sz="6" w:space="0"/>
            </w:tcBorders>
            <w:shd w:val="clear" w:color="auto" w:fill="auto"/>
            <w:vAlign w:val="center"/>
          </w:tcPr>
          <w:p w14:paraId="4A91CD8C">
            <w:pPr>
              <w:pStyle w:val="21"/>
              <w:jc w:val="center"/>
              <w:rPr>
                <w:rFonts w:hint="eastAsia"/>
                <w:lang w:val="en-US" w:eastAsia="en-US"/>
              </w:rPr>
            </w:pPr>
            <w:r>
              <w:rPr>
                <w:rFonts w:hint="eastAsia"/>
              </w:rPr>
              <w:t>允许轻微点状锈痕 ,总面积不超过果面的 1/16</w:t>
            </w:r>
          </w:p>
        </w:tc>
        <w:tc>
          <w:tcPr>
            <w:tcW w:w="2339" w:type="dxa"/>
            <w:tcBorders>
              <w:bottom w:val="single" w:color="000000" w:sz="6" w:space="0"/>
            </w:tcBorders>
            <w:shd w:val="clear" w:color="auto" w:fill="auto"/>
            <w:vAlign w:val="center"/>
          </w:tcPr>
          <w:p w14:paraId="3A64A455">
            <w:pPr>
              <w:pStyle w:val="21"/>
              <w:jc w:val="center"/>
              <w:rPr>
                <w:rFonts w:hint="eastAsia"/>
                <w:lang w:val="en-US" w:eastAsia="en-US"/>
              </w:rPr>
            </w:pPr>
            <w:r>
              <w:rPr>
                <w:rFonts w:hint="eastAsia"/>
              </w:rPr>
              <w:t>允许轻微点状锈痕 ,总面积不超过果面的 1/8</w:t>
            </w:r>
          </w:p>
        </w:tc>
        <w:tc>
          <w:tcPr>
            <w:tcW w:w="2151" w:type="dxa"/>
            <w:tcBorders>
              <w:bottom w:val="single" w:color="000000" w:sz="6" w:space="0"/>
              <w:right w:val="single" w:color="000000" w:sz="6" w:space="0"/>
            </w:tcBorders>
            <w:shd w:val="clear" w:color="auto" w:fill="auto"/>
            <w:vAlign w:val="center"/>
          </w:tcPr>
          <w:p w14:paraId="41B331B5">
            <w:pPr>
              <w:pStyle w:val="21"/>
              <w:jc w:val="center"/>
              <w:rPr>
                <w:rFonts w:hint="eastAsia"/>
                <w:lang w:val="en-US" w:eastAsia="en-US"/>
              </w:rPr>
            </w:pPr>
            <w:r>
              <w:rPr>
                <w:rFonts w:hint="eastAsia"/>
              </w:rPr>
              <w:t>允许较明显点状锈斑 ,总面积不超过果面的 1/4</w:t>
            </w:r>
          </w:p>
        </w:tc>
      </w:tr>
    </w:tbl>
    <w:p w14:paraId="1E0820F0">
      <w:pPr>
        <w:rPr>
          <w:rFonts w:hint="eastAsia"/>
        </w:rPr>
      </w:pPr>
      <w:r>
        <w:rPr>
          <w:rFonts w:hint="eastAsia"/>
        </w:rPr>
        <w:br w:type="page"/>
      </w:r>
    </w:p>
    <w:p w14:paraId="0951468A">
      <w:pPr>
        <w:pStyle w:val="17"/>
        <w:spacing w:before="120" w:after="120"/>
        <w:rPr>
          <w:rFonts w:hint="eastAsia"/>
          <w:lang w:val="en-US" w:eastAsia="zh-CN"/>
        </w:rPr>
      </w:pPr>
      <w:bookmarkStart w:id="20" w:name="_Toc25265"/>
      <w:r>
        <w:rPr>
          <w:rFonts w:hint="eastAsia"/>
          <w:lang w:val="en-US" w:eastAsia="zh-CN"/>
        </w:rPr>
        <w:t>安全指标</w:t>
      </w:r>
      <w:bookmarkEnd w:id="20"/>
    </w:p>
    <w:p w14:paraId="118FD875">
      <w:pPr>
        <w:pStyle w:val="12"/>
        <w:ind w:firstLine="420"/>
        <w:rPr>
          <w:rFonts w:hint="eastAsia"/>
        </w:rPr>
      </w:pPr>
      <w:r>
        <w:rPr>
          <w:rFonts w:hint="eastAsia"/>
        </w:rPr>
        <w:t>应符合GB 2762</w:t>
      </w:r>
      <w:r>
        <w:rPr>
          <w:rFonts w:hint="eastAsia"/>
          <w:lang w:val="en-US" w:eastAsia="zh-CN"/>
        </w:rPr>
        <w:t xml:space="preserve"> </w:t>
      </w:r>
      <w:r>
        <w:rPr>
          <w:rFonts w:hint="eastAsia"/>
        </w:rPr>
        <w:t>和GB 2763</w:t>
      </w:r>
      <w:r>
        <w:rPr>
          <w:rFonts w:hint="eastAsia"/>
          <w:lang w:val="en-US" w:eastAsia="zh-CN"/>
        </w:rPr>
        <w:t xml:space="preserve"> </w:t>
      </w:r>
      <w:r>
        <w:rPr>
          <w:rFonts w:hint="eastAsia"/>
        </w:rPr>
        <w:t>的规定。</w:t>
      </w:r>
    </w:p>
    <w:p w14:paraId="48E7F1A2">
      <w:pPr>
        <w:pStyle w:val="17"/>
        <w:spacing w:before="120" w:after="120"/>
        <w:rPr>
          <w:rFonts w:hint="eastAsia"/>
          <w:lang w:val="en-US" w:eastAsia="zh-CN"/>
        </w:rPr>
      </w:pPr>
      <w:bookmarkStart w:id="21" w:name="_Toc28946"/>
      <w:r>
        <w:rPr>
          <w:rFonts w:hint="eastAsia"/>
          <w:lang w:val="en-US" w:eastAsia="zh-CN"/>
        </w:rPr>
        <w:t>容许度</w:t>
      </w:r>
      <w:bookmarkEnd w:id="21"/>
    </w:p>
    <w:p w14:paraId="5D12530B">
      <w:pPr>
        <w:pStyle w:val="22"/>
        <w:spacing w:before="120" w:after="120"/>
        <w:rPr>
          <w:rFonts w:hint="eastAsia"/>
        </w:rPr>
      </w:pPr>
      <w:r>
        <w:rPr>
          <w:rFonts w:hint="eastAsia"/>
        </w:rPr>
        <w:t>质量容许度</w:t>
      </w:r>
    </w:p>
    <w:p w14:paraId="19B28BA1">
      <w:pPr>
        <w:pStyle w:val="23"/>
        <w:rPr>
          <w:rFonts w:hint="eastAsia"/>
        </w:rPr>
      </w:pPr>
      <w:r>
        <w:rPr>
          <w:rFonts w:hint="eastAsia"/>
        </w:rPr>
        <w:t>产地验收的质量容许度</w:t>
      </w:r>
    </w:p>
    <w:p w14:paraId="73B1CDEA">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特级品苹果允许有 3% 的果实不符合本等级规定的质量要求。其中机械伤（磨伤、碰压伤、刺伤）不合格果之和不得超过 1%；日灼、雹伤、裂纹、小疵点、药害、裂果、片锈、网锈、点锈等缺陷按参考 GB/T 10651《鲜苹果质量等级要求》执行。</w:t>
      </w:r>
    </w:p>
    <w:p w14:paraId="4A3DD2C4">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一级品苹果允许有 5% 的果实不符合本等级规定的质量要求。其中机械伤（磨伤、碰压伤、刺伤）不合格果之和不得超过 1%；日灼、雹伤、裂纹、小疵点、药害、裂果、片锈、网锈、点锈等缺陷按参考 GB/T 10651《鲜苹果质量等级要求》执行。</w:t>
      </w:r>
    </w:p>
    <w:p w14:paraId="3C3945CE">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二级品苹果允许有 8% 的果实不符合本等级规定的质量要求。其中机械伤（磨伤、碰压伤、刺伤）** 不合格果之和不得超过 5%，下列缺陷的果实合计不得超过 1%：</w:t>
      </w:r>
    </w:p>
    <w:p w14:paraId="48BB97C1">
      <w:pPr>
        <w:pStyle w:val="12"/>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食心虫果及危害果肉的苦痘病等生理病害；</w:t>
      </w:r>
    </w:p>
    <w:p w14:paraId="46A53EF1">
      <w:pPr>
        <w:pStyle w:val="12"/>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未愈合的轻微损伤</w:t>
      </w:r>
      <w:r>
        <w:rPr>
          <w:rFonts w:hint="eastAsia"/>
          <w:lang w:eastAsia="zh-CN"/>
        </w:rPr>
        <w:t>；</w:t>
      </w:r>
    </w:p>
    <w:p w14:paraId="118B1F96">
      <w:pPr>
        <w:pStyle w:val="12"/>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color w:val="auto"/>
        </w:rPr>
      </w:pPr>
      <w:r>
        <w:rPr>
          <w:rFonts w:hint="eastAsia"/>
        </w:rPr>
        <w:t>日灼</w:t>
      </w:r>
      <w:r>
        <w:rPr>
          <w:rFonts w:hint="eastAsia"/>
          <w:color w:val="auto"/>
        </w:rPr>
        <w:t>、雹伤、裂纹、药害、裂果缺陷</w:t>
      </w:r>
      <w:r>
        <w:rPr>
          <w:rFonts w:hint="eastAsia"/>
          <w:color w:val="auto"/>
          <w:lang w:eastAsia="zh-CN"/>
        </w:rPr>
        <w:t>；</w:t>
      </w:r>
    </w:p>
    <w:p w14:paraId="2EBB4196">
      <w:pPr>
        <w:pStyle w:val="12"/>
        <w:keepNext w:val="0"/>
        <w:keepLines w:val="0"/>
        <w:pageBreakBefore w:val="0"/>
        <w:widowControl/>
        <w:numPr>
          <w:ilvl w:val="0"/>
          <w:numId w:val="5"/>
        </w:numPr>
        <w:kinsoku/>
        <w:wordWrap/>
        <w:overflowPunct/>
        <w:topLinePunct w:val="0"/>
        <w:autoSpaceDE w:val="0"/>
        <w:autoSpaceDN w:val="0"/>
        <w:bidi w:val="0"/>
        <w:adjustRightInd/>
        <w:snapToGrid/>
        <w:ind w:left="0" w:leftChars="0" w:firstLine="420" w:firstLineChars="200"/>
        <w:textAlignment w:val="auto"/>
        <w:rPr>
          <w:rFonts w:hint="eastAsia"/>
          <w:color w:val="auto"/>
        </w:rPr>
      </w:pPr>
      <w:r>
        <w:rPr>
          <w:rFonts w:hint="eastAsia"/>
          <w:color w:val="auto"/>
        </w:rPr>
        <w:t>片锈、网锈、点锈、小疵点缺陷，按参考 GB/T 10651《鲜苹果质量等级要求》执行。</w:t>
      </w:r>
    </w:p>
    <w:p w14:paraId="64CF63A9">
      <w:pPr>
        <w:pStyle w:val="23"/>
        <w:rPr>
          <w:rFonts w:hint="eastAsia"/>
          <w:color w:val="auto"/>
        </w:rPr>
      </w:pPr>
      <w:r>
        <w:rPr>
          <w:rFonts w:hint="eastAsia"/>
          <w:color w:val="auto"/>
        </w:rPr>
        <w:t>自起运点至市场、港站验收的质量容许度</w:t>
      </w:r>
    </w:p>
    <w:p w14:paraId="0C96F67D">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color w:val="auto"/>
        </w:rPr>
      </w:pPr>
      <w:r>
        <w:rPr>
          <w:rFonts w:hint="eastAsia"/>
          <w:color w:val="auto"/>
        </w:rPr>
        <w:t>特级品苹果允许有 5% 的果实不符合本等级规定的质量要求。其中 ** 机械伤（磨伤、碰压伤、刺伤）不合格果之和不得超过 2%；日灼、雹伤、裂纹、小疵点、药害、裂果、片锈、网锈、点锈等缺陷按参考 GB/T 10651《鲜苹果质量等级要求》执行。</w:t>
      </w:r>
    </w:p>
    <w:p w14:paraId="31E7D31B">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color w:val="auto"/>
        </w:rPr>
      </w:pPr>
      <w:r>
        <w:rPr>
          <w:rFonts w:hint="eastAsia"/>
          <w:color w:val="auto"/>
        </w:rPr>
        <w:t>一级品苹果允许 8% 的果实不符合本等级规定的质量要求。其中机械伤（磨伤、碰压伤、刺伤）不合格果之和不得超过 5%；日灼、雹伤、裂纹、小疵点、药害、裂果、片锈、网锈、点锈等缺陷按参考 GB/T 10651《鲜苹果质量等级要求》执行。</w:t>
      </w:r>
    </w:p>
    <w:p w14:paraId="7C988F06">
      <w:pPr>
        <w:pStyle w:val="12"/>
        <w:keepNext w:val="0"/>
        <w:keepLines w:val="0"/>
        <w:pageBreakBefore w:val="0"/>
        <w:widowControl/>
        <w:numPr>
          <w:ilvl w:val="1"/>
          <w:numId w:val="4"/>
        </w:numPr>
        <w:kinsoku/>
        <w:wordWrap/>
        <w:overflowPunct/>
        <w:topLinePunct w:val="0"/>
        <w:autoSpaceDE w:val="0"/>
        <w:autoSpaceDN w:val="0"/>
        <w:bidi w:val="0"/>
        <w:adjustRightInd/>
        <w:snapToGrid/>
        <w:ind w:left="0" w:leftChars="0" w:firstLine="420" w:firstLineChars="200"/>
        <w:textAlignment w:val="auto"/>
        <w:rPr>
          <w:rFonts w:hint="eastAsia"/>
          <w:color w:val="auto"/>
        </w:rPr>
      </w:pPr>
      <w:r>
        <w:rPr>
          <w:rFonts w:hint="eastAsia"/>
          <w:color w:val="auto"/>
        </w:rPr>
        <w:t>二级品苹果允许有 10% 的果实不符合本等级规定的质量要求。其中机械伤（磨伤、碰压伤、刺伤</w:t>
      </w:r>
      <w:r>
        <w:rPr>
          <w:rFonts w:hint="eastAsia"/>
          <w:color w:val="auto"/>
          <w:lang w:val="en-US" w:eastAsia="zh-CN"/>
        </w:rPr>
        <w:t>.</w:t>
      </w:r>
      <w:r>
        <w:rPr>
          <w:rFonts w:hint="eastAsia"/>
          <w:color w:val="auto"/>
        </w:rPr>
        <w:t>）不合格果之和不得超过 7%，下列缺陷的果实合计不得超过 2%：</w:t>
      </w:r>
    </w:p>
    <w:p w14:paraId="27F737CB">
      <w:pPr>
        <w:pStyle w:val="12"/>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color w:val="auto"/>
        </w:rPr>
        <w:t>食心虫果及危害果肉的</w:t>
      </w:r>
      <w:r>
        <w:rPr>
          <w:rFonts w:hint="eastAsia"/>
        </w:rPr>
        <w:t>苦痘病等生理病害；</w:t>
      </w:r>
    </w:p>
    <w:p w14:paraId="360E8BBD">
      <w:pPr>
        <w:pStyle w:val="12"/>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未愈合的轻微损伤</w:t>
      </w:r>
      <w:r>
        <w:rPr>
          <w:rFonts w:hint="eastAsia"/>
          <w:lang w:eastAsia="zh-CN"/>
        </w:rPr>
        <w:t>；</w:t>
      </w:r>
    </w:p>
    <w:p w14:paraId="45406A05">
      <w:pPr>
        <w:pStyle w:val="12"/>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lang w:val="en-US" w:eastAsia="zh-CN"/>
        </w:rPr>
        <w:t>个日灼、雹伤、裂纹、药害、裂果缺陷；</w:t>
      </w:r>
    </w:p>
    <w:p w14:paraId="68DEC816">
      <w:pPr>
        <w:pStyle w:val="12"/>
        <w:keepNext w:val="0"/>
        <w:keepLines w:val="0"/>
        <w:pageBreakBefore w:val="0"/>
        <w:widowControl/>
        <w:numPr>
          <w:ilvl w:val="0"/>
          <w:numId w:val="6"/>
        </w:numPr>
        <w:kinsoku/>
        <w:wordWrap/>
        <w:overflowPunct/>
        <w:topLinePunct w:val="0"/>
        <w:autoSpaceDE w:val="0"/>
        <w:autoSpaceDN w:val="0"/>
        <w:bidi w:val="0"/>
        <w:adjustRightInd/>
        <w:snapToGrid/>
        <w:ind w:left="0" w:leftChars="0" w:firstLine="420" w:firstLineChars="200"/>
        <w:textAlignment w:val="auto"/>
        <w:rPr>
          <w:rFonts w:hint="eastAsia"/>
        </w:rPr>
      </w:pPr>
      <w:r>
        <w:rPr>
          <w:rFonts w:hint="eastAsia"/>
        </w:rPr>
        <w:t>片锈、网锈、点锈、小疵点缺陷，按参考 GB/T 10651</w:t>
      </w:r>
      <w:r>
        <w:rPr>
          <w:rFonts w:hint="eastAsia"/>
          <w:lang w:val="en-US" w:eastAsia="zh-CN"/>
        </w:rPr>
        <w:t xml:space="preserve"> </w:t>
      </w:r>
      <w:r>
        <w:rPr>
          <w:rFonts w:hint="eastAsia"/>
        </w:rPr>
        <w:t>《鲜苹果质量等级要求》执行。</w:t>
      </w:r>
    </w:p>
    <w:p w14:paraId="3DCF52B9">
      <w:pPr>
        <w:pStyle w:val="22"/>
        <w:spacing w:before="120" w:after="120"/>
        <w:rPr>
          <w:rFonts w:hint="eastAsia"/>
        </w:rPr>
      </w:pPr>
      <w:r>
        <w:rPr>
          <w:rFonts w:hint="eastAsia"/>
        </w:rPr>
        <w:t>大小的容许度</w:t>
      </w:r>
    </w:p>
    <w:p w14:paraId="087CF617">
      <w:pPr>
        <w:pStyle w:val="12"/>
        <w:rPr>
          <w:rFonts w:hint="eastAsia"/>
        </w:rPr>
      </w:pPr>
      <w:r>
        <w:rPr>
          <w:rFonts w:hint="eastAsia"/>
        </w:rPr>
        <w:t>各等级对果径有规定的苹果，允许有 5% 的果实高于或低于规定果径差别范围，但在全批货物中果实大小差异不宜过于显著。</w:t>
      </w:r>
    </w:p>
    <w:p w14:paraId="1668FE5B">
      <w:pPr>
        <w:pStyle w:val="12"/>
        <w:rPr>
          <w:rFonts w:hint="eastAsia"/>
        </w:rPr>
      </w:pPr>
    </w:p>
    <w:p w14:paraId="13250FE7">
      <w:pPr>
        <w:pStyle w:val="12"/>
        <w:rPr>
          <w:rFonts w:hint="eastAsia"/>
        </w:rPr>
      </w:pPr>
      <w:r>
        <w:rPr>
          <w:rFonts w:hint="eastAsia"/>
        </w:rPr>
        <w:t>各级苹果容许度规定允许的不合格果，只能是邻级果，不允许隔级果。</w:t>
      </w:r>
    </w:p>
    <w:p w14:paraId="3676C349">
      <w:pPr>
        <w:pStyle w:val="22"/>
        <w:spacing w:before="120" w:after="120"/>
        <w:rPr>
          <w:rFonts w:hint="eastAsia"/>
        </w:rPr>
      </w:pPr>
      <w:r>
        <w:rPr>
          <w:rFonts w:hint="eastAsia"/>
        </w:rPr>
        <w:t>容许度的测定</w:t>
      </w:r>
    </w:p>
    <w:p w14:paraId="7649CBC9">
      <w:pPr>
        <w:pStyle w:val="12"/>
        <w:rPr>
          <w:rFonts w:hint="eastAsia"/>
        </w:rPr>
      </w:pPr>
      <w:r>
        <w:rPr>
          <w:rFonts w:hint="eastAsia"/>
        </w:rPr>
        <w:t>以检验全部抽样包装件的平均数计算。容许度规定的百分率</w:t>
      </w:r>
      <w:r>
        <w:rPr>
          <w:rFonts w:hint="eastAsia"/>
          <w:lang w:val="en-US" w:eastAsia="zh-CN"/>
        </w:rPr>
        <w:t>以</w:t>
      </w:r>
      <w:r>
        <w:rPr>
          <w:rFonts w:hint="eastAsia"/>
        </w:rPr>
        <w:t>果数计算。</w:t>
      </w:r>
    </w:p>
    <w:p w14:paraId="470A88A8">
      <w:pPr>
        <w:pStyle w:val="14"/>
        <w:spacing w:before="240" w:after="240"/>
        <w:rPr>
          <w:rFonts w:hint="eastAsia"/>
        </w:rPr>
      </w:pPr>
      <w:bookmarkStart w:id="22" w:name="_Toc29509"/>
      <w:r>
        <w:rPr>
          <w:rFonts w:hint="eastAsia"/>
        </w:rPr>
        <w:t>试验方法</w:t>
      </w:r>
      <w:bookmarkEnd w:id="22"/>
    </w:p>
    <w:p w14:paraId="76188C04">
      <w:pPr>
        <w:pStyle w:val="17"/>
        <w:spacing w:before="120" w:after="120"/>
        <w:rPr>
          <w:rFonts w:hint="eastAsia"/>
          <w:lang w:val="en-US" w:eastAsia="zh-CN"/>
        </w:rPr>
      </w:pPr>
      <w:bookmarkStart w:id="23" w:name="_Toc853"/>
      <w:r>
        <w:rPr>
          <w:rFonts w:hint="eastAsia"/>
          <w:lang w:val="en-US" w:eastAsia="zh-CN"/>
        </w:rPr>
        <w:t>感官检验</w:t>
      </w:r>
      <w:bookmarkEnd w:id="23"/>
    </w:p>
    <w:p w14:paraId="34E4D5BD">
      <w:pPr>
        <w:pStyle w:val="22"/>
        <w:spacing w:before="120" w:after="120"/>
        <w:rPr>
          <w:rFonts w:hint="eastAsia"/>
        </w:rPr>
      </w:pPr>
      <w:r>
        <w:rPr>
          <w:rFonts w:hint="eastAsia" w:ascii="宋体" w:hAnsi="Times New Roman" w:eastAsia="宋体" w:cs="Times New Roman"/>
          <w:sz w:val="21"/>
          <w:lang w:val="en-US" w:eastAsia="zh-CN" w:bidi="ar-SA"/>
        </w:rPr>
        <w:t>色泽、果形、果面：在自然光下，目测观察果实的色泽、果形和果面状况，抽样数量每批不少于10个。</w:t>
      </w:r>
    </w:p>
    <w:p w14:paraId="4E0154E7">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风味：随机抽取不少于</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个果实进行品尝，评价其风味特征。</w:t>
      </w:r>
    </w:p>
    <w:p w14:paraId="61E9DC5F">
      <w:pPr>
        <w:pStyle w:val="17"/>
        <w:spacing w:before="120" w:after="120"/>
        <w:rPr>
          <w:rFonts w:hint="eastAsia"/>
          <w:lang w:val="en-US" w:eastAsia="zh-CN"/>
        </w:rPr>
      </w:pPr>
      <w:bookmarkStart w:id="24" w:name="_Toc29468"/>
      <w:r>
        <w:rPr>
          <w:rFonts w:hint="eastAsia"/>
          <w:lang w:val="en-US" w:eastAsia="zh-CN"/>
        </w:rPr>
        <w:t>理化指标检验。</w:t>
      </w:r>
      <w:bookmarkEnd w:id="24"/>
    </w:p>
    <w:p w14:paraId="6F191247">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可溶性固形物：按GB/T 10651的规定执行，使用手持折射仪测定。</w:t>
      </w:r>
    </w:p>
    <w:p w14:paraId="460781B6">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硬度：按GB/T 10651</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的规定执行，使用果实硬度计在果实赤道部位去皮测定，每果测定</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2</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点，取平均值。</w:t>
      </w:r>
    </w:p>
    <w:p w14:paraId="066FBB78">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果实横径：用游标卡尺测量果实最大横切面的直径，精确至1</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mm。</w:t>
      </w:r>
    </w:p>
    <w:p w14:paraId="0316F944">
      <w:pPr>
        <w:pStyle w:val="17"/>
        <w:spacing w:before="120" w:after="120"/>
        <w:rPr>
          <w:rFonts w:hint="eastAsia"/>
          <w:lang w:val="en-US" w:eastAsia="zh-CN"/>
        </w:rPr>
      </w:pPr>
      <w:bookmarkStart w:id="25" w:name="_Toc22545"/>
      <w:r>
        <w:rPr>
          <w:rFonts w:hint="eastAsia"/>
          <w:lang w:val="en-US" w:eastAsia="zh-CN"/>
        </w:rPr>
        <w:t>安全指标检验</w:t>
      </w:r>
      <w:bookmarkEnd w:id="25"/>
    </w:p>
    <w:p w14:paraId="0734E146">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按GB 2762 和GB 2763 的规定执行。</w:t>
      </w:r>
    </w:p>
    <w:p w14:paraId="2F9BA5FF">
      <w:pPr>
        <w:pStyle w:val="14"/>
        <w:spacing w:before="240" w:after="240"/>
        <w:rPr>
          <w:rFonts w:hint="eastAsia"/>
        </w:rPr>
      </w:pPr>
      <w:bookmarkStart w:id="26" w:name="_Toc4035"/>
      <w:r>
        <w:rPr>
          <w:rFonts w:hint="eastAsia"/>
        </w:rPr>
        <w:t>检验规则</w:t>
      </w:r>
      <w:bookmarkEnd w:id="26"/>
    </w:p>
    <w:p w14:paraId="3CE60F05">
      <w:pPr>
        <w:pStyle w:val="17"/>
        <w:spacing w:before="120" w:after="120"/>
        <w:rPr>
          <w:rFonts w:hint="eastAsia"/>
          <w:lang w:val="en-US" w:eastAsia="zh-CN"/>
        </w:rPr>
      </w:pPr>
      <w:bookmarkStart w:id="27" w:name="_Toc27304"/>
      <w:r>
        <w:rPr>
          <w:rFonts w:hint="eastAsia"/>
          <w:lang w:val="en-US" w:eastAsia="zh-CN"/>
        </w:rPr>
        <w:t>组批</w:t>
      </w:r>
      <w:bookmarkEnd w:id="27"/>
    </w:p>
    <w:p w14:paraId="0AA2E36F">
      <w:pPr>
        <w:pStyle w:val="12"/>
        <w:rPr>
          <w:rFonts w:hint="eastAsia"/>
        </w:rPr>
      </w:pPr>
      <w:r>
        <w:rPr>
          <w:rFonts w:hint="eastAsia"/>
        </w:rPr>
        <w:t>同区域、同品种、同等级、同采收期的苹果作为一个检验批次。</w:t>
      </w:r>
    </w:p>
    <w:p w14:paraId="0677EC95">
      <w:pPr>
        <w:pStyle w:val="17"/>
        <w:spacing w:before="120" w:after="120"/>
        <w:rPr>
          <w:rFonts w:hint="eastAsia"/>
          <w:lang w:val="en-US" w:eastAsia="zh-CN"/>
        </w:rPr>
      </w:pPr>
      <w:bookmarkStart w:id="28" w:name="_Toc29432"/>
      <w:r>
        <w:rPr>
          <w:rFonts w:hint="eastAsia"/>
          <w:lang w:val="en-US" w:eastAsia="zh-CN"/>
        </w:rPr>
        <w:t>抽样</w:t>
      </w:r>
      <w:bookmarkEnd w:id="28"/>
    </w:p>
    <w:p w14:paraId="655C4D34">
      <w:pPr>
        <w:pStyle w:val="12"/>
        <w:rPr>
          <w:rFonts w:hint="eastAsia"/>
        </w:rPr>
      </w:pPr>
      <w:r>
        <w:rPr>
          <w:rFonts w:hint="eastAsia"/>
        </w:rPr>
        <w:t>按GB/T</w:t>
      </w:r>
      <w:r>
        <w:rPr>
          <w:rFonts w:hint="eastAsia"/>
          <w:lang w:val="en-US" w:eastAsia="zh-CN"/>
        </w:rPr>
        <w:t xml:space="preserve"> </w:t>
      </w:r>
      <w:r>
        <w:rPr>
          <w:rFonts w:hint="eastAsia"/>
        </w:rPr>
        <w:t>10651</w:t>
      </w:r>
      <w:r>
        <w:rPr>
          <w:rFonts w:hint="eastAsia"/>
          <w:lang w:val="en-US" w:eastAsia="zh-CN"/>
        </w:rPr>
        <w:t xml:space="preserve"> </w:t>
      </w:r>
      <w:r>
        <w:rPr>
          <w:rFonts w:hint="eastAsia"/>
        </w:rPr>
        <w:t>的规定进行抽样。每批产品抽样数量：批量</w:t>
      </w:r>
      <w:r>
        <w:rPr>
          <w:rFonts w:hint="eastAsia"/>
          <w:lang w:val="en-US" w:eastAsia="zh-CN"/>
        </w:rPr>
        <w:t xml:space="preserve"> </w:t>
      </w:r>
      <w:r>
        <w:rPr>
          <w:rFonts w:hint="eastAsia"/>
        </w:rPr>
        <w:t>≤100</w:t>
      </w:r>
      <w:r>
        <w:rPr>
          <w:rFonts w:hint="eastAsia"/>
          <w:lang w:val="en-US" w:eastAsia="zh-CN"/>
        </w:rPr>
        <w:t xml:space="preserve"> </w:t>
      </w:r>
      <w:r>
        <w:rPr>
          <w:rFonts w:hint="eastAsia"/>
        </w:rPr>
        <w:t>件，抽样</w:t>
      </w:r>
      <w:r>
        <w:rPr>
          <w:rFonts w:hint="eastAsia"/>
          <w:lang w:val="en-US" w:eastAsia="zh-CN"/>
        </w:rPr>
        <w:t xml:space="preserve"> </w:t>
      </w:r>
      <w:r>
        <w:rPr>
          <w:rFonts w:hint="eastAsia"/>
        </w:rPr>
        <w:t>5</w:t>
      </w:r>
      <w:r>
        <w:rPr>
          <w:rFonts w:hint="eastAsia"/>
          <w:lang w:val="en-US" w:eastAsia="zh-CN"/>
        </w:rPr>
        <w:t xml:space="preserve"> </w:t>
      </w:r>
      <w:r>
        <w:rPr>
          <w:rFonts w:hint="eastAsia"/>
        </w:rPr>
        <w:t>件；101</w:t>
      </w:r>
      <w:r>
        <w:rPr>
          <w:rFonts w:hint="eastAsia"/>
          <w:lang w:val="en-US" w:eastAsia="zh-CN"/>
        </w:rPr>
        <w:t xml:space="preserve"> </w:t>
      </w:r>
      <w:r>
        <w:rPr>
          <w:rFonts w:hint="eastAsia"/>
        </w:rPr>
        <w:t>件＜批量</w:t>
      </w:r>
      <w:r>
        <w:rPr>
          <w:rFonts w:hint="eastAsia"/>
          <w:lang w:val="en-US" w:eastAsia="zh-CN"/>
        </w:rPr>
        <w:t xml:space="preserve"> </w:t>
      </w:r>
      <w:r>
        <w:rPr>
          <w:rFonts w:hint="eastAsia"/>
        </w:rPr>
        <w:t>≤500</w:t>
      </w:r>
      <w:r>
        <w:rPr>
          <w:rFonts w:hint="eastAsia"/>
          <w:lang w:val="en-US" w:eastAsia="zh-CN"/>
        </w:rPr>
        <w:t xml:space="preserve"> </w:t>
      </w:r>
      <w:r>
        <w:rPr>
          <w:rFonts w:hint="eastAsia"/>
        </w:rPr>
        <w:t>件，抽样</w:t>
      </w:r>
      <w:r>
        <w:rPr>
          <w:rFonts w:hint="eastAsia"/>
          <w:lang w:val="en-US" w:eastAsia="zh-CN"/>
        </w:rPr>
        <w:t xml:space="preserve"> </w:t>
      </w:r>
      <w:r>
        <w:rPr>
          <w:rFonts w:hint="eastAsia"/>
        </w:rPr>
        <w:t>10</w:t>
      </w:r>
      <w:r>
        <w:rPr>
          <w:rFonts w:hint="eastAsia"/>
          <w:lang w:val="en-US" w:eastAsia="zh-CN"/>
        </w:rPr>
        <w:t xml:space="preserve"> </w:t>
      </w:r>
      <w:r>
        <w:rPr>
          <w:rFonts w:hint="eastAsia"/>
        </w:rPr>
        <w:t>件；批量</w:t>
      </w:r>
      <w:r>
        <w:rPr>
          <w:rFonts w:hint="eastAsia"/>
          <w:lang w:val="en-US" w:eastAsia="zh-CN"/>
        </w:rPr>
        <w:t xml:space="preserve"> </w:t>
      </w:r>
      <w:r>
        <w:rPr>
          <w:rFonts w:hint="eastAsia"/>
        </w:rPr>
        <w:t>＞500</w:t>
      </w:r>
      <w:r>
        <w:rPr>
          <w:rFonts w:hint="eastAsia"/>
          <w:lang w:val="en-US" w:eastAsia="zh-CN"/>
        </w:rPr>
        <w:t xml:space="preserve"> </w:t>
      </w:r>
      <w:r>
        <w:rPr>
          <w:rFonts w:hint="eastAsia"/>
        </w:rPr>
        <w:t>件，抽样</w:t>
      </w:r>
      <w:r>
        <w:rPr>
          <w:rFonts w:hint="eastAsia"/>
          <w:lang w:val="en-US" w:eastAsia="zh-CN"/>
        </w:rPr>
        <w:t xml:space="preserve"> </w:t>
      </w:r>
      <w:r>
        <w:rPr>
          <w:rFonts w:hint="eastAsia"/>
        </w:rPr>
        <w:t>15</w:t>
      </w:r>
      <w:r>
        <w:rPr>
          <w:rFonts w:hint="eastAsia"/>
          <w:lang w:val="en-US" w:eastAsia="zh-CN"/>
        </w:rPr>
        <w:t xml:space="preserve"> </w:t>
      </w:r>
      <w:r>
        <w:rPr>
          <w:rFonts w:hint="eastAsia"/>
        </w:rPr>
        <w:t>件。从每件中随机抽取</w:t>
      </w:r>
      <w:r>
        <w:rPr>
          <w:rFonts w:hint="eastAsia"/>
          <w:lang w:val="en-US" w:eastAsia="zh-CN"/>
        </w:rPr>
        <w:t xml:space="preserve"> </w:t>
      </w:r>
      <w:r>
        <w:rPr>
          <w:rFonts w:hint="eastAsia"/>
        </w:rPr>
        <w:t>2～3</w:t>
      </w:r>
      <w:r>
        <w:rPr>
          <w:rFonts w:hint="eastAsia"/>
          <w:lang w:val="en-US" w:eastAsia="zh-CN"/>
        </w:rPr>
        <w:t xml:space="preserve"> </w:t>
      </w:r>
      <w:r>
        <w:rPr>
          <w:rFonts w:hint="eastAsia"/>
        </w:rPr>
        <w:t>个果实组成检验样品。</w:t>
      </w:r>
    </w:p>
    <w:p w14:paraId="0CCE1A8F">
      <w:pPr>
        <w:pStyle w:val="17"/>
        <w:spacing w:before="120" w:after="120"/>
        <w:rPr>
          <w:rFonts w:hint="eastAsia"/>
          <w:lang w:val="en-US" w:eastAsia="zh-CN"/>
        </w:rPr>
      </w:pPr>
      <w:bookmarkStart w:id="29" w:name="_Toc29245"/>
      <w:r>
        <w:rPr>
          <w:rFonts w:hint="eastAsia"/>
          <w:lang w:val="en-US" w:eastAsia="zh-CN"/>
        </w:rPr>
        <w:t>检验分类</w:t>
      </w:r>
      <w:bookmarkEnd w:id="29"/>
    </w:p>
    <w:p w14:paraId="42550228">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出厂检验</w:t>
      </w:r>
    </w:p>
    <w:p w14:paraId="20450231">
      <w:pPr>
        <w:pStyle w:val="12"/>
        <w:rPr>
          <w:rFonts w:hint="eastAsia"/>
        </w:rPr>
      </w:pPr>
      <w:r>
        <w:rPr>
          <w:rFonts w:hint="eastAsia"/>
        </w:rPr>
        <w:t>每批产品应进行出厂检验，检验项目包括</w:t>
      </w:r>
      <w:r>
        <w:rPr>
          <w:rFonts w:hint="eastAsia"/>
          <w:lang w:val="en-US" w:eastAsia="zh-CN"/>
        </w:rPr>
        <w:t xml:space="preserve"> </w:t>
      </w:r>
      <w:r>
        <w:rPr>
          <w:rFonts w:hint="eastAsia"/>
        </w:rPr>
        <w:t>4.1</w:t>
      </w:r>
      <w:r>
        <w:rPr>
          <w:rFonts w:hint="eastAsia"/>
          <w:lang w:val="en-US" w:eastAsia="zh-CN"/>
        </w:rPr>
        <w:t xml:space="preserve"> </w:t>
      </w:r>
      <w:r>
        <w:rPr>
          <w:rFonts w:hint="eastAsia"/>
        </w:rPr>
        <w:t>中的色泽、果形、果面、果实横径和可溶性固形物。</w:t>
      </w:r>
    </w:p>
    <w:p w14:paraId="223A308D">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型式检验</w:t>
      </w:r>
    </w:p>
    <w:p w14:paraId="19EAC96D">
      <w:pPr>
        <w:pStyle w:val="12"/>
        <w:rPr>
          <w:rFonts w:hint="eastAsia"/>
        </w:rPr>
      </w:pPr>
      <w:r>
        <w:rPr>
          <w:rFonts w:hint="eastAsia"/>
        </w:rPr>
        <w:t>型式检验项目包括本文件</w:t>
      </w:r>
      <w:r>
        <w:rPr>
          <w:rFonts w:hint="eastAsia"/>
          <w:lang w:val="en-US" w:eastAsia="zh-CN"/>
        </w:rPr>
        <w:t xml:space="preserve"> </w:t>
      </w:r>
      <w:r>
        <w:rPr>
          <w:rFonts w:hint="eastAsia"/>
        </w:rPr>
        <w:t>4</w:t>
      </w:r>
      <w:r>
        <w:rPr>
          <w:rFonts w:hint="eastAsia"/>
          <w:lang w:val="en-US" w:eastAsia="zh-CN"/>
        </w:rPr>
        <w:t xml:space="preserve"> </w:t>
      </w:r>
      <w:r>
        <w:rPr>
          <w:rFonts w:hint="eastAsia"/>
        </w:rPr>
        <w:t>章和</w:t>
      </w:r>
      <w:r>
        <w:rPr>
          <w:rFonts w:hint="eastAsia"/>
          <w:lang w:val="en-US" w:eastAsia="zh-CN"/>
        </w:rPr>
        <w:t xml:space="preserve"> </w:t>
      </w:r>
      <w:r>
        <w:rPr>
          <w:rFonts w:hint="eastAsia"/>
        </w:rPr>
        <w:t>5</w:t>
      </w:r>
      <w:r>
        <w:rPr>
          <w:rFonts w:hint="eastAsia"/>
          <w:lang w:val="en-US" w:eastAsia="zh-CN"/>
        </w:rPr>
        <w:t xml:space="preserve"> </w:t>
      </w:r>
      <w:r>
        <w:rPr>
          <w:rFonts w:hint="eastAsia"/>
        </w:rPr>
        <w:t>章的全部要求。有下列情况之一时，应进行型式检验：</w:t>
      </w:r>
    </w:p>
    <w:p w14:paraId="619DAEB8">
      <w:pPr>
        <w:pStyle w:val="12"/>
        <w:keepNext w:val="0"/>
        <w:keepLines w:val="0"/>
        <w:pageBreakBefore w:val="0"/>
        <w:widowControl/>
        <w:numPr>
          <w:ilvl w:val="1"/>
          <w:numId w:val="7"/>
        </w:numPr>
        <w:kinsoku/>
        <w:wordWrap/>
        <w:overflowPunct/>
        <w:topLinePunct w:val="0"/>
        <w:autoSpaceDE w:val="0"/>
        <w:autoSpaceDN w:val="0"/>
        <w:bidi w:val="0"/>
        <w:adjustRightInd/>
        <w:snapToGrid/>
        <w:ind w:left="840" w:leftChars="0" w:hanging="420" w:firstLineChars="0"/>
        <w:textAlignment w:val="auto"/>
        <w:rPr>
          <w:rFonts w:hint="eastAsia"/>
        </w:rPr>
      </w:pPr>
      <w:r>
        <w:rPr>
          <w:rFonts w:hint="eastAsia"/>
        </w:rPr>
        <w:t>新产品首次生产时；</w:t>
      </w:r>
    </w:p>
    <w:p w14:paraId="34E08993">
      <w:pPr>
        <w:pStyle w:val="12"/>
        <w:keepNext w:val="0"/>
        <w:keepLines w:val="0"/>
        <w:pageBreakBefore w:val="0"/>
        <w:widowControl/>
        <w:numPr>
          <w:ilvl w:val="1"/>
          <w:numId w:val="7"/>
        </w:numPr>
        <w:kinsoku/>
        <w:wordWrap/>
        <w:overflowPunct/>
        <w:topLinePunct w:val="0"/>
        <w:autoSpaceDE w:val="0"/>
        <w:autoSpaceDN w:val="0"/>
        <w:bidi w:val="0"/>
        <w:adjustRightInd/>
        <w:snapToGrid/>
        <w:ind w:left="840" w:leftChars="0" w:hanging="420" w:firstLineChars="0"/>
        <w:textAlignment w:val="auto"/>
        <w:rPr>
          <w:rFonts w:hint="eastAsia"/>
        </w:rPr>
      </w:pPr>
      <w:r>
        <w:rPr>
          <w:rFonts w:hint="eastAsia"/>
        </w:rPr>
        <w:t>原料、生产工艺发生重大变化可能影响产品质量时；</w:t>
      </w:r>
    </w:p>
    <w:p w14:paraId="79D5A698">
      <w:pPr>
        <w:pStyle w:val="12"/>
        <w:keepNext w:val="0"/>
        <w:keepLines w:val="0"/>
        <w:pageBreakBefore w:val="0"/>
        <w:widowControl/>
        <w:numPr>
          <w:ilvl w:val="1"/>
          <w:numId w:val="7"/>
        </w:numPr>
        <w:kinsoku/>
        <w:wordWrap/>
        <w:overflowPunct/>
        <w:topLinePunct w:val="0"/>
        <w:autoSpaceDE w:val="0"/>
        <w:autoSpaceDN w:val="0"/>
        <w:bidi w:val="0"/>
        <w:adjustRightInd/>
        <w:snapToGrid/>
        <w:ind w:left="840" w:leftChars="0" w:hanging="420" w:firstLineChars="0"/>
        <w:textAlignment w:val="auto"/>
        <w:rPr>
          <w:rFonts w:hint="eastAsia"/>
        </w:rPr>
      </w:pPr>
      <w:r>
        <w:rPr>
          <w:rFonts w:hint="eastAsia"/>
        </w:rPr>
        <w:t>出厂检验结果与上次型式检验结果有较大差异时；</w:t>
      </w:r>
    </w:p>
    <w:p w14:paraId="7155B023">
      <w:pPr>
        <w:pStyle w:val="12"/>
        <w:keepNext w:val="0"/>
        <w:keepLines w:val="0"/>
        <w:pageBreakBefore w:val="0"/>
        <w:widowControl/>
        <w:numPr>
          <w:ilvl w:val="1"/>
          <w:numId w:val="7"/>
        </w:numPr>
        <w:kinsoku/>
        <w:wordWrap/>
        <w:overflowPunct/>
        <w:topLinePunct w:val="0"/>
        <w:autoSpaceDE w:val="0"/>
        <w:autoSpaceDN w:val="0"/>
        <w:bidi w:val="0"/>
        <w:adjustRightInd/>
        <w:snapToGrid/>
        <w:ind w:left="840" w:leftChars="0" w:hanging="420" w:firstLineChars="0"/>
        <w:textAlignment w:val="auto"/>
        <w:rPr>
          <w:rFonts w:hint="eastAsia"/>
        </w:rPr>
      </w:pPr>
      <w:r>
        <w:rPr>
          <w:rFonts w:hint="eastAsia"/>
        </w:rPr>
        <w:t>连续停产</w:t>
      </w:r>
      <w:r>
        <w:rPr>
          <w:rFonts w:hint="eastAsia"/>
          <w:lang w:val="en-US" w:eastAsia="zh-CN"/>
        </w:rPr>
        <w:t xml:space="preserve"> </w:t>
      </w:r>
      <w:r>
        <w:rPr>
          <w:rFonts w:hint="eastAsia"/>
        </w:rPr>
        <w:t>6</w:t>
      </w:r>
      <w:r>
        <w:rPr>
          <w:rFonts w:hint="eastAsia"/>
          <w:lang w:val="en-US" w:eastAsia="zh-CN"/>
        </w:rPr>
        <w:t xml:space="preserve"> </w:t>
      </w:r>
      <w:r>
        <w:rPr>
          <w:rFonts w:hint="eastAsia"/>
        </w:rPr>
        <w:t>个月以上恢复生产时；</w:t>
      </w:r>
    </w:p>
    <w:p w14:paraId="31784BE6">
      <w:pPr>
        <w:pStyle w:val="12"/>
        <w:keepNext w:val="0"/>
        <w:keepLines w:val="0"/>
        <w:pageBreakBefore w:val="0"/>
        <w:widowControl/>
        <w:numPr>
          <w:ilvl w:val="1"/>
          <w:numId w:val="7"/>
        </w:numPr>
        <w:kinsoku/>
        <w:wordWrap/>
        <w:overflowPunct/>
        <w:topLinePunct w:val="0"/>
        <w:autoSpaceDE w:val="0"/>
        <w:autoSpaceDN w:val="0"/>
        <w:bidi w:val="0"/>
        <w:adjustRightInd/>
        <w:snapToGrid/>
        <w:ind w:left="840" w:leftChars="0" w:hanging="420" w:firstLineChars="0"/>
        <w:textAlignment w:val="auto"/>
        <w:rPr>
          <w:rFonts w:hint="eastAsia"/>
        </w:rPr>
      </w:pPr>
      <w:r>
        <w:rPr>
          <w:rFonts w:hint="eastAsia"/>
        </w:rPr>
        <w:t>国家有关监管部门提出型式检验要求时。</w:t>
      </w:r>
    </w:p>
    <w:p w14:paraId="7A3E91A6">
      <w:pPr>
        <w:pStyle w:val="17"/>
        <w:spacing w:before="120" w:after="120"/>
        <w:rPr>
          <w:rFonts w:hint="eastAsia"/>
        </w:rPr>
      </w:pPr>
      <w:bookmarkStart w:id="30" w:name="_Toc16966"/>
      <w:r>
        <w:rPr>
          <w:rFonts w:hint="eastAsia"/>
          <w:lang w:val="en-US" w:eastAsia="zh-CN"/>
        </w:rPr>
        <w:t>判定规则</w:t>
      </w:r>
      <w:bookmarkEnd w:id="30"/>
    </w:p>
    <w:p w14:paraId="1F30C101">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感官与理化指标中，有一项不符合相应等级要求的，该果实判为不符合该等级。</w:t>
      </w:r>
    </w:p>
    <w:p w14:paraId="0A2AB075">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安全指标中有一项不符合要求的，整批产品判为不合格。</w:t>
      </w:r>
    </w:p>
    <w:p w14:paraId="5B2B1F13">
      <w:pPr>
        <w:pStyle w:val="22"/>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sz w:val="21"/>
          <w:lang w:val="en-US" w:eastAsia="zh-CN" w:bidi="ar-SA"/>
        </w:rPr>
        <w:t>批</w:t>
      </w:r>
      <w:r>
        <w:rPr>
          <w:rFonts w:hint="eastAsia" w:ascii="宋体" w:hAnsi="Times New Roman" w:eastAsia="宋体" w:cs="Times New Roman"/>
          <w:color w:val="auto"/>
          <w:sz w:val="21"/>
          <w:lang w:val="en-US" w:eastAsia="zh-CN" w:bidi="ar-SA"/>
        </w:rPr>
        <w:t>产品合格率：特级果</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≥95</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%，一级果</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≥90</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%，二级果</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≥85</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%。合格率计算办法：合格率</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=（合格果实数量/检验果实总数量）×100</w:t>
      </w:r>
      <w:r>
        <w:rPr>
          <w:rFonts w:hint="eastAsia" w:ascii="宋体" w:eastAsia="宋体" w:cs="Times New Roman"/>
          <w:color w:val="auto"/>
          <w:sz w:val="21"/>
          <w:lang w:val="en-US" w:eastAsia="zh-CN" w:bidi="ar-SA"/>
        </w:rPr>
        <w:t xml:space="preserve"> </w:t>
      </w:r>
      <w:r>
        <w:rPr>
          <w:rFonts w:hint="eastAsia" w:ascii="宋体" w:hAnsi="Times New Roman" w:eastAsia="宋体" w:cs="Times New Roman"/>
          <w:color w:val="auto"/>
          <w:sz w:val="21"/>
          <w:lang w:val="en-US" w:eastAsia="zh-CN" w:bidi="ar-SA"/>
        </w:rPr>
        <w:t>%。</w:t>
      </w:r>
    </w:p>
    <w:p w14:paraId="2DE0DF9A">
      <w:pPr>
        <w:pStyle w:val="14"/>
        <w:spacing w:before="240" w:after="240"/>
        <w:rPr>
          <w:rFonts w:hint="eastAsia"/>
          <w:color w:val="auto"/>
        </w:rPr>
      </w:pPr>
      <w:bookmarkStart w:id="31" w:name="_Toc25941"/>
      <w:r>
        <w:rPr>
          <w:rFonts w:hint="eastAsia"/>
          <w:color w:val="auto"/>
        </w:rPr>
        <w:t>标志、标签</w:t>
      </w:r>
      <w:bookmarkEnd w:id="31"/>
    </w:p>
    <w:p w14:paraId="7273CCCE">
      <w:pPr>
        <w:pStyle w:val="17"/>
        <w:spacing w:before="120" w:after="120"/>
        <w:rPr>
          <w:rFonts w:hint="eastAsia"/>
          <w:color w:val="auto"/>
          <w:lang w:val="en-US" w:eastAsia="zh-CN"/>
        </w:rPr>
      </w:pPr>
      <w:bookmarkStart w:id="32" w:name="_Toc3226"/>
      <w:r>
        <w:rPr>
          <w:rFonts w:hint="eastAsia"/>
          <w:color w:val="auto"/>
          <w:lang w:val="en-US" w:eastAsia="zh-CN"/>
        </w:rPr>
        <w:t>标志</w:t>
      </w:r>
      <w:bookmarkEnd w:id="32"/>
    </w:p>
    <w:p w14:paraId="3818BB13">
      <w:pPr>
        <w:pStyle w:val="22"/>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包装上应印有符合GB/T 规定的储运图示标志。</w:t>
      </w:r>
    </w:p>
    <w:p w14:paraId="59318A95">
      <w:pPr>
        <w:pStyle w:val="22"/>
        <w:spacing w:before="120" w:after="12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包装的显著位置应清晰地标注大宁宁粹苹果区域品牌标识，标识应符合相关管理规定，不得擅自篡改、伪造。</w:t>
      </w:r>
    </w:p>
    <w:p w14:paraId="6C6E4348">
      <w:pPr>
        <w:pStyle w:val="17"/>
        <w:spacing w:before="120" w:after="120"/>
        <w:rPr>
          <w:rFonts w:hint="eastAsia"/>
          <w:color w:val="auto"/>
          <w:lang w:val="en-US" w:eastAsia="zh-CN"/>
        </w:rPr>
      </w:pPr>
      <w:bookmarkStart w:id="33" w:name="_Toc18337"/>
      <w:r>
        <w:rPr>
          <w:rFonts w:hint="eastAsia"/>
          <w:color w:val="auto"/>
          <w:lang w:val="en-US" w:eastAsia="zh-CN"/>
        </w:rPr>
        <w:t>标签</w:t>
      </w:r>
      <w:bookmarkEnd w:id="33"/>
    </w:p>
    <w:p w14:paraId="5B7EE62B">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每个包装单元应附有标签，标签内容应包括：产品名称（大宁宁粹苹果）、等级、产地（具体到乡镇级）、生产者名称及联系方式、采收日期、保质期、净含量等。</w:t>
      </w:r>
    </w:p>
    <w:p w14:paraId="56EE00FF">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标签上必须包含溯源标识，溯源标识应清晰可辨，消费者通过扫描等方式可查询到果实的种植信息（地块、施肥、病虫害防治等）、采收信息、加工信息、运输信息等。</w:t>
      </w:r>
    </w:p>
    <w:p w14:paraId="656E7B2D">
      <w:pPr>
        <w:pStyle w:val="22"/>
        <w:spacing w:before="120" w:after="120"/>
        <w:rPr>
          <w:rFonts w:hint="eastAsia"/>
        </w:rPr>
      </w:pPr>
      <w:r>
        <w:rPr>
          <w:rFonts w:hint="eastAsia" w:ascii="宋体" w:hAnsi="Times New Roman" w:eastAsia="宋体" w:cs="Times New Roman"/>
          <w:sz w:val="21"/>
          <w:lang w:val="en-US" w:eastAsia="zh-CN" w:bidi="ar-SA"/>
        </w:rPr>
        <w:t>区域品牌标识和溯源标识在标签上的位置应醒目，便于识别和查询。</w:t>
      </w:r>
    </w:p>
    <w:p w14:paraId="1A4DDB1F">
      <w:pPr>
        <w:pStyle w:val="14"/>
        <w:spacing w:before="240" w:after="240"/>
        <w:rPr>
          <w:rFonts w:hint="eastAsia"/>
        </w:rPr>
      </w:pPr>
      <w:bookmarkStart w:id="34" w:name="_Toc7543"/>
      <w:r>
        <w:rPr>
          <w:rFonts w:hint="eastAsia"/>
        </w:rPr>
        <w:t>包装、运输和贮存</w:t>
      </w:r>
      <w:bookmarkEnd w:id="34"/>
    </w:p>
    <w:p w14:paraId="34DC6A40">
      <w:pPr>
        <w:pStyle w:val="17"/>
        <w:spacing w:before="120" w:after="120"/>
        <w:rPr>
          <w:rFonts w:hint="eastAsia"/>
          <w:lang w:val="en-US" w:eastAsia="zh-CN"/>
        </w:rPr>
      </w:pPr>
      <w:bookmarkStart w:id="35" w:name="_Toc31465"/>
      <w:r>
        <w:rPr>
          <w:rFonts w:hint="eastAsia"/>
          <w:lang w:val="en-US" w:eastAsia="zh-CN"/>
        </w:rPr>
        <w:t>包装</w:t>
      </w:r>
      <w:bookmarkEnd w:id="35"/>
    </w:p>
    <w:p w14:paraId="16BE41C7">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包装材料应符合食品卫生要求，可采用纸箱、泡沫箱等，纸箱应符合GB/T 6543的规定。</w:t>
      </w:r>
    </w:p>
    <w:p w14:paraId="38DD45CC">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产品应按同一产地、同一批采收、同一等级规格进行包装。</w:t>
      </w:r>
    </w:p>
    <w:p w14:paraId="1933BCCD">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分层包装的苹果，果径大小的差别为同一等级苹果之间相差不超过5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mm。</w:t>
      </w:r>
    </w:p>
    <w:p w14:paraId="05F4F362">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包装时切勿将树叶、枝条、纸袋、尘土、石砾等杂物或污染物带入容器避免污染果品，影响外观。</w:t>
      </w:r>
    </w:p>
    <w:p w14:paraId="27187E3A">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包装应牢固、透气，能有效防止果实挤压、碰撞和损伤。同一包装内的果实应属于同一等级。</w:t>
      </w:r>
    </w:p>
    <w:p w14:paraId="3DE82C02">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包装容器上应清晰印制大宁宁粹苹果区域品牌标识，标识图案应完整、规范。</w:t>
      </w:r>
    </w:p>
    <w:p w14:paraId="24FB7C42">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若采用透明包装，应保证区域品牌标识和溯源标识清晰可见，不被果实遮挡。</w:t>
      </w:r>
    </w:p>
    <w:p w14:paraId="6E55DF50">
      <w:pPr>
        <w:pStyle w:val="17"/>
        <w:spacing w:before="120" w:after="120"/>
        <w:rPr>
          <w:rFonts w:hint="eastAsia"/>
          <w:highlight w:val="none"/>
          <w:lang w:val="en-US" w:eastAsia="zh-CN"/>
        </w:rPr>
      </w:pPr>
      <w:bookmarkStart w:id="36" w:name="_Toc10915"/>
      <w:r>
        <w:rPr>
          <w:rFonts w:hint="eastAsia"/>
          <w:highlight w:val="none"/>
          <w:lang w:val="en-US" w:eastAsia="zh-CN"/>
        </w:rPr>
        <w:t>运输</w:t>
      </w:r>
      <w:bookmarkEnd w:id="36"/>
    </w:p>
    <w:p w14:paraId="32B085B4">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运输工具应清洁、卫生、无异味，运输过程中应避免日晒、雨淋、高温、冷冻和剧烈颠簸。</w:t>
      </w:r>
    </w:p>
    <w:p w14:paraId="00C8F155">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不得与有毒、有害、有异味的物品混装运输。</w:t>
      </w:r>
    </w:p>
    <w:p w14:paraId="413F6B49">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短途运输（建议单程</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≤4 小时）应采用保温性能良好的厢式货车，车厢内应保持通风，防止积热导致果实失水、软化或霉变。运输过程中需采取缓冲措施，避免果实产生机械伤。</w:t>
      </w:r>
    </w:p>
    <w:p w14:paraId="6924E6B5">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长途运输（单程</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＞4 小时）应采用冷藏运输车辆，车厢内温度控制在</w:t>
      </w:r>
      <w:r>
        <w:rPr>
          <w:rFonts w:hint="eastAsia" w:ascii="宋体" w:eastAsia="宋体" w:cs="Times New Roman"/>
          <w:sz w:val="21"/>
          <w:lang w:val="en-US" w:eastAsia="zh-CN" w:bidi="ar-SA"/>
        </w:rPr>
        <w:t>-1</w:t>
      </w:r>
      <w:r>
        <w:rPr>
          <w:rFonts w:hint="eastAsia" w:ascii="宋体" w:hAnsi="Times New Roman" w:eastAsia="宋体" w:cs="Times New Roman"/>
          <w:sz w:val="21"/>
          <w:lang w:val="en-US" w:eastAsia="zh-CN" w:bidi="ar-SA"/>
        </w:rPr>
        <w:t xml:space="preserve"> ℃～</w:t>
      </w:r>
      <w:r>
        <w:rPr>
          <w:rFonts w:hint="eastAsia" w:ascii="宋体" w:eastAsia="宋体" w:cs="Times New Roman"/>
          <w:sz w:val="21"/>
          <w:lang w:val="en-US" w:eastAsia="zh-CN" w:bidi="ar-SA"/>
        </w:rPr>
        <w:t xml:space="preserve"> -2</w:t>
      </w:r>
      <w:r>
        <w:rPr>
          <w:rFonts w:hint="eastAsia" w:ascii="宋体" w:hAnsi="Times New Roman" w:eastAsia="宋体" w:cs="Times New Roman"/>
          <w:sz w:val="21"/>
          <w:lang w:val="en-US" w:eastAsia="zh-CN" w:bidi="ar-SA"/>
        </w:rPr>
        <w:t xml:space="preserve"> ℃，相对湿度保持在 90</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%～95</w:t>
      </w:r>
      <w:r>
        <w:rPr>
          <w:rFonts w:hint="eastAsia" w:ascii="宋体" w:eastAsia="宋体" w:cs="Times New Roman"/>
          <w:sz w:val="21"/>
          <w:lang w:val="en-US" w:eastAsia="zh-CN" w:bidi="ar-SA"/>
        </w:rPr>
        <w:t xml:space="preserve"> </w:t>
      </w:r>
      <w:r>
        <w:rPr>
          <w:rFonts w:hint="eastAsia" w:ascii="宋体" w:hAnsi="Times New Roman" w:eastAsia="宋体" w:cs="Times New Roman"/>
          <w:sz w:val="21"/>
          <w:lang w:val="en-US" w:eastAsia="zh-CN" w:bidi="ar-SA"/>
        </w:rPr>
        <w:t>%。应定时检测车厢内温度变化，确保温度稳定，避免因温差过大导致果实结露腐烂或冻伤。</w:t>
      </w:r>
    </w:p>
    <w:p w14:paraId="7757FF59">
      <w:pPr>
        <w:pStyle w:val="17"/>
        <w:spacing w:before="120" w:after="120"/>
        <w:rPr>
          <w:rFonts w:hint="eastAsia"/>
          <w:highlight w:val="none"/>
          <w:lang w:val="en-US" w:eastAsia="zh-CN"/>
        </w:rPr>
      </w:pPr>
      <w:bookmarkStart w:id="37" w:name="_Toc21614"/>
      <w:r>
        <w:rPr>
          <w:rFonts w:hint="eastAsia"/>
          <w:highlight w:val="none"/>
          <w:lang w:val="en-US" w:eastAsia="zh-CN"/>
        </w:rPr>
        <w:t>贮存</w:t>
      </w:r>
      <w:bookmarkEnd w:id="37"/>
    </w:p>
    <w:p w14:paraId="23DB1102">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预冷</w:t>
      </w:r>
    </w:p>
    <w:p w14:paraId="21568E1A">
      <w:pPr>
        <w:pStyle w:val="12"/>
        <w:ind w:left="210" w:leftChars="100" w:firstLine="210" w:firstLineChars="100"/>
        <w:rPr>
          <w:rFonts w:hint="eastAsia"/>
        </w:rPr>
      </w:pPr>
      <w:r>
        <w:rPr>
          <w:rFonts w:hint="eastAsia"/>
        </w:rPr>
        <w:t>苹果采收当天应及时预冷入库。冷库内采用风冷预冷，冷却风速控制在 1 m/s～2 m/s。预冷应在 15 h～24 h 内完成，预冷后果温降至 0 ℃～1 ℃。</w:t>
      </w:r>
    </w:p>
    <w:p w14:paraId="695A15AB">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码垛</w:t>
      </w:r>
    </w:p>
    <w:p w14:paraId="32D19199">
      <w:pPr>
        <w:pStyle w:val="12"/>
        <w:rPr>
          <w:rFonts w:hint="eastAsia"/>
          <w:lang w:val="en-US" w:eastAsia="zh-CN"/>
        </w:rPr>
      </w:pPr>
      <w:r>
        <w:rPr>
          <w:rFonts w:hint="eastAsia"/>
          <w:lang w:val="en-US" w:eastAsia="zh-CN"/>
        </w:rPr>
        <w:t>码垛的排列方式、走向及间隙应与库内空气循环方向一致。底架空加 10 cm～20 cm 的托盘，垛与墙壁间隙 20 cm～30 cm，垛与顶间隙 50 cm～60 cm，垛与垛间隙 30 cm～50 cm，垛与冷风机距离不小于 1.5 m，库内通道宽 1.2 m～1.8 m。按品种分垛、分等级堆码，记录每垛的产地、采收入库时间、果实质量状况等。</w:t>
      </w:r>
    </w:p>
    <w:p w14:paraId="245BB61B">
      <w:pPr>
        <w:pStyle w:val="22"/>
        <w:spacing w:before="120" w:after="12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冷藏</w:t>
      </w:r>
    </w:p>
    <w:p w14:paraId="5A442ACF">
      <w:pPr>
        <w:pStyle w:val="12"/>
        <w:rPr>
          <w:rFonts w:hint="eastAsia"/>
        </w:rPr>
      </w:pPr>
      <w:r>
        <w:rPr>
          <w:rFonts w:hint="eastAsia"/>
        </w:rPr>
        <w:t>苹果冷藏的温度应保持果实温度在 0 ℃～5 ℃ 之间；贮藏环境的相对湿度在 90%～95% 之间；贮藏环境的乙烯浓度 ＜10 μL/L，可采取吸收、脱除、氧化、通风等措施控制贮藏环境的乙烯；应利用贮藏期间夜间或早上低温时通风换气，排除苹果代谢活动产生的有害气体。</w:t>
      </w:r>
    </w:p>
    <w:p w14:paraId="629B7A63">
      <w:pPr>
        <w:pStyle w:val="12"/>
        <w:ind w:firstLine="0" w:firstLineChars="0"/>
        <w:jc w:val="center"/>
      </w:pPr>
      <w:bookmarkStart w:id="38" w:name="BookMark8"/>
      <w:r>
        <w:rPr>
          <w:rFonts w:hint="eastAsia"/>
        </w:rPr>
        <w:drawing>
          <wp:inline distT="0" distB="0" distL="0" distR="0">
            <wp:extent cx="1485900" cy="317500"/>
            <wp:effectExtent l="0" t="0" r="0" b="6350"/>
            <wp:docPr id="832391137" name="图片 2"/>
            <wp:cNvGraphicFramePr/>
            <a:graphic xmlns:a="http://schemas.openxmlformats.org/drawingml/2006/main">
              <a:graphicData uri="http://schemas.openxmlformats.org/drawingml/2006/picture">
                <pic:pic xmlns:pic="http://schemas.openxmlformats.org/drawingml/2006/picture">
                  <pic:nvPicPr>
                    <pic:cNvPr id="832391137" name="图片 2"/>
                    <pic:cNvPicPr/>
                  </pic:nvPicPr>
                  <pic:blipFill>
                    <a:blip r:embed="rId12">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8"/>
    </w:p>
    <w:p w14:paraId="65F8AE0C">
      <w:pPr>
        <w:pStyle w:val="12"/>
        <w:rPr>
          <w:rFonts w:hint="eastAsia"/>
        </w:rPr>
      </w:pPr>
    </w:p>
    <w:sectPr>
      <w:footerReference r:id="rId7" w:type="default"/>
      <w:pgSz w:w="11906" w:h="16838"/>
      <w:pgMar w:top="1440" w:right="1803" w:bottom="1440" w:left="1803"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666A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9E4BA8">
                          <w:pPr>
                            <w:pStyle w:val="4"/>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29E4BA8">
                    <w:pPr>
                      <w:pStyle w:val="4"/>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B8567">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3A503">
                          <w:pPr>
                            <w:pStyle w:val="4"/>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03A503">
                    <w:pPr>
                      <w:pStyle w:val="4"/>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3B75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111E0">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C111E0">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6DC06">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705BE">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C2705BE">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F15DF">
    <w:pPr>
      <w:pStyle w:val="3"/>
      <w:spacing w:before="137" w:line="265" w:lineRule="exact"/>
      <w:jc w:val="right"/>
      <w:rPr>
        <w:sz w:val="20"/>
        <w:szCs w:val="20"/>
      </w:rPr>
    </w:pPr>
    <w:r>
      <w:rPr>
        <w:spacing w:val="6"/>
        <w:position w:val="1"/>
        <w:sz w:val="20"/>
        <w:szCs w:val="20"/>
      </w:rPr>
      <w:t>T/</w:t>
    </w:r>
    <w:r>
      <w:rPr>
        <w:position w:val="1"/>
        <w:sz w:val="20"/>
        <w:szCs w:val="20"/>
      </w:rPr>
      <w:t>DNNC</w:t>
    </w:r>
    <w:r>
      <w:rPr>
        <w:spacing w:val="6"/>
        <w:position w:val="1"/>
        <w:sz w:val="20"/>
        <w:szCs w:val="20"/>
      </w:rPr>
      <w:t xml:space="preserve"> 00</w:t>
    </w:r>
    <w:r>
      <w:rPr>
        <w:rFonts w:hint="eastAsia"/>
        <w:spacing w:val="6"/>
        <w:position w:val="1"/>
        <w:sz w:val="20"/>
        <w:szCs w:val="20"/>
        <w:lang w:val="en-US" w:eastAsia="zh-CN"/>
      </w:rPr>
      <w:t>1</w:t>
    </w:r>
    <w:r>
      <w:rPr>
        <w:rFonts w:ascii="宋体" w:hAnsi="宋体" w:eastAsia="宋体" w:cs="宋体"/>
        <w:spacing w:val="6"/>
        <w:position w:val="1"/>
        <w:sz w:val="20"/>
        <w:szCs w:val="20"/>
      </w:rPr>
      <w:t>—</w:t>
    </w:r>
    <w:r>
      <w:rPr>
        <w:spacing w:val="6"/>
        <w:position w:val="1"/>
        <w:sz w:val="20"/>
        <w:szCs w:val="20"/>
      </w:rPr>
      <w:t>2026</w:t>
    </w:r>
  </w:p>
  <w:p w14:paraId="249FAE19">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CD0FC"/>
    <w:multiLevelType w:val="multilevel"/>
    <w:tmpl w:val="93ECD0FC"/>
    <w:lvl w:ilvl="0" w:tentative="0">
      <w:start w:val="1"/>
      <w:numFmt w:val="lowerLetter"/>
      <w:suff w:val="space"/>
      <w:lvlText w:val="%1."/>
      <w:lvlJc w:val="left"/>
      <w:pPr>
        <w:ind w:left="425" w:hanging="425"/>
      </w:pPr>
      <w:rPr>
        <w:rFonts w:hint="default"/>
      </w:rPr>
    </w:lvl>
    <w:lvl w:ilvl="1" w:tentative="0">
      <w:start w:val="1"/>
      <w:numFmt w:val="lowerLetter"/>
      <w:suff w:val="space"/>
      <w:lvlText w:val="%2)"/>
      <w:lvlJc w:val="left"/>
      <w:pPr>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1">
    <w:nsid w:val="DF7B65AE"/>
    <w:multiLevelType w:val="multilevel"/>
    <w:tmpl w:val="DF7B65AE"/>
    <w:lvl w:ilvl="0" w:tentative="0">
      <w:start w:val="1"/>
      <w:numFmt w:val="lowerLetter"/>
      <w:suff w:val="space"/>
      <w:lvlText w:val="%1."/>
      <w:lvlJc w:val="left"/>
      <w:pPr>
        <w:ind w:left="425" w:hanging="425"/>
      </w:pPr>
      <w:rPr>
        <w:rFonts w:hint="default"/>
      </w:rPr>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2">
    <w:nsid w:val="E87B4D37"/>
    <w:multiLevelType w:val="singleLevel"/>
    <w:tmpl w:val="E87B4D37"/>
    <w:lvl w:ilvl="0" w:tentative="0">
      <w:start w:val="1"/>
      <w:numFmt w:val="decimal"/>
      <w:suff w:val="space"/>
      <w:lvlText w:val="%1)"/>
      <w:lvlJc w:val="left"/>
      <w:pPr>
        <w:ind w:left="425" w:hanging="425"/>
      </w:pPr>
      <w:rPr>
        <w:rFonts w:hint="default"/>
      </w:rPr>
    </w:lvl>
  </w:abstractNum>
  <w:abstractNum w:abstractNumId="3">
    <w:nsid w:val="07ED3FEA"/>
    <w:multiLevelType w:val="multilevel"/>
    <w:tmpl w:val="07ED3FEA"/>
    <w:lvl w:ilvl="0" w:tentative="0">
      <w:start w:val="1"/>
      <w:numFmt w:val="none"/>
      <w:pStyle w:val="11"/>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2B3BCADD"/>
    <w:multiLevelType w:val="singleLevel"/>
    <w:tmpl w:val="2B3BCADD"/>
    <w:lvl w:ilvl="0" w:tentative="0">
      <w:start w:val="1"/>
      <w:numFmt w:val="decimal"/>
      <w:suff w:val="space"/>
      <w:lvlText w:val="%1)"/>
      <w:lvlJc w:val="left"/>
      <w:pPr>
        <w:ind w:left="425" w:hanging="425"/>
      </w:pPr>
      <w:rPr>
        <w:rFonts w:hint="default"/>
      </w:rPr>
    </w:lvl>
  </w:abstractNum>
  <w:abstractNum w:abstractNumId="5">
    <w:nsid w:val="646260FA"/>
    <w:multiLevelType w:val="multilevel"/>
    <w:tmpl w:val="646260FA"/>
    <w:lvl w:ilvl="0" w:tentative="0">
      <w:start w:val="1"/>
      <w:numFmt w:val="decimal"/>
      <w:pStyle w:val="20"/>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4"/>
      <w:suff w:val="nothing"/>
      <w:lvlText w:val="%1%2　"/>
      <w:lvlJc w:val="left"/>
      <w:pPr>
        <w:ind w:left="0" w:firstLine="0"/>
      </w:pPr>
      <w:rPr>
        <w:rFonts w:hint="eastAsia" w:ascii="黑体" w:eastAsia="黑体"/>
        <w:b w:val="0"/>
        <w:i w:val="0"/>
        <w:sz w:val="21"/>
      </w:rPr>
    </w:lvl>
    <w:lvl w:ilvl="2" w:tentative="0">
      <w:start w:val="1"/>
      <w:numFmt w:val="decimal"/>
      <w:pStyle w:val="1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22"/>
      <w:suff w:val="nothing"/>
      <w:lvlText w:val="%1%2.%3.%4　"/>
      <w:lvlJc w:val="left"/>
      <w:pPr>
        <w:ind w:left="0" w:firstLine="0"/>
      </w:pPr>
      <w:rPr>
        <w:rFonts w:hint="eastAsia" w:ascii="黑体" w:eastAsia="黑体"/>
        <w:b w:val="0"/>
        <w:i w:val="0"/>
        <w:sz w:val="21"/>
      </w:rPr>
    </w:lvl>
    <w:lvl w:ilvl="4" w:tentative="0">
      <w:start w:val="1"/>
      <w:numFmt w:val="decimal"/>
      <w:pStyle w:val="24"/>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C07EE"/>
    <w:rsid w:val="0044439D"/>
    <w:rsid w:val="012C6922"/>
    <w:rsid w:val="06A74829"/>
    <w:rsid w:val="087526D9"/>
    <w:rsid w:val="0FBD31A4"/>
    <w:rsid w:val="116E0605"/>
    <w:rsid w:val="11BD5E3C"/>
    <w:rsid w:val="12CB366D"/>
    <w:rsid w:val="15E64610"/>
    <w:rsid w:val="160A2B87"/>
    <w:rsid w:val="163254F9"/>
    <w:rsid w:val="181066D2"/>
    <w:rsid w:val="182B405A"/>
    <w:rsid w:val="19623405"/>
    <w:rsid w:val="19E6388F"/>
    <w:rsid w:val="1A30324C"/>
    <w:rsid w:val="1B4072CF"/>
    <w:rsid w:val="1BBE2AED"/>
    <w:rsid w:val="1BFA1DF3"/>
    <w:rsid w:val="1D796110"/>
    <w:rsid w:val="220C2925"/>
    <w:rsid w:val="237644FD"/>
    <w:rsid w:val="240A66CC"/>
    <w:rsid w:val="24427025"/>
    <w:rsid w:val="25425B1A"/>
    <w:rsid w:val="25566A31"/>
    <w:rsid w:val="26961D17"/>
    <w:rsid w:val="291B3BB4"/>
    <w:rsid w:val="2AD215C5"/>
    <w:rsid w:val="2BE5765F"/>
    <w:rsid w:val="2C880506"/>
    <w:rsid w:val="2E6F2B46"/>
    <w:rsid w:val="2E8535FB"/>
    <w:rsid w:val="308B2942"/>
    <w:rsid w:val="327B1D39"/>
    <w:rsid w:val="33095DA0"/>
    <w:rsid w:val="33965B45"/>
    <w:rsid w:val="346C65E7"/>
    <w:rsid w:val="347E456C"/>
    <w:rsid w:val="351E5B1D"/>
    <w:rsid w:val="359764F9"/>
    <w:rsid w:val="3E0919E7"/>
    <w:rsid w:val="40BC07EE"/>
    <w:rsid w:val="44551833"/>
    <w:rsid w:val="44E6338F"/>
    <w:rsid w:val="48873598"/>
    <w:rsid w:val="48C4659A"/>
    <w:rsid w:val="4BF96A7C"/>
    <w:rsid w:val="4D62634D"/>
    <w:rsid w:val="4E523629"/>
    <w:rsid w:val="4F3D0022"/>
    <w:rsid w:val="50611EDA"/>
    <w:rsid w:val="518C3A6B"/>
    <w:rsid w:val="521C2FA3"/>
    <w:rsid w:val="545D3A52"/>
    <w:rsid w:val="549F1BF4"/>
    <w:rsid w:val="55650BC0"/>
    <w:rsid w:val="56572253"/>
    <w:rsid w:val="5A66053A"/>
    <w:rsid w:val="5A673229"/>
    <w:rsid w:val="5D211B93"/>
    <w:rsid w:val="5D405CC9"/>
    <w:rsid w:val="5E6C7060"/>
    <w:rsid w:val="609A3B73"/>
    <w:rsid w:val="6139494A"/>
    <w:rsid w:val="635F7193"/>
    <w:rsid w:val="647E11A0"/>
    <w:rsid w:val="6708699C"/>
    <w:rsid w:val="68BC5EB7"/>
    <w:rsid w:val="6AE55378"/>
    <w:rsid w:val="6BFF041E"/>
    <w:rsid w:val="6EAF2347"/>
    <w:rsid w:val="6F2E2136"/>
    <w:rsid w:val="701D6193"/>
    <w:rsid w:val="72C8794C"/>
    <w:rsid w:val="74B31D6F"/>
    <w:rsid w:val="74F82FA3"/>
    <w:rsid w:val="765365F2"/>
    <w:rsid w:val="76C324D4"/>
    <w:rsid w:val="77A62C01"/>
    <w:rsid w:val="77E759AD"/>
    <w:rsid w:val="7AFBC0F9"/>
    <w:rsid w:val="7D5C0ED7"/>
    <w:rsid w:val="7EFF9E0E"/>
    <w:rsid w:val="A9B82198"/>
    <w:rsid w:val="A9F75E91"/>
    <w:rsid w:val="AFEB557D"/>
    <w:rsid w:val="BAFB1AA2"/>
    <w:rsid w:val="D6B6C454"/>
    <w:rsid w:val="FFFB8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黑体" w:hAnsi="黑体" w:eastAsia="黑体" w:cs="黑体"/>
      <w:sz w:val="28"/>
      <w:szCs w:val="2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styleId="10">
    <w:name w:val="Strong"/>
    <w:basedOn w:val="9"/>
    <w:qFormat/>
    <w:uiPriority w:val="0"/>
    <w:rPr>
      <w:b/>
    </w:rPr>
  </w:style>
  <w:style w:type="paragraph" w:customStyle="1" w:styleId="11">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4">
    <w:name w:val="标准文件_章标题"/>
    <w:next w:val="12"/>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5">
    <w:name w:val="标准文件_术语条一"/>
    <w:basedOn w:val="16"/>
    <w:next w:val="12"/>
    <w:qFormat/>
    <w:uiPriority w:val="0"/>
  </w:style>
  <w:style w:type="paragraph" w:customStyle="1" w:styleId="16">
    <w:name w:val="标准文件_一级无标题"/>
    <w:basedOn w:val="17"/>
    <w:qFormat/>
    <w:uiPriority w:val="0"/>
    <w:pPr>
      <w:spacing w:beforeLines="0" w:afterLines="0"/>
      <w:outlineLvl w:val="9"/>
    </w:pPr>
    <w:rPr>
      <w:rFonts w:ascii="宋体" w:eastAsia="宋体"/>
    </w:rPr>
  </w:style>
  <w:style w:type="paragraph" w:customStyle="1" w:styleId="17">
    <w:name w:val="标准文件_一级条标题"/>
    <w:basedOn w:val="14"/>
    <w:next w:val="12"/>
    <w:qFormat/>
    <w:uiPriority w:val="0"/>
    <w:pPr>
      <w:numPr>
        <w:ilvl w:val="2"/>
      </w:numPr>
      <w:spacing w:beforeLines="50" w:afterLines="50"/>
      <w:outlineLvl w:val="1"/>
    </w:pPr>
  </w:style>
  <w:style w:type="paragraph" w:customStyle="1" w:styleId="18">
    <w:name w:val="Table Text"/>
    <w:basedOn w:val="1"/>
    <w:semiHidden/>
    <w:qFormat/>
    <w:uiPriority w:val="0"/>
    <w:rPr>
      <w:rFonts w:ascii="仿宋" w:hAnsi="仿宋" w:eastAsia="仿宋" w:cs="仿宋"/>
      <w:sz w:val="22"/>
      <w:szCs w:val="22"/>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标准文件_正文表标题"/>
    <w:next w:val="12"/>
    <w:qFormat/>
    <w:uiPriority w:val="0"/>
    <w:pPr>
      <w:numPr>
        <w:ilvl w:val="0"/>
        <w:numId w:val="3"/>
      </w:numPr>
      <w:spacing w:beforeLines="50" w:afterLines="50"/>
      <w:jc w:val="center"/>
    </w:pPr>
    <w:rPr>
      <w:rFonts w:ascii="黑体" w:hAnsi="Times New Roman" w:eastAsia="黑体" w:cs="Times New Roman"/>
      <w:sz w:val="21"/>
      <w:lang w:val="en-US" w:eastAsia="zh-CN" w:bidi="ar-SA"/>
    </w:rPr>
  </w:style>
  <w:style w:type="paragraph" w:customStyle="1" w:styleId="21">
    <w:name w:val="标准文件_表格"/>
    <w:basedOn w:val="12"/>
    <w:qFormat/>
    <w:uiPriority w:val="0"/>
    <w:pPr>
      <w:ind w:firstLine="0" w:firstLineChars="0"/>
      <w:jc w:val="center"/>
    </w:pPr>
    <w:rPr>
      <w:sz w:val="18"/>
    </w:rPr>
  </w:style>
  <w:style w:type="paragraph" w:customStyle="1" w:styleId="22">
    <w:name w:val="标准文件_二级条标题"/>
    <w:next w:val="12"/>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paragraph" w:customStyle="1" w:styleId="23">
    <w:name w:val="标准文件_三级无标题"/>
    <w:basedOn w:val="24"/>
    <w:qFormat/>
    <w:uiPriority w:val="0"/>
    <w:pPr>
      <w:spacing w:before="0" w:beforeLines="0" w:after="0" w:afterLines="0"/>
      <w:outlineLvl w:val="9"/>
    </w:pPr>
    <w:rPr>
      <w:rFonts w:ascii="宋体" w:eastAsia="宋体"/>
    </w:rPr>
  </w:style>
  <w:style w:type="paragraph" w:customStyle="1" w:styleId="24">
    <w:name w:val="标准文件_三级条标题"/>
    <w:basedOn w:val="22"/>
    <w:next w:val="12"/>
    <w:qFormat/>
    <w:uiPriority w:val="0"/>
    <w:pPr>
      <w:widowControl/>
      <w:numPr>
        <w:ilvl w:val="4"/>
      </w:numPr>
      <w:outlineLvl w:val="3"/>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761</Words>
  <Characters>881</Characters>
  <Lines>0</Lines>
  <Paragraphs>0</Paragraphs>
  <TotalTime>127</TotalTime>
  <ScaleCrop>false</ScaleCrop>
  <LinksUpToDate>false</LinksUpToDate>
  <CharactersWithSpaces>1023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2026-03-12T01:38:00Z</dcterms:created>
  <dc:creator>李亚</dc:creator>
  <cp:lastModifiedBy>无关</cp:lastModifiedBy>
  <cp:lastPrinted>2026-03-26T04:27:00Z</cp:lastPrinted>
  <dcterms:modified xsi:type="dcterms:W3CDTF">2026-07-01T01:18:44Z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9F5DD6AEC6BD48A6A48D185CC99AC321_13</vt:lpwstr>
  </property>
  <property fmtid="{D5CDD505-2E9C-101B-9397-08002B2CF9AE}" pid="4" name="KSOTemplateDocerSaveRecord">
    <vt:lpwstr>eyJoZGlkIjoiNDVmN2RkNDYzOGRkYjVlNzFiYjQxODZiNjkyMGZhNWQiLCJ1c2VySWQiOiI1NjMyMzQyODkifQ==</vt:lpwstr>
  </property>
</Properties>
</file>