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133D1">
      <w:pPr>
        <w:spacing w:before="142" w:line="196" w:lineRule="auto"/>
        <w:ind w:left="4295"/>
        <w:rPr>
          <w:rFonts w:ascii="Times New Roman" w:hAnsi="Times New Roman" w:eastAsia="Times New Roman" w:cs="Times New Roman"/>
          <w:sz w:val="95"/>
          <w:szCs w:val="95"/>
        </w:rPr>
      </w:pPr>
      <w:r>
        <w:rPr>
          <w:rFonts w:ascii="Times New Roman" w:hAnsi="Times New Roman" w:eastAsia="Times New Roman" w:cs="Times New Roman"/>
          <w:position w:val="2"/>
          <w:sz w:val="95"/>
          <w:szCs w:val="95"/>
        </w:rPr>
        <w:drawing>
          <wp:inline distT="0" distB="0" distL="0" distR="0">
            <wp:extent cx="589280" cy="435610"/>
            <wp:effectExtent l="0" t="0" r="127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
                    <a:stretch>
                      <a:fillRect/>
                    </a:stretch>
                  </pic:blipFill>
                  <pic:spPr>
                    <a:xfrm>
                      <a:off x="0" y="0"/>
                      <a:ext cx="589788" cy="435864"/>
                    </a:xfrm>
                    <a:prstGeom prst="rect">
                      <a:avLst/>
                    </a:prstGeom>
                  </pic:spPr>
                </pic:pic>
              </a:graphicData>
            </a:graphic>
          </wp:inline>
        </w:drawing>
      </w:r>
      <w:r>
        <w:rPr>
          <w:rFonts w:ascii="Times New Roman" w:hAnsi="Times New Roman" w:eastAsia="Times New Roman" w:cs="Times New Roman"/>
          <w:b/>
          <w:bCs/>
          <w:spacing w:val="78"/>
          <w:w w:val="125"/>
          <w:sz w:val="95"/>
          <w:szCs w:val="95"/>
        </w:rPr>
        <w:t>DNNC</w:t>
      </w:r>
    </w:p>
    <w:p w14:paraId="6241D9CB">
      <w:pPr>
        <w:pStyle w:val="2"/>
        <w:spacing w:before="139" w:line="226" w:lineRule="auto"/>
        <w:jc w:val="distribute"/>
        <w:rPr>
          <w:sz w:val="51"/>
          <w:szCs w:val="51"/>
        </w:rPr>
      </w:pPr>
      <w:r>
        <w:rPr>
          <w:spacing w:val="-10"/>
          <w:sz w:val="51"/>
          <w:szCs w:val="51"/>
        </w:rPr>
        <w:t>大 宁 县 果 业 协 会 团 体 标 准</w:t>
      </w:r>
    </w:p>
    <w:p w14:paraId="07BA83D5">
      <w:pPr>
        <w:pStyle w:val="2"/>
        <w:spacing w:before="251" w:line="237" w:lineRule="auto"/>
        <w:ind w:left="7127"/>
      </w:pPr>
      <w:r>
        <w:rPr>
          <w:spacing w:val="-1"/>
        </w:rPr>
        <w:t>T/DNNC 00</w:t>
      </w:r>
      <w:r>
        <w:rPr>
          <w:rFonts w:hint="eastAsia"/>
          <w:spacing w:val="-1"/>
          <w:lang w:val="en-US" w:eastAsia="zh-CN"/>
        </w:rPr>
        <w:t>2</w:t>
      </w:r>
      <w:r>
        <w:rPr>
          <w:spacing w:val="-1"/>
        </w:rPr>
        <w:t>—2026</w:t>
      </w:r>
    </w:p>
    <w:p w14:paraId="1D2627D2">
      <w:pPr>
        <w:spacing w:line="246" w:lineRule="auto"/>
        <w:rPr>
          <w:rFonts w:ascii="Arial"/>
          <w:sz w:val="21"/>
        </w:rPr>
      </w:pPr>
    </w:p>
    <w:p w14:paraId="7C0AB469">
      <w:pPr>
        <w:spacing w:line="246" w:lineRule="auto"/>
        <w:rPr>
          <w:rFonts w:ascii="Arial"/>
          <w:sz w:val="21"/>
        </w:rPr>
      </w:pPr>
    </w:p>
    <w:p w14:paraId="41024253">
      <w:pPr>
        <w:spacing w:line="246" w:lineRule="auto"/>
        <w:rPr>
          <w:rFonts w:ascii="Arial"/>
          <w:sz w:val="21"/>
        </w:rPr>
      </w:pPr>
      <w:r>
        <w:drawing>
          <wp:anchor distT="0" distB="0" distL="0" distR="0" simplePos="0" relativeHeight="251660288" behindDoc="0" locked="0" layoutInCell="1" allowOverlap="1">
            <wp:simplePos x="0" y="0"/>
            <wp:positionH relativeFrom="column">
              <wp:posOffset>0</wp:posOffset>
            </wp:positionH>
            <wp:positionV relativeFrom="paragraph">
              <wp:posOffset>80010</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6120129" cy="9525"/>
                    </a:xfrm>
                    <a:prstGeom prst="rect">
                      <a:avLst/>
                    </a:prstGeom>
                  </pic:spPr>
                </pic:pic>
              </a:graphicData>
            </a:graphic>
          </wp:anchor>
        </w:drawing>
      </w:r>
    </w:p>
    <w:p w14:paraId="33FC7DB7">
      <w:pPr>
        <w:spacing w:line="246" w:lineRule="auto"/>
        <w:rPr>
          <w:rFonts w:ascii="Arial"/>
          <w:sz w:val="21"/>
        </w:rPr>
      </w:pPr>
    </w:p>
    <w:p w14:paraId="294A498B">
      <w:pPr>
        <w:spacing w:line="246" w:lineRule="auto"/>
        <w:rPr>
          <w:rFonts w:ascii="Arial"/>
          <w:sz w:val="21"/>
        </w:rPr>
      </w:pPr>
    </w:p>
    <w:p w14:paraId="05E9A316">
      <w:pPr>
        <w:spacing w:line="246" w:lineRule="auto"/>
        <w:rPr>
          <w:rFonts w:ascii="Arial"/>
          <w:sz w:val="21"/>
        </w:rPr>
      </w:pPr>
    </w:p>
    <w:p w14:paraId="43B42B2A">
      <w:pPr>
        <w:spacing w:line="246" w:lineRule="auto"/>
        <w:rPr>
          <w:rFonts w:ascii="Arial"/>
          <w:sz w:val="21"/>
        </w:rPr>
      </w:pPr>
    </w:p>
    <w:p w14:paraId="7F866C5C">
      <w:pPr>
        <w:spacing w:line="246" w:lineRule="auto"/>
        <w:rPr>
          <w:rFonts w:ascii="Arial"/>
          <w:sz w:val="21"/>
        </w:rPr>
      </w:pPr>
    </w:p>
    <w:p w14:paraId="4A1DC2A5">
      <w:pPr>
        <w:spacing w:line="246" w:lineRule="auto"/>
        <w:rPr>
          <w:rFonts w:ascii="Arial"/>
          <w:sz w:val="21"/>
        </w:rPr>
      </w:pPr>
    </w:p>
    <w:p w14:paraId="2F3680B1">
      <w:pPr>
        <w:spacing w:line="247" w:lineRule="auto"/>
        <w:rPr>
          <w:rFonts w:ascii="Arial"/>
          <w:sz w:val="21"/>
        </w:rPr>
      </w:pPr>
    </w:p>
    <w:p w14:paraId="0A10C019">
      <w:pPr>
        <w:spacing w:line="247" w:lineRule="auto"/>
        <w:rPr>
          <w:rFonts w:ascii="Arial"/>
          <w:sz w:val="21"/>
        </w:rPr>
      </w:pPr>
    </w:p>
    <w:p w14:paraId="5B1244BA">
      <w:pPr>
        <w:pStyle w:val="2"/>
        <w:spacing w:before="169" w:line="221" w:lineRule="auto"/>
        <w:ind w:left="1716"/>
        <w:rPr>
          <w:sz w:val="52"/>
          <w:szCs w:val="52"/>
        </w:rPr>
      </w:pPr>
      <w:r>
        <w:rPr>
          <w:spacing w:val="-2"/>
          <w:sz w:val="52"/>
          <w:szCs w:val="52"/>
        </w:rPr>
        <w:t>大</w:t>
      </w:r>
      <w:r>
        <w:rPr>
          <w:rFonts w:hint="eastAsia"/>
          <w:spacing w:val="-2"/>
          <w:sz w:val="52"/>
          <w:szCs w:val="52"/>
        </w:rPr>
        <w:t>宁宁粹苹果品牌包装标准</w:t>
      </w:r>
    </w:p>
    <w:p w14:paraId="0DFD2E6B">
      <w:pPr>
        <w:spacing w:before="330" w:line="181" w:lineRule="auto"/>
        <w:jc w:val="center"/>
        <w:rPr>
          <w:rFonts w:ascii="Segoe UI" w:hAnsi="Segoe UI" w:eastAsia="Segoe UI" w:cs="Segoe UI"/>
          <w:sz w:val="28"/>
          <w:szCs w:val="28"/>
        </w:rPr>
      </w:pPr>
      <w:r>
        <w:rPr>
          <w:rFonts w:hint="eastAsia" w:ascii="Segoe UI" w:hAnsi="Segoe UI" w:eastAsia="Segoe UI" w:cs="Segoe UI"/>
          <w:color w:val="0D0D0D"/>
          <w:spacing w:val="-1"/>
          <w:sz w:val="28"/>
          <w:szCs w:val="28"/>
          <w14:textFill>
            <w14:solidFill>
              <w14:srgbClr w14:val="0D0D0D">
                <w14:alpha w14:val="784"/>
              </w14:srgbClr>
            </w14:solidFill>
          </w14:textFill>
        </w:rPr>
        <w:t>Packaging Standards for the Daning Ningcui Apple Brand</w:t>
      </w:r>
    </w:p>
    <w:p w14:paraId="030D83D5">
      <w:pPr>
        <w:spacing w:line="243" w:lineRule="auto"/>
        <w:rPr>
          <w:rFonts w:ascii="Arial"/>
          <w:sz w:val="21"/>
        </w:rPr>
      </w:pPr>
    </w:p>
    <w:p w14:paraId="5BA892BD">
      <w:pPr>
        <w:spacing w:line="243" w:lineRule="auto"/>
        <w:rPr>
          <w:rFonts w:ascii="Arial"/>
          <w:sz w:val="21"/>
        </w:rPr>
      </w:pPr>
    </w:p>
    <w:p w14:paraId="23E3D9F1">
      <w:pPr>
        <w:spacing w:line="243" w:lineRule="auto"/>
        <w:rPr>
          <w:rFonts w:ascii="Arial"/>
          <w:sz w:val="21"/>
        </w:rPr>
      </w:pPr>
    </w:p>
    <w:p w14:paraId="7F737203">
      <w:pPr>
        <w:spacing w:line="243" w:lineRule="auto"/>
        <w:rPr>
          <w:rFonts w:ascii="Arial"/>
          <w:sz w:val="21"/>
        </w:rPr>
      </w:pPr>
    </w:p>
    <w:p w14:paraId="50534F6D">
      <w:pPr>
        <w:spacing w:line="243" w:lineRule="auto"/>
        <w:rPr>
          <w:rFonts w:ascii="Arial"/>
          <w:sz w:val="21"/>
        </w:rPr>
      </w:pPr>
    </w:p>
    <w:p w14:paraId="743C2805">
      <w:pPr>
        <w:spacing w:line="243" w:lineRule="auto"/>
        <w:rPr>
          <w:rFonts w:ascii="Arial"/>
          <w:sz w:val="21"/>
        </w:rPr>
      </w:pPr>
    </w:p>
    <w:p w14:paraId="411B91E4">
      <w:pPr>
        <w:spacing w:line="243" w:lineRule="auto"/>
        <w:rPr>
          <w:rFonts w:ascii="Arial"/>
          <w:sz w:val="21"/>
        </w:rPr>
      </w:pPr>
    </w:p>
    <w:p w14:paraId="56FBE45F">
      <w:pPr>
        <w:spacing w:line="243" w:lineRule="auto"/>
        <w:rPr>
          <w:rFonts w:ascii="Arial"/>
          <w:sz w:val="21"/>
        </w:rPr>
      </w:pPr>
    </w:p>
    <w:p w14:paraId="70B2654A">
      <w:pPr>
        <w:spacing w:line="243" w:lineRule="auto"/>
        <w:rPr>
          <w:rFonts w:ascii="Arial"/>
          <w:sz w:val="21"/>
        </w:rPr>
      </w:pPr>
    </w:p>
    <w:p w14:paraId="454E5B4F">
      <w:pPr>
        <w:spacing w:line="243" w:lineRule="auto"/>
        <w:rPr>
          <w:rFonts w:ascii="Arial"/>
          <w:sz w:val="21"/>
        </w:rPr>
      </w:pPr>
    </w:p>
    <w:p w14:paraId="4265F5DE">
      <w:pPr>
        <w:spacing w:line="244" w:lineRule="auto"/>
        <w:rPr>
          <w:rFonts w:ascii="Arial"/>
          <w:sz w:val="21"/>
        </w:rPr>
      </w:pPr>
    </w:p>
    <w:p w14:paraId="4F06519E">
      <w:pPr>
        <w:spacing w:line="244" w:lineRule="auto"/>
        <w:rPr>
          <w:rFonts w:ascii="Arial"/>
          <w:sz w:val="21"/>
        </w:rPr>
      </w:pPr>
    </w:p>
    <w:p w14:paraId="6413CF56">
      <w:pPr>
        <w:spacing w:line="244" w:lineRule="auto"/>
        <w:rPr>
          <w:rFonts w:ascii="Arial"/>
          <w:sz w:val="21"/>
        </w:rPr>
      </w:pPr>
    </w:p>
    <w:p w14:paraId="7EE4F6B3">
      <w:pPr>
        <w:spacing w:line="244" w:lineRule="auto"/>
        <w:rPr>
          <w:rFonts w:ascii="Arial"/>
          <w:sz w:val="21"/>
        </w:rPr>
      </w:pPr>
    </w:p>
    <w:p w14:paraId="52C6FDB9">
      <w:pPr>
        <w:spacing w:line="244" w:lineRule="auto"/>
        <w:rPr>
          <w:rFonts w:ascii="Arial"/>
          <w:sz w:val="21"/>
        </w:rPr>
      </w:pPr>
    </w:p>
    <w:p w14:paraId="2E655AA5">
      <w:pPr>
        <w:spacing w:line="244" w:lineRule="auto"/>
        <w:rPr>
          <w:rFonts w:ascii="Arial"/>
          <w:sz w:val="21"/>
        </w:rPr>
      </w:pPr>
    </w:p>
    <w:p w14:paraId="7129732D">
      <w:pPr>
        <w:spacing w:line="244" w:lineRule="auto"/>
        <w:rPr>
          <w:rFonts w:ascii="Arial"/>
          <w:sz w:val="21"/>
        </w:rPr>
      </w:pPr>
    </w:p>
    <w:p w14:paraId="13063FC9">
      <w:pPr>
        <w:spacing w:line="244" w:lineRule="auto"/>
        <w:rPr>
          <w:rFonts w:ascii="Arial"/>
          <w:sz w:val="21"/>
        </w:rPr>
      </w:pPr>
    </w:p>
    <w:p w14:paraId="4B5F67A4">
      <w:pPr>
        <w:spacing w:line="244" w:lineRule="auto"/>
        <w:rPr>
          <w:rFonts w:ascii="Arial"/>
          <w:sz w:val="21"/>
        </w:rPr>
      </w:pPr>
    </w:p>
    <w:p w14:paraId="6DED8DCA">
      <w:pPr>
        <w:spacing w:line="244" w:lineRule="auto"/>
        <w:rPr>
          <w:rFonts w:ascii="Arial"/>
          <w:sz w:val="21"/>
        </w:rPr>
      </w:pPr>
    </w:p>
    <w:p w14:paraId="033F8B7D">
      <w:pPr>
        <w:spacing w:line="244" w:lineRule="auto"/>
        <w:rPr>
          <w:rFonts w:ascii="Arial"/>
          <w:sz w:val="21"/>
        </w:rPr>
      </w:pPr>
    </w:p>
    <w:p w14:paraId="69DA4A41">
      <w:pPr>
        <w:spacing w:line="244" w:lineRule="auto"/>
        <w:rPr>
          <w:rFonts w:ascii="Arial"/>
          <w:sz w:val="21"/>
        </w:rPr>
      </w:pPr>
    </w:p>
    <w:p w14:paraId="7CE2B456">
      <w:pPr>
        <w:spacing w:line="244" w:lineRule="auto"/>
        <w:rPr>
          <w:rFonts w:ascii="Arial"/>
          <w:sz w:val="21"/>
        </w:rPr>
      </w:pPr>
    </w:p>
    <w:p w14:paraId="42CA8C0B">
      <w:pPr>
        <w:spacing w:line="244" w:lineRule="auto"/>
        <w:rPr>
          <w:rFonts w:ascii="Arial"/>
          <w:sz w:val="21"/>
        </w:rPr>
      </w:pPr>
    </w:p>
    <w:p w14:paraId="75B15171">
      <w:pPr>
        <w:spacing w:line="244" w:lineRule="auto"/>
        <w:rPr>
          <w:rFonts w:ascii="Arial"/>
          <w:sz w:val="21"/>
        </w:rPr>
      </w:pPr>
    </w:p>
    <w:p w14:paraId="7D929D0A">
      <w:pPr>
        <w:spacing w:line="244" w:lineRule="auto"/>
        <w:rPr>
          <w:rFonts w:ascii="Arial"/>
          <w:sz w:val="21"/>
        </w:rPr>
      </w:pPr>
    </w:p>
    <w:p w14:paraId="2FFB065B">
      <w:pPr>
        <w:pStyle w:val="2"/>
        <w:spacing w:before="91" w:line="222" w:lineRule="auto"/>
        <w:jc w:val="right"/>
      </w:pPr>
      <w:r>
        <w:rPr>
          <w:spacing w:val="-3"/>
        </w:rPr>
        <w:t>2026</w:t>
      </w:r>
      <w:r>
        <w:rPr>
          <w:spacing w:val="-64"/>
        </w:rPr>
        <w:t xml:space="preserve"> </w:t>
      </w:r>
      <w:r>
        <w:rPr>
          <w:spacing w:val="-3"/>
        </w:rPr>
        <w:t>-</w:t>
      </w:r>
      <w:r>
        <w:rPr>
          <w:spacing w:val="-60"/>
        </w:rPr>
        <w:t xml:space="preserve"> </w:t>
      </w:r>
      <w:r>
        <w:rPr>
          <w:rFonts w:hint="eastAsia"/>
          <w:spacing w:val="-60"/>
          <w:lang w:val="en-US" w:eastAsia="zh-CN"/>
        </w:rPr>
        <w:t>6</w:t>
      </w:r>
      <w:r>
        <w:rPr>
          <w:spacing w:val="-64"/>
        </w:rPr>
        <w:t xml:space="preserve"> </w:t>
      </w:r>
      <w:r>
        <w:rPr>
          <w:spacing w:val="-3"/>
        </w:rPr>
        <w:t>-</w:t>
      </w:r>
      <w:r>
        <w:rPr>
          <w:rFonts w:hint="eastAsia"/>
          <w:spacing w:val="-3"/>
          <w:lang w:val="en-US" w:eastAsia="zh-CN"/>
        </w:rPr>
        <w:t>30</w:t>
      </w:r>
      <w:r>
        <w:rPr>
          <w:spacing w:val="-3"/>
        </w:rPr>
        <w:t xml:space="preserve">发布           </w:t>
      </w:r>
      <w:r>
        <w:rPr>
          <w:spacing w:val="-4"/>
        </w:rPr>
        <w:t xml:space="preserve">                              2026</w:t>
      </w:r>
      <w:r>
        <w:rPr>
          <w:spacing w:val="-64"/>
        </w:rPr>
        <w:t xml:space="preserve"> </w:t>
      </w:r>
      <w:r>
        <w:rPr>
          <w:spacing w:val="-4"/>
        </w:rPr>
        <w:t>-</w:t>
      </w:r>
      <w:r>
        <w:rPr>
          <w:spacing w:val="-61"/>
        </w:rPr>
        <w:t xml:space="preserve"> </w:t>
      </w:r>
      <w:r>
        <w:rPr>
          <w:rFonts w:hint="eastAsia"/>
          <w:spacing w:val="-61"/>
          <w:lang w:val="en-US" w:eastAsia="zh-CN"/>
        </w:rPr>
        <w:t>7</w:t>
      </w:r>
      <w:r>
        <w:rPr>
          <w:spacing w:val="-63"/>
        </w:rPr>
        <w:t xml:space="preserve"> </w:t>
      </w:r>
      <w:r>
        <w:rPr>
          <w:spacing w:val="-4"/>
        </w:rPr>
        <w:t>-</w:t>
      </w:r>
      <w:r>
        <w:rPr>
          <w:spacing w:val="-68"/>
        </w:rPr>
        <w:t xml:space="preserve"> </w:t>
      </w:r>
      <w:r>
        <w:rPr>
          <w:rFonts w:hint="eastAsia"/>
          <w:spacing w:val="-4"/>
          <w:lang w:val="en-US" w:eastAsia="zh-CN"/>
        </w:rPr>
        <w:t>10</w:t>
      </w:r>
      <w:r>
        <w:rPr>
          <w:spacing w:val="-50"/>
        </w:rPr>
        <w:t xml:space="preserve"> </w:t>
      </w:r>
      <w:r>
        <w:rPr>
          <w:spacing w:val="-4"/>
        </w:rPr>
        <w:t>实施</w:t>
      </w:r>
    </w:p>
    <w:p w14:paraId="46CD106E">
      <w:pPr>
        <w:spacing w:line="252" w:lineRule="auto"/>
        <w:rPr>
          <w:rFonts w:ascii="Arial"/>
          <w:sz w:val="21"/>
        </w:rPr>
      </w:pPr>
      <w:r>
        <w:drawing>
          <wp:anchor distT="0" distB="0" distL="0" distR="0" simplePos="0" relativeHeight="251661312" behindDoc="0" locked="0" layoutInCell="1" allowOverlap="1">
            <wp:simplePos x="0" y="0"/>
            <wp:positionH relativeFrom="column">
              <wp:posOffset>0</wp:posOffset>
            </wp:positionH>
            <wp:positionV relativeFrom="paragraph">
              <wp:posOffset>6350</wp:posOffset>
            </wp:positionV>
            <wp:extent cx="6120130"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6120129" cy="9525"/>
                    </a:xfrm>
                    <a:prstGeom prst="rect">
                      <a:avLst/>
                    </a:prstGeom>
                  </pic:spPr>
                </pic:pic>
              </a:graphicData>
            </a:graphic>
          </wp:anchor>
        </w:drawing>
      </w:r>
    </w:p>
    <w:p w14:paraId="660C547F">
      <w:pPr>
        <w:spacing w:line="253" w:lineRule="auto"/>
        <w:rPr>
          <w:rFonts w:ascii="Arial"/>
          <w:sz w:val="21"/>
        </w:rPr>
      </w:pPr>
    </w:p>
    <w:p w14:paraId="42E5C8D0">
      <w:pPr>
        <w:spacing w:line="253" w:lineRule="auto"/>
        <w:rPr>
          <w:rFonts w:ascii="Arial"/>
          <w:sz w:val="21"/>
        </w:rPr>
      </w:pPr>
    </w:p>
    <w:p w14:paraId="0D0F3F72">
      <w:pPr>
        <w:pStyle w:val="2"/>
        <w:spacing w:before="91" w:line="222" w:lineRule="auto"/>
        <w:ind w:left="3131"/>
      </w:pPr>
      <w:r>
        <w:rPr>
          <w:spacing w:val="-1"/>
        </w:rPr>
        <w:t>大宁县果业协会    发</w:t>
      </w:r>
      <w:r>
        <w:rPr>
          <w:spacing w:val="42"/>
        </w:rPr>
        <w:t xml:space="preserve"> </w:t>
      </w:r>
      <w:r>
        <w:rPr>
          <w:spacing w:val="-1"/>
        </w:rPr>
        <w:t>布</w:t>
      </w:r>
    </w:p>
    <w:p w14:paraId="72342BD2">
      <w:pPr>
        <w:spacing w:line="222" w:lineRule="auto"/>
        <w:sectPr>
          <w:pgSz w:w="11906" w:h="16839"/>
          <w:pgMar w:top="1215" w:right="820" w:bottom="0" w:left="1417" w:header="0" w:footer="0" w:gutter="0"/>
          <w:pgNumType w:fmt="decimal"/>
          <w:cols w:space="720" w:num="1"/>
        </w:sectPr>
      </w:pPr>
    </w:p>
    <w:p w14:paraId="516F22E7">
      <w:pPr>
        <w:pStyle w:val="10"/>
        <w:numPr>
          <w:ilvl w:val="0"/>
          <w:numId w:val="0"/>
        </w:numPr>
        <w:shd w:val="clear" w:color="FFFFFF" w:fill="FFFFFF"/>
        <w:spacing w:after="360"/>
        <w:ind w:leftChars="0"/>
        <w:jc w:val="center"/>
        <w:rPr>
          <w:rFonts w:hint="eastAsia"/>
          <w:spacing w:val="320"/>
          <w:lang w:val="en-US" w:eastAsia="zh-CN"/>
        </w:rPr>
      </w:pPr>
      <w:bookmarkStart w:id="0" w:name="_Toc17104"/>
      <w:r>
        <w:rPr>
          <w:rFonts w:hint="eastAsia"/>
          <w:spacing w:val="320"/>
          <w:lang w:val="en-US" w:eastAsia="zh-CN"/>
        </w:rPr>
        <w:t>前言</w:t>
      </w:r>
      <w:bookmarkEnd w:id="0"/>
    </w:p>
    <w:p w14:paraId="44E18914">
      <w:pPr>
        <w:rPr>
          <w:rFonts w:hint="eastAsia"/>
        </w:rPr>
      </w:pPr>
    </w:p>
    <w:p w14:paraId="0CB8A65F">
      <w:pPr>
        <w:pStyle w:val="11"/>
        <w:ind w:firstLine="420"/>
        <w:rPr>
          <w:rFonts w:hint="eastAsia"/>
        </w:rPr>
      </w:pPr>
      <w:r>
        <w:rPr>
          <w:rFonts w:hint="eastAsia"/>
        </w:rPr>
        <w:t>本文件按照GB/T1.1—2020《标准化工作导则第1部分：标准化文件的结构和起草规则》的规定起草。</w:t>
      </w:r>
    </w:p>
    <w:p w14:paraId="00E83B3A">
      <w:pPr>
        <w:pStyle w:val="11"/>
        <w:ind w:firstLine="420"/>
        <w:rPr>
          <w:rFonts w:hint="eastAsia"/>
        </w:rPr>
      </w:pPr>
      <w:r>
        <w:rPr>
          <w:rFonts w:hint="eastAsia"/>
        </w:rPr>
        <w:t>本文件起草单位：大宁县果业协会、大宁县农业农村局、大宁县现代农业发展中心、山西农业大学（大宁）苹果产业研究院、山西宁脆果业有限公司、山西省宁脆苹果专业合作社联合社。</w:t>
      </w:r>
    </w:p>
    <w:p w14:paraId="3B8A669A">
      <w:pPr>
        <w:pStyle w:val="11"/>
        <w:ind w:firstLine="420"/>
        <w:rPr>
          <w:rFonts w:hint="eastAsia"/>
        </w:rPr>
      </w:pPr>
      <w:r>
        <w:rPr>
          <w:rFonts w:hint="eastAsia"/>
        </w:rPr>
        <w:t>本文件主要起草人：渠瑞平、马红宁、王林冲、杨廷桢、李帅、马旭平。</w:t>
      </w:r>
    </w:p>
    <w:p w14:paraId="5A36B052">
      <w:pPr>
        <w:pStyle w:val="11"/>
        <w:ind w:firstLine="420"/>
        <w:rPr>
          <w:rFonts w:hint="eastAsia"/>
        </w:rPr>
      </w:pPr>
      <w:r>
        <w:rPr>
          <w:rFonts w:hint="eastAsia"/>
        </w:rPr>
        <w:t>本文件为首次发布。</w:t>
      </w:r>
    </w:p>
    <w:p w14:paraId="4A26C6E0">
      <w:pPr>
        <w:rPr>
          <w:rFonts w:hint="eastAsia"/>
          <w:spacing w:val="320"/>
          <w:lang w:val="en-US" w:eastAsia="zh-CN"/>
        </w:rPr>
      </w:pPr>
      <w:r>
        <w:rPr>
          <w:rFonts w:hint="eastAsia"/>
          <w:spacing w:val="320"/>
          <w:lang w:val="en-US" w:eastAsia="zh-CN"/>
        </w:rPr>
        <w:br w:type="page"/>
      </w:r>
    </w:p>
    <w:p w14:paraId="61F1F952">
      <w:pPr>
        <w:pStyle w:val="10"/>
        <w:shd w:val="clear" w:color="FFFFFF" w:fill="FFFFFF"/>
        <w:spacing w:after="360"/>
        <w:rPr>
          <w:rFonts w:hint="eastAsia"/>
        </w:rPr>
      </w:pPr>
      <w:bookmarkStart w:id="1" w:name="_Toc22788"/>
      <w:r>
        <w:rPr>
          <w:rFonts w:hint="eastAsia"/>
          <w:spacing w:val="320"/>
          <w:lang w:val="en-US" w:eastAsia="zh-CN"/>
        </w:rPr>
        <w:t>引言</w:t>
      </w:r>
      <w:bookmarkEnd w:id="1"/>
    </w:p>
    <w:p w14:paraId="7B2E8534">
      <w:pPr>
        <w:pStyle w:val="11"/>
        <w:spacing w:line="240" w:lineRule="auto"/>
        <w:ind w:firstLine="420"/>
        <w:rPr>
          <w:rFonts w:hint="eastAsia"/>
        </w:rPr>
      </w:pPr>
      <w:r>
        <w:rPr>
          <w:rFonts w:hint="eastAsia"/>
        </w:rPr>
        <w:t>本文件规定了大宁宁粹苹果品牌包装的技术要求、标识规范及全流程管理准则，是大宁宁粹苹果区域公用品牌建设中标准化包装体系构建的核心依据。</w:t>
      </w:r>
    </w:p>
    <w:p w14:paraId="73468D15">
      <w:pPr>
        <w:pStyle w:val="11"/>
        <w:spacing w:line="240" w:lineRule="auto"/>
        <w:ind w:firstLine="420"/>
        <w:rPr>
          <w:rFonts w:hint="eastAsia"/>
        </w:rPr>
      </w:pPr>
      <w:r>
        <w:rPr>
          <w:rFonts w:hint="eastAsia"/>
        </w:rPr>
        <w:t>本文件旨在整合国家、行业相关包装标准，规范从材料选用、设计到运输贮存的全链条包装行为；通过统一品牌视觉表达、强化质量安全防护，构建消费者信任的市场环境；推动包装的绿色化、智能化升级，引导市场对大宁宁粹苹果品牌价值的深度认知与认可；健全联农带农利益联结机制，以品牌包装提升产品溢价，拓宽果农增收渠道，切实让农民共享产业发展成果、真正受益。</w:t>
      </w:r>
    </w:p>
    <w:p w14:paraId="55322DB1">
      <w:pPr>
        <w:pStyle w:val="11"/>
        <w:spacing w:line="240" w:lineRule="auto"/>
        <w:ind w:firstLine="420"/>
        <w:rPr>
          <w:rFonts w:hint="eastAsia"/>
        </w:rPr>
      </w:pPr>
      <w:r>
        <w:rPr>
          <w:rFonts w:hint="eastAsia"/>
        </w:rPr>
        <w:t>本文件传承大宁地域文化特色，以标准化包装赋能产业发展，展现大宁宁粹苹果 “生态好、品质优、酥脆多汁” 的核心优势与品牌差异；发挥包装在质量追溯、品牌溢价中的关键作用，助力农业生产标准化落地、品牌安全监管提效，推动大宁苹果产业向标准化生产、品牌化运营、可持续发展的方向进阶，实现生态价值与经济价值的协同提升。</w:t>
      </w:r>
    </w:p>
    <w:p w14:paraId="277398AE">
      <w:pPr>
        <w:rPr>
          <w:rFonts w:hint="eastAsia"/>
        </w:rPr>
      </w:pPr>
      <w:r>
        <w:rPr>
          <w:rFonts w:hint="eastAsia"/>
        </w:rPr>
        <w:br w:type="page"/>
      </w:r>
    </w:p>
    <w:sdt>
      <w:sdtPr>
        <w:rPr>
          <w:rFonts w:ascii="宋体" w:hAnsi="宋体" w:eastAsia="宋体" w:cs="Arial"/>
          <w:b/>
          <w:bCs/>
          <w:snapToGrid w:val="0"/>
          <w:color w:val="000000"/>
          <w:kern w:val="0"/>
          <w:sz w:val="21"/>
          <w:szCs w:val="21"/>
          <w:lang w:val="en-US" w:eastAsia="en-US" w:bidi="ar-SA"/>
        </w:rPr>
        <w:id w:val="147464251"/>
        <w15:color w:val="DBDBDB"/>
        <w:docPartObj>
          <w:docPartGallery w:val="Table of Contents"/>
          <w:docPartUnique/>
        </w:docPartObj>
      </w:sdtPr>
      <w:sdtEndPr>
        <w:rPr>
          <w:rFonts w:hint="eastAsia" w:ascii="宋体" w:hAnsi="Times New Roman" w:eastAsia="宋体" w:cs="Times New Roman"/>
          <w:b/>
          <w:bCs/>
          <w:snapToGrid w:val="0"/>
          <w:color w:val="000000"/>
          <w:kern w:val="0"/>
          <w:sz w:val="21"/>
          <w:szCs w:val="21"/>
          <w:lang w:val="en-US" w:eastAsia="zh-CN" w:bidi="ar-SA"/>
        </w:rPr>
      </w:sdtEndPr>
      <w:sdtContent>
        <w:p w14:paraId="0A5626F5">
          <w:pPr>
            <w:spacing w:before="0" w:beforeLines="0" w:after="0" w:afterLines="0" w:line="240" w:lineRule="auto"/>
            <w:ind w:left="0" w:leftChars="0" w:right="0" w:rightChars="0" w:firstLine="0" w:firstLineChars="0"/>
            <w:jc w:val="center"/>
            <w:rPr>
              <w:rFonts w:hint="default"/>
              <w:b/>
              <w:bCs/>
              <w:lang w:val="en-US"/>
            </w:rPr>
          </w:pPr>
          <w:r>
            <w:rPr>
              <w:rFonts w:ascii="宋体" w:hAnsi="宋体" w:eastAsia="宋体"/>
              <w:b/>
              <w:bCs/>
              <w:sz w:val="32"/>
              <w:szCs w:val="32"/>
            </w:rPr>
            <w:t>目</w:t>
          </w:r>
          <w:r>
            <w:rPr>
              <w:rFonts w:hint="eastAsia" w:ascii="宋体" w:hAnsi="宋体" w:eastAsia="宋体"/>
              <w:b/>
              <w:bCs/>
              <w:sz w:val="32"/>
              <w:szCs w:val="32"/>
              <w:lang w:val="en-US" w:eastAsia="zh-CN"/>
            </w:rPr>
            <w:t xml:space="preserve"> 次</w:t>
          </w:r>
        </w:p>
        <w:p w14:paraId="1C2FDA0B">
          <w:pPr>
            <w:pStyle w:val="5"/>
            <w:tabs>
              <w:tab w:val="right" w:leader="dot" w:pos="8306"/>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_Toc17104 </w:instrText>
          </w:r>
          <w:r>
            <w:rPr>
              <w:rFonts w:hint="eastAsia"/>
            </w:rPr>
            <w:fldChar w:fldCharType="separate"/>
          </w:r>
          <w:r>
            <w:rPr>
              <w:rFonts w:hint="eastAsia"/>
              <w:spacing w:val="320"/>
              <w:lang w:val="en-US" w:eastAsia="zh-CN"/>
            </w:rPr>
            <w:t>前言</w:t>
          </w:r>
          <w:r>
            <w:tab/>
          </w:r>
          <w:r>
            <w:fldChar w:fldCharType="begin"/>
          </w:r>
          <w:r>
            <w:instrText xml:space="preserve"> PAGEREF _Toc17104 \h </w:instrText>
          </w:r>
          <w:r>
            <w:fldChar w:fldCharType="separate"/>
          </w:r>
          <w:r>
            <w:t>I</w:t>
          </w:r>
          <w:r>
            <w:fldChar w:fldCharType="end"/>
          </w:r>
          <w:r>
            <w:rPr>
              <w:rFonts w:hint="eastAsia"/>
            </w:rPr>
            <w:fldChar w:fldCharType="end"/>
          </w:r>
        </w:p>
        <w:p w14:paraId="67DCAE79">
          <w:pPr>
            <w:pStyle w:val="5"/>
            <w:tabs>
              <w:tab w:val="right" w:leader="dot" w:pos="8306"/>
            </w:tabs>
          </w:pPr>
          <w:r>
            <w:rPr>
              <w:rFonts w:hint="eastAsia"/>
            </w:rPr>
            <w:fldChar w:fldCharType="begin"/>
          </w:r>
          <w:r>
            <w:rPr>
              <w:rFonts w:hint="eastAsia"/>
            </w:rPr>
            <w:instrText xml:space="preserve"> HYPERLINK \l _Toc22788 </w:instrText>
          </w:r>
          <w:r>
            <w:rPr>
              <w:rFonts w:hint="eastAsia"/>
            </w:rPr>
            <w:fldChar w:fldCharType="separate"/>
          </w:r>
          <w:r>
            <w:rPr>
              <w:rFonts w:hint="eastAsia"/>
              <w:spacing w:val="320"/>
              <w:lang w:val="en-US" w:eastAsia="zh-CN"/>
            </w:rPr>
            <w:t>引言</w:t>
          </w:r>
          <w:r>
            <w:tab/>
          </w:r>
          <w:r>
            <w:fldChar w:fldCharType="begin"/>
          </w:r>
          <w:r>
            <w:instrText xml:space="preserve"> PAGEREF _Toc22788 \h </w:instrText>
          </w:r>
          <w:r>
            <w:fldChar w:fldCharType="separate"/>
          </w:r>
          <w:r>
            <w:t>II</w:t>
          </w:r>
          <w:r>
            <w:fldChar w:fldCharType="end"/>
          </w:r>
          <w:r>
            <w:rPr>
              <w:rFonts w:hint="eastAsia"/>
            </w:rPr>
            <w:fldChar w:fldCharType="end"/>
          </w:r>
        </w:p>
        <w:p w14:paraId="2B9825E8">
          <w:pPr>
            <w:pStyle w:val="5"/>
            <w:tabs>
              <w:tab w:val="right" w:leader="dot" w:pos="8306"/>
            </w:tabs>
          </w:pPr>
          <w:r>
            <w:rPr>
              <w:rFonts w:hint="eastAsia"/>
            </w:rPr>
            <w:fldChar w:fldCharType="begin"/>
          </w:r>
          <w:r>
            <w:rPr>
              <w:rFonts w:hint="eastAsia"/>
            </w:rPr>
            <w:instrText xml:space="preserve"> HYPERLINK \l _Toc1123 </w:instrText>
          </w:r>
          <w:r>
            <w:rPr>
              <w:rFonts w:hint="eastAsia"/>
            </w:rPr>
            <w:fldChar w:fldCharType="separate"/>
          </w:r>
          <w:r>
            <w:rPr>
              <w:rFonts w:hint="eastAsia" w:ascii="黑体" w:eastAsia="黑体"/>
              <w:i w:val="0"/>
            </w:rPr>
            <w:t xml:space="preserve">1 </w:t>
          </w:r>
          <w:r>
            <w:rPr>
              <w:rFonts w:hint="eastAsia"/>
            </w:rPr>
            <w:t>范围</w:t>
          </w:r>
          <w:r>
            <w:tab/>
          </w:r>
          <w:r>
            <w:fldChar w:fldCharType="begin"/>
          </w:r>
          <w:r>
            <w:instrText xml:space="preserve"> PAGEREF _Toc1123 \h </w:instrText>
          </w:r>
          <w:r>
            <w:fldChar w:fldCharType="separate"/>
          </w:r>
          <w:r>
            <w:t>1</w:t>
          </w:r>
          <w:r>
            <w:fldChar w:fldCharType="end"/>
          </w:r>
          <w:r>
            <w:rPr>
              <w:rFonts w:hint="eastAsia"/>
            </w:rPr>
            <w:fldChar w:fldCharType="end"/>
          </w:r>
        </w:p>
        <w:p w14:paraId="7BB84858">
          <w:pPr>
            <w:pStyle w:val="5"/>
            <w:tabs>
              <w:tab w:val="right" w:leader="dot" w:pos="8306"/>
            </w:tabs>
          </w:pPr>
          <w:r>
            <w:rPr>
              <w:rFonts w:hint="eastAsia"/>
            </w:rPr>
            <w:fldChar w:fldCharType="begin"/>
          </w:r>
          <w:r>
            <w:rPr>
              <w:rFonts w:hint="eastAsia"/>
            </w:rPr>
            <w:instrText xml:space="preserve"> HYPERLINK \l _Toc20354 </w:instrText>
          </w:r>
          <w:r>
            <w:rPr>
              <w:rFonts w:hint="eastAsia"/>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_Toc20354 \h </w:instrText>
          </w:r>
          <w:r>
            <w:fldChar w:fldCharType="separate"/>
          </w:r>
          <w:r>
            <w:t>1</w:t>
          </w:r>
          <w:r>
            <w:fldChar w:fldCharType="end"/>
          </w:r>
          <w:r>
            <w:rPr>
              <w:rFonts w:hint="eastAsia"/>
            </w:rPr>
            <w:fldChar w:fldCharType="end"/>
          </w:r>
        </w:p>
        <w:p w14:paraId="61276DD5">
          <w:pPr>
            <w:pStyle w:val="5"/>
            <w:tabs>
              <w:tab w:val="right" w:leader="dot" w:pos="8306"/>
            </w:tabs>
          </w:pPr>
          <w:r>
            <w:rPr>
              <w:rFonts w:hint="eastAsia"/>
            </w:rPr>
            <w:fldChar w:fldCharType="begin"/>
          </w:r>
          <w:r>
            <w:rPr>
              <w:rFonts w:hint="eastAsia"/>
            </w:rPr>
            <w:instrText xml:space="preserve"> HYPERLINK \l _Toc226 </w:instrText>
          </w:r>
          <w:r>
            <w:rPr>
              <w:rFonts w:hint="eastAsia"/>
            </w:rPr>
            <w:fldChar w:fldCharType="separate"/>
          </w:r>
          <w:r>
            <w:rPr>
              <w:rFonts w:hint="eastAsia" w:ascii="黑体" w:eastAsia="黑体"/>
              <w:i w:val="0"/>
            </w:rPr>
            <w:t xml:space="preserve">3 </w:t>
          </w:r>
          <w:r>
            <w:rPr>
              <w:rFonts w:hint="eastAsia"/>
            </w:rPr>
            <w:t>术语和定义</w:t>
          </w:r>
          <w:r>
            <w:tab/>
          </w:r>
          <w:r>
            <w:fldChar w:fldCharType="begin"/>
          </w:r>
          <w:r>
            <w:instrText xml:space="preserve"> PAGEREF _Toc226 \h </w:instrText>
          </w:r>
          <w:r>
            <w:fldChar w:fldCharType="separate"/>
          </w:r>
          <w:r>
            <w:t>1</w:t>
          </w:r>
          <w:r>
            <w:fldChar w:fldCharType="end"/>
          </w:r>
          <w:r>
            <w:rPr>
              <w:rFonts w:hint="eastAsia"/>
            </w:rPr>
            <w:fldChar w:fldCharType="end"/>
          </w:r>
        </w:p>
        <w:p w14:paraId="368E939C">
          <w:pPr>
            <w:pStyle w:val="6"/>
            <w:tabs>
              <w:tab w:val="right" w:leader="dot" w:pos="8306"/>
            </w:tabs>
          </w:pPr>
          <w:r>
            <w:rPr>
              <w:rFonts w:hint="eastAsia"/>
            </w:rPr>
            <w:fldChar w:fldCharType="begin"/>
          </w:r>
          <w:r>
            <w:rPr>
              <w:rFonts w:hint="eastAsia"/>
            </w:rPr>
            <w:instrText xml:space="preserve"> HYPERLINK \l _Toc1340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3.1 </w:t>
          </w:r>
          <w:r>
            <w:rPr>
              <w:rFonts w:hint="eastAsia"/>
              <w:lang w:val="en-US" w:eastAsia="zh-CN"/>
            </w:rPr>
            <w:t>大宁宁粹苹果</w:t>
          </w:r>
          <w:r>
            <w:tab/>
          </w:r>
          <w:r>
            <w:fldChar w:fldCharType="begin"/>
          </w:r>
          <w:r>
            <w:instrText xml:space="preserve"> PAGEREF _Toc1340 \h </w:instrText>
          </w:r>
          <w:r>
            <w:fldChar w:fldCharType="separate"/>
          </w:r>
          <w:r>
            <w:t>1</w:t>
          </w:r>
          <w:r>
            <w:fldChar w:fldCharType="end"/>
          </w:r>
          <w:r>
            <w:rPr>
              <w:rFonts w:hint="eastAsia"/>
            </w:rPr>
            <w:fldChar w:fldCharType="end"/>
          </w:r>
        </w:p>
        <w:p w14:paraId="4A63F072">
          <w:pPr>
            <w:pStyle w:val="6"/>
            <w:tabs>
              <w:tab w:val="right" w:leader="dot" w:pos="8306"/>
            </w:tabs>
          </w:pPr>
          <w:r>
            <w:rPr>
              <w:rFonts w:hint="eastAsia"/>
            </w:rPr>
            <w:fldChar w:fldCharType="begin"/>
          </w:r>
          <w:r>
            <w:rPr>
              <w:rFonts w:hint="eastAsia"/>
            </w:rPr>
            <w:instrText xml:space="preserve"> HYPERLINK \l _Toc31916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3.2 </w:t>
          </w:r>
          <w:r>
            <w:rPr>
              <w:rFonts w:hint="eastAsia"/>
              <w:lang w:val="en-US" w:eastAsia="zh-CN"/>
            </w:rPr>
            <w:t>区域品牌标识</w:t>
          </w:r>
          <w:r>
            <w:tab/>
          </w:r>
          <w:r>
            <w:fldChar w:fldCharType="begin"/>
          </w:r>
          <w:r>
            <w:instrText xml:space="preserve"> PAGEREF _Toc31916 \h </w:instrText>
          </w:r>
          <w:r>
            <w:fldChar w:fldCharType="separate"/>
          </w:r>
          <w:r>
            <w:t>1</w:t>
          </w:r>
          <w:r>
            <w:fldChar w:fldCharType="end"/>
          </w:r>
          <w:r>
            <w:rPr>
              <w:rFonts w:hint="eastAsia"/>
            </w:rPr>
            <w:fldChar w:fldCharType="end"/>
          </w:r>
        </w:p>
        <w:p w14:paraId="6E931CE4">
          <w:pPr>
            <w:pStyle w:val="6"/>
            <w:tabs>
              <w:tab w:val="right" w:leader="dot" w:pos="8306"/>
            </w:tabs>
          </w:pPr>
          <w:r>
            <w:rPr>
              <w:rFonts w:hint="eastAsia"/>
            </w:rPr>
            <w:fldChar w:fldCharType="begin"/>
          </w:r>
          <w:r>
            <w:rPr>
              <w:rFonts w:hint="eastAsia"/>
            </w:rPr>
            <w:instrText xml:space="preserve"> HYPERLINK \l _Toc24333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3.3 </w:t>
          </w:r>
          <w:r>
            <w:rPr>
              <w:rFonts w:hint="eastAsia"/>
              <w:lang w:val="en-US" w:eastAsia="zh-CN"/>
            </w:rPr>
            <w:t>溯源标识</w:t>
          </w:r>
          <w:r>
            <w:tab/>
          </w:r>
          <w:r>
            <w:fldChar w:fldCharType="begin"/>
          </w:r>
          <w:r>
            <w:instrText xml:space="preserve"> PAGEREF _Toc24333 \h </w:instrText>
          </w:r>
          <w:r>
            <w:fldChar w:fldCharType="separate"/>
          </w:r>
          <w:r>
            <w:t>1</w:t>
          </w:r>
          <w:r>
            <w:fldChar w:fldCharType="end"/>
          </w:r>
          <w:r>
            <w:rPr>
              <w:rFonts w:hint="eastAsia"/>
            </w:rPr>
            <w:fldChar w:fldCharType="end"/>
          </w:r>
        </w:p>
        <w:p w14:paraId="258661C8">
          <w:pPr>
            <w:pStyle w:val="6"/>
            <w:tabs>
              <w:tab w:val="right" w:leader="dot" w:pos="8306"/>
            </w:tabs>
          </w:pPr>
          <w:r>
            <w:rPr>
              <w:rFonts w:hint="eastAsia"/>
            </w:rPr>
            <w:fldChar w:fldCharType="begin"/>
          </w:r>
          <w:r>
            <w:rPr>
              <w:rFonts w:hint="eastAsia"/>
            </w:rPr>
            <w:instrText xml:space="preserve"> HYPERLINK \l _Toc6984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3.4 </w:t>
          </w:r>
          <w:r>
            <w:rPr>
              <w:rFonts w:hint="eastAsia"/>
              <w:lang w:val="en-US" w:eastAsia="zh-CN"/>
            </w:rPr>
            <w:t>内包装</w:t>
          </w:r>
          <w:r>
            <w:tab/>
          </w:r>
          <w:r>
            <w:fldChar w:fldCharType="begin"/>
          </w:r>
          <w:r>
            <w:instrText xml:space="preserve"> PAGEREF _Toc6984 \h </w:instrText>
          </w:r>
          <w:r>
            <w:fldChar w:fldCharType="separate"/>
          </w:r>
          <w:r>
            <w:t>2</w:t>
          </w:r>
          <w:r>
            <w:fldChar w:fldCharType="end"/>
          </w:r>
          <w:r>
            <w:rPr>
              <w:rFonts w:hint="eastAsia"/>
            </w:rPr>
            <w:fldChar w:fldCharType="end"/>
          </w:r>
        </w:p>
        <w:p w14:paraId="1AAEC755">
          <w:pPr>
            <w:pStyle w:val="6"/>
            <w:tabs>
              <w:tab w:val="right" w:leader="dot" w:pos="8306"/>
            </w:tabs>
          </w:pPr>
          <w:r>
            <w:rPr>
              <w:rFonts w:hint="eastAsia"/>
            </w:rPr>
            <w:fldChar w:fldCharType="begin"/>
          </w:r>
          <w:r>
            <w:rPr>
              <w:rFonts w:hint="eastAsia"/>
            </w:rPr>
            <w:instrText xml:space="preserve"> HYPERLINK \l _Toc17453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3.5 </w:t>
          </w:r>
          <w:r>
            <w:rPr>
              <w:rFonts w:hint="eastAsia"/>
              <w:lang w:val="en-US" w:eastAsia="zh-CN"/>
            </w:rPr>
            <w:t>外包装</w:t>
          </w:r>
          <w:r>
            <w:tab/>
          </w:r>
          <w:r>
            <w:fldChar w:fldCharType="begin"/>
          </w:r>
          <w:r>
            <w:instrText xml:space="preserve"> PAGEREF _Toc17453 \h </w:instrText>
          </w:r>
          <w:r>
            <w:fldChar w:fldCharType="separate"/>
          </w:r>
          <w:r>
            <w:t>2</w:t>
          </w:r>
          <w:r>
            <w:fldChar w:fldCharType="end"/>
          </w:r>
          <w:r>
            <w:rPr>
              <w:rFonts w:hint="eastAsia"/>
            </w:rPr>
            <w:fldChar w:fldCharType="end"/>
          </w:r>
        </w:p>
        <w:p w14:paraId="7EB34E3A">
          <w:pPr>
            <w:pStyle w:val="6"/>
            <w:tabs>
              <w:tab w:val="right" w:leader="dot" w:pos="8306"/>
            </w:tabs>
          </w:pPr>
          <w:r>
            <w:rPr>
              <w:rFonts w:hint="eastAsia"/>
            </w:rPr>
            <w:fldChar w:fldCharType="begin"/>
          </w:r>
          <w:r>
            <w:rPr>
              <w:rFonts w:hint="eastAsia"/>
            </w:rPr>
            <w:instrText xml:space="preserve"> HYPERLINK \l _Toc22959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3.6 </w:t>
          </w:r>
          <w:r>
            <w:rPr>
              <w:rFonts w:hint="eastAsia"/>
              <w:lang w:val="en-US" w:eastAsia="zh-CN"/>
            </w:rPr>
            <w:t>商品质量基本要求</w:t>
          </w:r>
          <w:r>
            <w:tab/>
          </w:r>
          <w:r>
            <w:fldChar w:fldCharType="begin"/>
          </w:r>
          <w:r>
            <w:instrText xml:space="preserve"> PAGEREF _Toc22959 \h </w:instrText>
          </w:r>
          <w:r>
            <w:fldChar w:fldCharType="separate"/>
          </w:r>
          <w:r>
            <w:t>2</w:t>
          </w:r>
          <w:r>
            <w:fldChar w:fldCharType="end"/>
          </w:r>
          <w:r>
            <w:rPr>
              <w:rFonts w:hint="eastAsia"/>
            </w:rPr>
            <w:fldChar w:fldCharType="end"/>
          </w:r>
        </w:p>
        <w:p w14:paraId="57874F12">
          <w:pPr>
            <w:pStyle w:val="5"/>
            <w:tabs>
              <w:tab w:val="right" w:leader="dot" w:pos="8306"/>
            </w:tabs>
          </w:pPr>
          <w:r>
            <w:rPr>
              <w:rFonts w:hint="eastAsia"/>
            </w:rPr>
            <w:fldChar w:fldCharType="begin"/>
          </w:r>
          <w:r>
            <w:rPr>
              <w:rFonts w:hint="eastAsia"/>
            </w:rPr>
            <w:instrText xml:space="preserve"> HYPERLINK \l _Toc11721 </w:instrText>
          </w:r>
          <w:r>
            <w:rPr>
              <w:rFonts w:hint="eastAsia"/>
            </w:rPr>
            <w:fldChar w:fldCharType="separate"/>
          </w:r>
          <w:r>
            <w:rPr>
              <w:rFonts w:hint="eastAsia" w:ascii="黑体" w:eastAsia="黑体"/>
              <w:i w:val="0"/>
            </w:rPr>
            <w:t xml:space="preserve">4 </w:t>
          </w:r>
          <w:r>
            <w:rPr>
              <w:rFonts w:hint="eastAsia"/>
            </w:rPr>
            <w:t>包装要求</w:t>
          </w:r>
          <w:r>
            <w:tab/>
          </w:r>
          <w:r>
            <w:fldChar w:fldCharType="begin"/>
          </w:r>
          <w:r>
            <w:instrText xml:space="preserve"> PAGEREF _Toc11721 \h </w:instrText>
          </w:r>
          <w:r>
            <w:fldChar w:fldCharType="separate"/>
          </w:r>
          <w:r>
            <w:t>2</w:t>
          </w:r>
          <w:r>
            <w:fldChar w:fldCharType="end"/>
          </w:r>
          <w:r>
            <w:rPr>
              <w:rFonts w:hint="eastAsia"/>
            </w:rPr>
            <w:fldChar w:fldCharType="end"/>
          </w:r>
        </w:p>
        <w:p w14:paraId="7A54C13F">
          <w:pPr>
            <w:pStyle w:val="6"/>
            <w:tabs>
              <w:tab w:val="right" w:leader="dot" w:pos="8306"/>
            </w:tabs>
          </w:pPr>
          <w:r>
            <w:rPr>
              <w:rFonts w:hint="eastAsia"/>
            </w:rPr>
            <w:fldChar w:fldCharType="begin"/>
          </w:r>
          <w:r>
            <w:rPr>
              <w:rFonts w:hint="eastAsia"/>
            </w:rPr>
            <w:instrText xml:space="preserve"> HYPERLINK \l _Toc25608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4.1 </w:t>
          </w:r>
          <w:r>
            <w:rPr>
              <w:rFonts w:hint="eastAsia"/>
              <w:lang w:val="en-US" w:eastAsia="zh-CN"/>
            </w:rPr>
            <w:t>包装原则</w:t>
          </w:r>
          <w:r>
            <w:tab/>
          </w:r>
          <w:r>
            <w:fldChar w:fldCharType="begin"/>
          </w:r>
          <w:r>
            <w:instrText xml:space="preserve"> PAGEREF _Toc25608 \h </w:instrText>
          </w:r>
          <w:r>
            <w:fldChar w:fldCharType="separate"/>
          </w:r>
          <w:r>
            <w:t>2</w:t>
          </w:r>
          <w:r>
            <w:fldChar w:fldCharType="end"/>
          </w:r>
          <w:r>
            <w:rPr>
              <w:rFonts w:hint="eastAsia"/>
            </w:rPr>
            <w:fldChar w:fldCharType="end"/>
          </w:r>
        </w:p>
        <w:p w14:paraId="07EE3299">
          <w:pPr>
            <w:pStyle w:val="6"/>
            <w:tabs>
              <w:tab w:val="right" w:leader="dot" w:pos="8306"/>
            </w:tabs>
          </w:pPr>
          <w:r>
            <w:rPr>
              <w:rFonts w:hint="eastAsia"/>
            </w:rPr>
            <w:fldChar w:fldCharType="begin"/>
          </w:r>
          <w:r>
            <w:rPr>
              <w:rFonts w:hint="eastAsia"/>
            </w:rPr>
            <w:instrText xml:space="preserve"> HYPERLINK \l _Toc6230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4.2 </w:t>
          </w:r>
          <w:r>
            <w:rPr>
              <w:rFonts w:hint="eastAsia"/>
              <w:lang w:val="en-US" w:eastAsia="zh-CN"/>
            </w:rPr>
            <w:t>包装材料</w:t>
          </w:r>
          <w:r>
            <w:tab/>
          </w:r>
          <w:r>
            <w:fldChar w:fldCharType="begin"/>
          </w:r>
          <w:r>
            <w:instrText xml:space="preserve"> PAGEREF _Toc6230 \h </w:instrText>
          </w:r>
          <w:r>
            <w:fldChar w:fldCharType="separate"/>
          </w:r>
          <w:r>
            <w:t>2</w:t>
          </w:r>
          <w:r>
            <w:fldChar w:fldCharType="end"/>
          </w:r>
          <w:r>
            <w:rPr>
              <w:rFonts w:hint="eastAsia"/>
            </w:rPr>
            <w:fldChar w:fldCharType="end"/>
          </w:r>
        </w:p>
        <w:p w14:paraId="2AD83A2F">
          <w:pPr>
            <w:pStyle w:val="6"/>
            <w:tabs>
              <w:tab w:val="right" w:leader="dot" w:pos="8306"/>
            </w:tabs>
          </w:pPr>
          <w:r>
            <w:rPr>
              <w:rFonts w:hint="eastAsia"/>
            </w:rPr>
            <w:fldChar w:fldCharType="begin"/>
          </w:r>
          <w:r>
            <w:rPr>
              <w:rFonts w:hint="eastAsia"/>
            </w:rPr>
            <w:instrText xml:space="preserve"> HYPERLINK \l _Toc27192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4.3 </w:t>
          </w:r>
          <w:r>
            <w:rPr>
              <w:rFonts w:hint="eastAsia"/>
              <w:lang w:val="en-US" w:eastAsia="zh-CN"/>
            </w:rPr>
            <w:t>包装规格</w:t>
          </w:r>
          <w:r>
            <w:tab/>
          </w:r>
          <w:r>
            <w:fldChar w:fldCharType="begin"/>
          </w:r>
          <w:r>
            <w:instrText xml:space="preserve"> PAGEREF _Toc27192 \h </w:instrText>
          </w:r>
          <w:r>
            <w:fldChar w:fldCharType="separate"/>
          </w:r>
          <w:r>
            <w:t>2</w:t>
          </w:r>
          <w:r>
            <w:fldChar w:fldCharType="end"/>
          </w:r>
          <w:r>
            <w:rPr>
              <w:rFonts w:hint="eastAsia"/>
            </w:rPr>
            <w:fldChar w:fldCharType="end"/>
          </w:r>
        </w:p>
        <w:p w14:paraId="45CBFE3B">
          <w:pPr>
            <w:pStyle w:val="6"/>
            <w:tabs>
              <w:tab w:val="right" w:leader="dot" w:pos="8306"/>
            </w:tabs>
          </w:pPr>
          <w:r>
            <w:rPr>
              <w:rFonts w:hint="eastAsia"/>
            </w:rPr>
            <w:fldChar w:fldCharType="begin"/>
          </w:r>
          <w:r>
            <w:rPr>
              <w:rFonts w:hint="eastAsia"/>
            </w:rPr>
            <w:instrText xml:space="preserve"> HYPERLINK \l _Toc3168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4.4 </w:t>
          </w:r>
          <w:r>
            <w:rPr>
              <w:rFonts w:hint="eastAsia"/>
              <w:lang w:val="en-US" w:eastAsia="zh-CN"/>
            </w:rPr>
            <w:t>包装形式</w:t>
          </w:r>
          <w:r>
            <w:tab/>
          </w:r>
          <w:r>
            <w:fldChar w:fldCharType="begin"/>
          </w:r>
          <w:r>
            <w:instrText xml:space="preserve"> PAGEREF _Toc3168 \h </w:instrText>
          </w:r>
          <w:r>
            <w:fldChar w:fldCharType="separate"/>
          </w:r>
          <w:r>
            <w:t>6</w:t>
          </w:r>
          <w:r>
            <w:fldChar w:fldCharType="end"/>
          </w:r>
          <w:r>
            <w:rPr>
              <w:rFonts w:hint="eastAsia"/>
            </w:rPr>
            <w:fldChar w:fldCharType="end"/>
          </w:r>
        </w:p>
        <w:p w14:paraId="3010AD1B">
          <w:pPr>
            <w:pStyle w:val="6"/>
            <w:tabs>
              <w:tab w:val="right" w:leader="dot" w:pos="8306"/>
            </w:tabs>
          </w:pPr>
          <w:r>
            <w:rPr>
              <w:rFonts w:hint="eastAsia"/>
            </w:rPr>
            <w:fldChar w:fldCharType="begin"/>
          </w:r>
          <w:r>
            <w:rPr>
              <w:rFonts w:hint="eastAsia"/>
            </w:rPr>
            <w:instrText xml:space="preserve"> HYPERLINK \l _Toc29166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4.5 </w:t>
          </w:r>
          <w:r>
            <w:rPr>
              <w:rFonts w:hint="eastAsia"/>
              <w:lang w:val="en-US" w:eastAsia="zh-CN"/>
            </w:rPr>
            <w:t>包装工艺要求</w:t>
          </w:r>
          <w:r>
            <w:tab/>
          </w:r>
          <w:r>
            <w:fldChar w:fldCharType="begin"/>
          </w:r>
          <w:r>
            <w:instrText xml:space="preserve"> PAGEREF _Toc29166 \h </w:instrText>
          </w:r>
          <w:r>
            <w:fldChar w:fldCharType="separate"/>
          </w:r>
          <w:r>
            <w:t>7</w:t>
          </w:r>
          <w:r>
            <w:fldChar w:fldCharType="end"/>
          </w:r>
          <w:r>
            <w:rPr>
              <w:rFonts w:hint="eastAsia"/>
            </w:rPr>
            <w:fldChar w:fldCharType="end"/>
          </w:r>
        </w:p>
        <w:p w14:paraId="6104BCA3">
          <w:pPr>
            <w:pStyle w:val="5"/>
            <w:tabs>
              <w:tab w:val="right" w:leader="dot" w:pos="8306"/>
            </w:tabs>
          </w:pPr>
          <w:r>
            <w:rPr>
              <w:rFonts w:hint="eastAsia"/>
            </w:rPr>
            <w:fldChar w:fldCharType="begin"/>
          </w:r>
          <w:r>
            <w:rPr>
              <w:rFonts w:hint="eastAsia"/>
            </w:rPr>
            <w:instrText xml:space="preserve"> HYPERLINK \l _Toc25316 </w:instrText>
          </w:r>
          <w:r>
            <w:rPr>
              <w:rFonts w:hint="eastAsia"/>
            </w:rPr>
            <w:fldChar w:fldCharType="separate"/>
          </w:r>
          <w:r>
            <w:rPr>
              <w:rFonts w:hint="eastAsia" w:ascii="黑体" w:eastAsia="黑体"/>
              <w:i w:val="0"/>
            </w:rPr>
            <w:t xml:space="preserve">5 </w:t>
          </w:r>
          <w:r>
            <w:rPr>
              <w:rFonts w:hint="eastAsia"/>
            </w:rPr>
            <w:t>标识</w:t>
          </w:r>
          <w:r>
            <w:tab/>
          </w:r>
          <w:r>
            <w:fldChar w:fldCharType="begin"/>
          </w:r>
          <w:r>
            <w:instrText xml:space="preserve"> PAGEREF _Toc25316 \h </w:instrText>
          </w:r>
          <w:r>
            <w:fldChar w:fldCharType="separate"/>
          </w:r>
          <w:r>
            <w:t>7</w:t>
          </w:r>
          <w:r>
            <w:fldChar w:fldCharType="end"/>
          </w:r>
          <w:r>
            <w:rPr>
              <w:rFonts w:hint="eastAsia"/>
            </w:rPr>
            <w:fldChar w:fldCharType="end"/>
          </w:r>
        </w:p>
        <w:p w14:paraId="3F904594">
          <w:pPr>
            <w:pStyle w:val="6"/>
            <w:tabs>
              <w:tab w:val="right" w:leader="dot" w:pos="8306"/>
            </w:tabs>
          </w:pPr>
          <w:r>
            <w:rPr>
              <w:rFonts w:hint="eastAsia"/>
            </w:rPr>
            <w:fldChar w:fldCharType="begin"/>
          </w:r>
          <w:r>
            <w:rPr>
              <w:rFonts w:hint="eastAsia"/>
            </w:rPr>
            <w:instrText xml:space="preserve"> HYPERLINK \l _Toc23060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5.1 </w:t>
          </w:r>
          <w:r>
            <w:rPr>
              <w:rFonts w:hint="eastAsia"/>
              <w:lang w:val="en-US" w:eastAsia="zh-CN"/>
            </w:rPr>
            <w:t>基本标识</w:t>
          </w:r>
          <w:r>
            <w:tab/>
          </w:r>
          <w:r>
            <w:fldChar w:fldCharType="begin"/>
          </w:r>
          <w:r>
            <w:instrText xml:space="preserve"> PAGEREF _Toc23060 \h </w:instrText>
          </w:r>
          <w:r>
            <w:fldChar w:fldCharType="separate"/>
          </w:r>
          <w:r>
            <w:t>7</w:t>
          </w:r>
          <w:r>
            <w:fldChar w:fldCharType="end"/>
          </w:r>
          <w:r>
            <w:rPr>
              <w:rFonts w:hint="eastAsia"/>
            </w:rPr>
            <w:fldChar w:fldCharType="end"/>
          </w:r>
        </w:p>
        <w:p w14:paraId="02A257C6">
          <w:pPr>
            <w:pStyle w:val="6"/>
            <w:tabs>
              <w:tab w:val="right" w:leader="dot" w:pos="8306"/>
            </w:tabs>
          </w:pPr>
          <w:r>
            <w:rPr>
              <w:rFonts w:hint="eastAsia"/>
            </w:rPr>
            <w:fldChar w:fldCharType="begin"/>
          </w:r>
          <w:r>
            <w:rPr>
              <w:rFonts w:hint="eastAsia"/>
            </w:rPr>
            <w:instrText xml:space="preserve"> HYPERLINK \l _Toc18812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5.2 </w:t>
          </w:r>
          <w:r>
            <w:rPr>
              <w:rFonts w:hint="eastAsia"/>
              <w:lang w:val="en-US" w:eastAsia="zh-CN"/>
            </w:rPr>
            <w:t>品牌与溯源标识</w:t>
          </w:r>
          <w:r>
            <w:tab/>
          </w:r>
          <w:r>
            <w:fldChar w:fldCharType="begin"/>
          </w:r>
          <w:r>
            <w:instrText xml:space="preserve"> PAGEREF _Toc18812 \h </w:instrText>
          </w:r>
          <w:r>
            <w:fldChar w:fldCharType="separate"/>
          </w:r>
          <w:r>
            <w:t>7</w:t>
          </w:r>
          <w:r>
            <w:fldChar w:fldCharType="end"/>
          </w:r>
          <w:r>
            <w:rPr>
              <w:rFonts w:hint="eastAsia"/>
            </w:rPr>
            <w:fldChar w:fldCharType="end"/>
          </w:r>
        </w:p>
        <w:p w14:paraId="6D48C638">
          <w:pPr>
            <w:pStyle w:val="6"/>
            <w:tabs>
              <w:tab w:val="right" w:leader="dot" w:pos="8306"/>
            </w:tabs>
          </w:pPr>
          <w:r>
            <w:rPr>
              <w:rFonts w:hint="eastAsia"/>
            </w:rPr>
            <w:fldChar w:fldCharType="begin"/>
          </w:r>
          <w:r>
            <w:rPr>
              <w:rFonts w:hint="eastAsia"/>
            </w:rPr>
            <w:instrText xml:space="preserve"> HYPERLINK \l _Toc8912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5.3 </w:t>
          </w:r>
          <w:r>
            <w:rPr>
              <w:rFonts w:hint="eastAsia"/>
              <w:lang w:val="en-US" w:eastAsia="zh-CN"/>
            </w:rPr>
            <w:t>标识要求</w:t>
          </w:r>
          <w:r>
            <w:tab/>
          </w:r>
          <w:r>
            <w:fldChar w:fldCharType="begin"/>
          </w:r>
          <w:r>
            <w:instrText xml:space="preserve"> PAGEREF _Toc8912 \h </w:instrText>
          </w:r>
          <w:r>
            <w:fldChar w:fldCharType="separate"/>
          </w:r>
          <w:r>
            <w:t>7</w:t>
          </w:r>
          <w:r>
            <w:fldChar w:fldCharType="end"/>
          </w:r>
          <w:r>
            <w:rPr>
              <w:rFonts w:hint="eastAsia"/>
            </w:rPr>
            <w:fldChar w:fldCharType="end"/>
          </w:r>
        </w:p>
        <w:p w14:paraId="50806F6A">
          <w:pPr>
            <w:pStyle w:val="5"/>
            <w:tabs>
              <w:tab w:val="right" w:leader="dot" w:pos="8306"/>
            </w:tabs>
          </w:pPr>
          <w:r>
            <w:rPr>
              <w:rFonts w:hint="eastAsia"/>
            </w:rPr>
            <w:fldChar w:fldCharType="begin"/>
          </w:r>
          <w:r>
            <w:rPr>
              <w:rFonts w:hint="eastAsia"/>
            </w:rPr>
            <w:instrText xml:space="preserve"> HYPERLINK \l _Toc27873 </w:instrText>
          </w:r>
          <w:r>
            <w:rPr>
              <w:rFonts w:hint="eastAsia"/>
            </w:rPr>
            <w:fldChar w:fldCharType="separate"/>
          </w:r>
          <w:r>
            <w:rPr>
              <w:rFonts w:hint="eastAsia" w:ascii="黑体" w:eastAsia="黑体"/>
              <w:i w:val="0"/>
            </w:rPr>
            <w:t xml:space="preserve">6 </w:t>
          </w:r>
          <w:r>
            <w:rPr>
              <w:rFonts w:hint="eastAsia"/>
            </w:rPr>
            <w:t>运输</w:t>
          </w:r>
          <w:r>
            <w:tab/>
          </w:r>
          <w:r>
            <w:fldChar w:fldCharType="begin"/>
          </w:r>
          <w:r>
            <w:instrText xml:space="preserve"> PAGEREF _Toc27873 \h </w:instrText>
          </w:r>
          <w:r>
            <w:fldChar w:fldCharType="separate"/>
          </w:r>
          <w:r>
            <w:t>7</w:t>
          </w:r>
          <w:r>
            <w:fldChar w:fldCharType="end"/>
          </w:r>
          <w:r>
            <w:rPr>
              <w:rFonts w:hint="eastAsia"/>
            </w:rPr>
            <w:fldChar w:fldCharType="end"/>
          </w:r>
        </w:p>
        <w:p w14:paraId="383A9861">
          <w:pPr>
            <w:pStyle w:val="6"/>
            <w:tabs>
              <w:tab w:val="right" w:leader="dot" w:pos="8306"/>
            </w:tabs>
          </w:pPr>
          <w:r>
            <w:rPr>
              <w:rFonts w:hint="eastAsia"/>
            </w:rPr>
            <w:fldChar w:fldCharType="begin"/>
          </w:r>
          <w:r>
            <w:rPr>
              <w:rFonts w:hint="eastAsia"/>
            </w:rPr>
            <w:instrText xml:space="preserve"> HYPERLINK \l _Toc26229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6.1 </w:t>
          </w:r>
          <w:r>
            <w:rPr>
              <w:rFonts w:hint="eastAsia"/>
              <w:lang w:val="en-US" w:eastAsia="zh-CN"/>
            </w:rPr>
            <w:t>运输工具</w:t>
          </w:r>
          <w:r>
            <w:tab/>
          </w:r>
          <w:r>
            <w:fldChar w:fldCharType="begin"/>
          </w:r>
          <w:r>
            <w:instrText xml:space="preserve"> PAGEREF _Toc26229 \h </w:instrText>
          </w:r>
          <w:r>
            <w:fldChar w:fldCharType="separate"/>
          </w:r>
          <w:r>
            <w:t>7</w:t>
          </w:r>
          <w:r>
            <w:fldChar w:fldCharType="end"/>
          </w:r>
          <w:r>
            <w:rPr>
              <w:rFonts w:hint="eastAsia"/>
            </w:rPr>
            <w:fldChar w:fldCharType="end"/>
          </w:r>
        </w:p>
        <w:p w14:paraId="3C970342">
          <w:pPr>
            <w:pStyle w:val="5"/>
            <w:tabs>
              <w:tab w:val="right" w:leader="dot" w:pos="8306"/>
            </w:tabs>
          </w:pPr>
          <w:r>
            <w:rPr>
              <w:rFonts w:hint="eastAsia"/>
            </w:rPr>
            <w:fldChar w:fldCharType="begin"/>
          </w:r>
          <w:r>
            <w:rPr>
              <w:rFonts w:hint="eastAsia"/>
            </w:rPr>
            <w:instrText xml:space="preserve"> HYPERLINK \l _Toc9363 </w:instrText>
          </w:r>
          <w:r>
            <w:rPr>
              <w:rFonts w:hint="eastAsia"/>
            </w:rPr>
            <w:fldChar w:fldCharType="separate"/>
          </w:r>
          <w:r>
            <w:rPr>
              <w:rFonts w:hint="eastAsia" w:ascii="黑体" w:eastAsia="黑体"/>
              <w:i w:val="0"/>
            </w:rPr>
            <w:t xml:space="preserve">7 </w:t>
          </w:r>
          <w:r>
            <w:rPr>
              <w:rFonts w:hint="eastAsia"/>
            </w:rPr>
            <w:t>贮存</w:t>
          </w:r>
          <w:r>
            <w:tab/>
          </w:r>
          <w:r>
            <w:fldChar w:fldCharType="begin"/>
          </w:r>
          <w:r>
            <w:instrText xml:space="preserve"> PAGEREF _Toc9363 \h </w:instrText>
          </w:r>
          <w:r>
            <w:fldChar w:fldCharType="separate"/>
          </w:r>
          <w:r>
            <w:t>8</w:t>
          </w:r>
          <w:r>
            <w:fldChar w:fldCharType="end"/>
          </w:r>
          <w:r>
            <w:rPr>
              <w:rFonts w:hint="eastAsia"/>
            </w:rPr>
            <w:fldChar w:fldCharType="end"/>
          </w:r>
        </w:p>
        <w:p w14:paraId="3001FA47">
          <w:pPr>
            <w:pStyle w:val="6"/>
            <w:tabs>
              <w:tab w:val="right" w:leader="dot" w:pos="8306"/>
            </w:tabs>
          </w:pPr>
          <w:r>
            <w:rPr>
              <w:rFonts w:hint="eastAsia"/>
            </w:rPr>
            <w:fldChar w:fldCharType="begin"/>
          </w:r>
          <w:r>
            <w:rPr>
              <w:rFonts w:hint="eastAsia"/>
            </w:rPr>
            <w:instrText xml:space="preserve"> HYPERLINK \l _Toc4885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7.1 </w:t>
          </w:r>
          <w:r>
            <w:rPr>
              <w:rFonts w:hint="eastAsia"/>
              <w:lang w:val="en-US" w:eastAsia="zh-CN"/>
            </w:rPr>
            <w:t>预冷处理</w:t>
          </w:r>
          <w:r>
            <w:tab/>
          </w:r>
          <w:r>
            <w:fldChar w:fldCharType="begin"/>
          </w:r>
          <w:r>
            <w:instrText xml:space="preserve"> PAGEREF _Toc4885 \h </w:instrText>
          </w:r>
          <w:r>
            <w:fldChar w:fldCharType="separate"/>
          </w:r>
          <w:r>
            <w:t>8</w:t>
          </w:r>
          <w:r>
            <w:fldChar w:fldCharType="end"/>
          </w:r>
          <w:r>
            <w:rPr>
              <w:rFonts w:hint="eastAsia"/>
            </w:rPr>
            <w:fldChar w:fldCharType="end"/>
          </w:r>
        </w:p>
        <w:p w14:paraId="30CD8551">
          <w:pPr>
            <w:pStyle w:val="6"/>
            <w:tabs>
              <w:tab w:val="right" w:leader="dot" w:pos="8306"/>
            </w:tabs>
          </w:pPr>
          <w:r>
            <w:rPr>
              <w:rFonts w:hint="eastAsia"/>
            </w:rPr>
            <w:fldChar w:fldCharType="begin"/>
          </w:r>
          <w:r>
            <w:rPr>
              <w:rFonts w:hint="eastAsia"/>
            </w:rPr>
            <w:instrText xml:space="preserve"> HYPERLINK \l _Toc4264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7.2 </w:t>
          </w:r>
          <w:r>
            <w:rPr>
              <w:rFonts w:hint="eastAsia"/>
              <w:lang w:val="en-US" w:eastAsia="zh-CN"/>
            </w:rPr>
            <w:t>冷库贮存</w:t>
          </w:r>
          <w:r>
            <w:tab/>
          </w:r>
          <w:r>
            <w:fldChar w:fldCharType="begin"/>
          </w:r>
          <w:r>
            <w:instrText xml:space="preserve"> PAGEREF _Toc4264 \h </w:instrText>
          </w:r>
          <w:r>
            <w:fldChar w:fldCharType="separate"/>
          </w:r>
          <w:r>
            <w:t>8</w:t>
          </w:r>
          <w:r>
            <w:fldChar w:fldCharType="end"/>
          </w:r>
          <w:r>
            <w:rPr>
              <w:rFonts w:hint="eastAsia"/>
            </w:rPr>
            <w:fldChar w:fldCharType="end"/>
          </w:r>
        </w:p>
        <w:p w14:paraId="10794609">
          <w:pPr>
            <w:pStyle w:val="6"/>
            <w:tabs>
              <w:tab w:val="right" w:leader="dot" w:pos="8306"/>
            </w:tabs>
          </w:pPr>
          <w:r>
            <w:rPr>
              <w:rFonts w:hint="eastAsia"/>
            </w:rPr>
            <w:fldChar w:fldCharType="begin"/>
          </w:r>
          <w:r>
            <w:rPr>
              <w:rFonts w:hint="eastAsia"/>
            </w:rPr>
            <w:instrText xml:space="preserve"> HYPERLINK \l _Toc12696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7.3 </w:t>
          </w:r>
          <w:r>
            <w:rPr>
              <w:rFonts w:hint="eastAsia"/>
              <w:lang w:val="en-US" w:eastAsia="zh-CN"/>
            </w:rPr>
            <w:t>临时贮存</w:t>
          </w:r>
          <w:r>
            <w:tab/>
          </w:r>
          <w:r>
            <w:fldChar w:fldCharType="begin"/>
          </w:r>
          <w:r>
            <w:instrText xml:space="preserve"> PAGEREF _Toc12696 \h </w:instrText>
          </w:r>
          <w:r>
            <w:fldChar w:fldCharType="separate"/>
          </w:r>
          <w:r>
            <w:t>8</w:t>
          </w:r>
          <w:r>
            <w:fldChar w:fldCharType="end"/>
          </w:r>
          <w:r>
            <w:rPr>
              <w:rFonts w:hint="eastAsia"/>
            </w:rPr>
            <w:fldChar w:fldCharType="end"/>
          </w:r>
        </w:p>
        <w:p w14:paraId="0B1CCFD5">
          <w:pPr>
            <w:pStyle w:val="5"/>
            <w:tabs>
              <w:tab w:val="right" w:leader="dot" w:pos="8306"/>
            </w:tabs>
          </w:pPr>
          <w:r>
            <w:rPr>
              <w:rFonts w:hint="eastAsia"/>
            </w:rPr>
            <w:fldChar w:fldCharType="begin"/>
          </w:r>
          <w:r>
            <w:rPr>
              <w:rFonts w:hint="eastAsia"/>
            </w:rPr>
            <w:instrText xml:space="preserve"> HYPERLINK \l _Toc25349 </w:instrText>
          </w:r>
          <w:r>
            <w:rPr>
              <w:rFonts w:hint="eastAsia"/>
            </w:rPr>
            <w:fldChar w:fldCharType="separate"/>
          </w:r>
          <w:r>
            <w:rPr>
              <w:rFonts w:hint="eastAsia" w:ascii="黑体" w:eastAsia="黑体"/>
              <w:i w:val="0"/>
            </w:rPr>
            <w:t xml:space="preserve">8 </w:t>
          </w:r>
          <w:r>
            <w:rPr>
              <w:rFonts w:hint="eastAsia"/>
            </w:rPr>
            <w:t>销售</w:t>
          </w:r>
          <w:r>
            <w:tab/>
          </w:r>
          <w:r>
            <w:fldChar w:fldCharType="begin"/>
          </w:r>
          <w:r>
            <w:instrText xml:space="preserve"> PAGEREF _Toc25349 \h </w:instrText>
          </w:r>
          <w:r>
            <w:fldChar w:fldCharType="separate"/>
          </w:r>
          <w:r>
            <w:t>8</w:t>
          </w:r>
          <w:r>
            <w:fldChar w:fldCharType="end"/>
          </w:r>
          <w:r>
            <w:rPr>
              <w:rFonts w:hint="eastAsia"/>
            </w:rPr>
            <w:fldChar w:fldCharType="end"/>
          </w:r>
        </w:p>
        <w:p w14:paraId="468986C9">
          <w:pPr>
            <w:pStyle w:val="6"/>
            <w:tabs>
              <w:tab w:val="right" w:leader="dot" w:pos="8306"/>
            </w:tabs>
          </w:pPr>
          <w:r>
            <w:rPr>
              <w:rFonts w:hint="eastAsia"/>
            </w:rPr>
            <w:fldChar w:fldCharType="begin"/>
          </w:r>
          <w:r>
            <w:rPr>
              <w:rFonts w:hint="eastAsia"/>
            </w:rPr>
            <w:instrText xml:space="preserve"> HYPERLINK \l _Toc11896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8.1 </w:t>
          </w:r>
          <w:r>
            <w:rPr>
              <w:rFonts w:hint="eastAsia"/>
              <w:lang w:val="en-US" w:eastAsia="zh-CN"/>
            </w:rPr>
            <w:t>销售渠道</w:t>
          </w:r>
          <w:r>
            <w:tab/>
          </w:r>
          <w:r>
            <w:fldChar w:fldCharType="begin"/>
          </w:r>
          <w:r>
            <w:instrText xml:space="preserve"> PAGEREF _Toc11896 \h </w:instrText>
          </w:r>
          <w:r>
            <w:fldChar w:fldCharType="separate"/>
          </w:r>
          <w:r>
            <w:t>8</w:t>
          </w:r>
          <w:r>
            <w:fldChar w:fldCharType="end"/>
          </w:r>
          <w:r>
            <w:rPr>
              <w:rFonts w:hint="eastAsia"/>
            </w:rPr>
            <w:fldChar w:fldCharType="end"/>
          </w:r>
        </w:p>
        <w:p w14:paraId="23A03A3D">
          <w:pPr>
            <w:pStyle w:val="6"/>
            <w:tabs>
              <w:tab w:val="right" w:leader="dot" w:pos="8306"/>
            </w:tabs>
          </w:pPr>
          <w:r>
            <w:rPr>
              <w:rFonts w:hint="eastAsia"/>
            </w:rPr>
            <w:fldChar w:fldCharType="begin"/>
          </w:r>
          <w:r>
            <w:rPr>
              <w:rFonts w:hint="eastAsia"/>
            </w:rPr>
            <w:instrText xml:space="preserve"> HYPERLINK \l _Toc6044 </w:instrText>
          </w:r>
          <w:r>
            <w:rPr>
              <w:rFonts w:hint="eastAsia"/>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8.2 </w:t>
          </w:r>
          <w:r>
            <w:rPr>
              <w:rFonts w:hint="eastAsia"/>
              <w:lang w:val="en-US" w:eastAsia="zh-CN"/>
            </w:rPr>
            <w:t>售后服务</w:t>
          </w:r>
          <w:r>
            <w:tab/>
          </w:r>
          <w:r>
            <w:fldChar w:fldCharType="begin"/>
          </w:r>
          <w:r>
            <w:instrText xml:space="preserve"> PAGEREF _Toc6044 \h </w:instrText>
          </w:r>
          <w:r>
            <w:fldChar w:fldCharType="separate"/>
          </w:r>
          <w:r>
            <w:t>8</w:t>
          </w:r>
          <w:r>
            <w:fldChar w:fldCharType="end"/>
          </w:r>
          <w:r>
            <w:rPr>
              <w:rFonts w:hint="eastAsia"/>
            </w:rPr>
            <w:fldChar w:fldCharType="end"/>
          </w:r>
        </w:p>
        <w:p w14:paraId="761FA8C3">
          <w:pPr>
            <w:pStyle w:val="5"/>
            <w:tabs>
              <w:tab w:val="right" w:leader="dot" w:pos="8306"/>
            </w:tabs>
          </w:pPr>
          <w:r>
            <w:rPr>
              <w:rFonts w:hint="eastAsia"/>
            </w:rPr>
            <w:fldChar w:fldCharType="begin"/>
          </w:r>
          <w:r>
            <w:rPr>
              <w:rFonts w:hint="eastAsia"/>
            </w:rPr>
            <w:instrText xml:space="preserve"> HYPERLINK \l _Toc31140 </w:instrText>
          </w:r>
          <w:r>
            <w:rPr>
              <w:rFonts w:hint="eastAsia"/>
            </w:rPr>
            <w:fldChar w:fldCharType="separate"/>
          </w:r>
          <w:r>
            <w:rPr>
              <w:rFonts w:hint="eastAsia" w:ascii="黑体" w:eastAsia="黑体"/>
              <w:i w:val="0"/>
            </w:rPr>
            <w:t xml:space="preserve">9 </w:t>
          </w:r>
          <w:r>
            <w:rPr>
              <w:rFonts w:hint="eastAsia"/>
            </w:rPr>
            <w:t>记录和文件管理</w:t>
          </w:r>
          <w:r>
            <w:tab/>
          </w:r>
          <w:r>
            <w:fldChar w:fldCharType="begin"/>
          </w:r>
          <w:r>
            <w:instrText xml:space="preserve"> PAGEREF _Toc31140 \h </w:instrText>
          </w:r>
          <w:r>
            <w:fldChar w:fldCharType="separate"/>
          </w:r>
          <w:r>
            <w:t>8</w:t>
          </w:r>
          <w:r>
            <w:fldChar w:fldCharType="end"/>
          </w:r>
          <w:r>
            <w:rPr>
              <w:rFonts w:hint="eastAsia"/>
            </w:rPr>
            <w:fldChar w:fldCharType="end"/>
          </w:r>
        </w:p>
        <w:p w14:paraId="507CF6E5">
          <w:pPr>
            <w:pStyle w:val="5"/>
            <w:tabs>
              <w:tab w:val="right" w:leader="dot" w:pos="8306"/>
            </w:tabs>
          </w:pPr>
          <w:r>
            <w:rPr>
              <w:rFonts w:hint="eastAsia"/>
            </w:rPr>
            <w:fldChar w:fldCharType="begin"/>
          </w:r>
          <w:r>
            <w:rPr>
              <w:rFonts w:hint="eastAsia"/>
            </w:rPr>
            <w:instrText xml:space="preserve"> HYPERLINK \l _Toc15204 </w:instrText>
          </w:r>
          <w:r>
            <w:rPr>
              <w:rFonts w:hint="eastAsia"/>
            </w:rPr>
            <w:fldChar w:fldCharType="separate"/>
          </w:r>
          <w:r>
            <w:rPr>
              <w:rFonts w:hint="eastAsia" w:ascii="黑体" w:eastAsia="黑体"/>
              <w:i w:val="0"/>
            </w:rPr>
            <w:t xml:space="preserve">10 </w:t>
          </w:r>
          <w:r>
            <w:rPr>
              <w:rFonts w:hint="eastAsia"/>
            </w:rPr>
            <w:t>销售服务</w:t>
          </w:r>
          <w:r>
            <w:tab/>
          </w:r>
          <w:r>
            <w:fldChar w:fldCharType="begin"/>
          </w:r>
          <w:r>
            <w:instrText xml:space="preserve"> PAGEREF _Toc15204 \h </w:instrText>
          </w:r>
          <w:r>
            <w:fldChar w:fldCharType="separate"/>
          </w:r>
          <w:r>
            <w:t>9</w:t>
          </w:r>
          <w:r>
            <w:fldChar w:fldCharType="end"/>
          </w:r>
          <w:r>
            <w:rPr>
              <w:rFonts w:hint="eastAsia"/>
            </w:rPr>
            <w:fldChar w:fldCharType="end"/>
          </w:r>
        </w:p>
        <w:p w14:paraId="1AACFEE8">
          <w:pPr>
            <w:pStyle w:val="11"/>
            <w:spacing w:line="240" w:lineRule="auto"/>
            <w:ind w:left="0" w:leftChars="0" w:firstLine="0" w:firstLineChars="0"/>
            <w:rPr>
              <w:rFonts w:hint="eastAsia" w:ascii="宋体" w:hAnsi="Times New Roman" w:eastAsia="宋体" w:cs="Times New Roman"/>
              <w:sz w:val="21"/>
              <w:lang w:val="en-US" w:eastAsia="zh-CN" w:bidi="ar-SA"/>
            </w:rPr>
          </w:pPr>
          <w:r>
            <w:rPr>
              <w:rFonts w:hint="eastAsia"/>
            </w:rPr>
            <w:fldChar w:fldCharType="end"/>
          </w:r>
        </w:p>
      </w:sdtContent>
    </w:sdt>
    <w:p w14:paraId="5BD177F7">
      <w:pPr>
        <w:pStyle w:val="11"/>
        <w:spacing w:line="240" w:lineRule="auto"/>
        <w:ind w:left="0" w:leftChars="0" w:firstLine="0" w:firstLineChars="0"/>
        <w:rPr>
          <w:rFonts w:hint="eastAsia" w:ascii="宋体" w:hAnsi="Times New Roman" w:eastAsia="宋体" w:cs="Times New Roman"/>
          <w:sz w:val="21"/>
          <w:lang w:val="en-US" w:eastAsia="zh-CN" w:bidi="ar-SA"/>
        </w:rPr>
      </w:pPr>
    </w:p>
    <w:p w14:paraId="155868B0">
      <w:pPr>
        <w:pStyle w:val="12"/>
        <w:spacing w:before="2" w:beforeLines="1" w:after="528" w:afterLines="220"/>
        <w:rPr>
          <w:rFonts w:hint="eastAsia"/>
        </w:rPr>
        <w:sectPr>
          <w:headerReference r:id="rId5" w:type="default"/>
          <w:footerReference r:id="rId6" w:type="default"/>
          <w:pgSz w:w="11906" w:h="16838"/>
          <w:pgMar w:top="1440" w:right="1800" w:bottom="1440" w:left="1800" w:header="851" w:footer="992" w:gutter="0"/>
          <w:pgNumType w:fmt="upperRoman" w:start="1"/>
          <w:cols w:space="425" w:num="1"/>
          <w:docGrid w:type="lines" w:linePitch="312" w:charSpace="0"/>
        </w:sectPr>
      </w:pPr>
    </w:p>
    <w:p w14:paraId="1980912B">
      <w:pPr>
        <w:pStyle w:val="12"/>
        <w:spacing w:before="2" w:beforeLines="1" w:after="528" w:afterLines="220"/>
        <w:rPr>
          <w:rFonts w:hint="eastAsia"/>
        </w:rPr>
      </w:pPr>
      <w:r>
        <w:rPr>
          <w:rFonts w:hint="eastAsia"/>
        </w:rPr>
        <w:t>大宁宁粹苹果品牌包装标准</w:t>
      </w:r>
    </w:p>
    <w:p w14:paraId="6FEAB5A6">
      <w:pPr>
        <w:pStyle w:val="13"/>
        <w:spacing w:before="240" w:after="240"/>
        <w:rPr>
          <w:rFonts w:hint="eastAsia"/>
        </w:rPr>
      </w:pPr>
      <w:bookmarkStart w:id="2" w:name="_Toc1123"/>
      <w:r>
        <w:rPr>
          <w:rFonts w:hint="eastAsia"/>
        </w:rPr>
        <w:t>范围</w:t>
      </w:r>
      <w:bookmarkEnd w:id="2"/>
    </w:p>
    <w:p w14:paraId="026D0987">
      <w:pPr>
        <w:pStyle w:val="11"/>
        <w:ind w:firstLine="420"/>
        <w:rPr>
          <w:rFonts w:hint="eastAsia"/>
        </w:rPr>
      </w:pPr>
      <w:r>
        <w:rPr>
          <w:rFonts w:hint="eastAsia"/>
        </w:rPr>
        <w:t>本文件规定了大宁宁粹苹果品牌包装的技术要求、包装材料、包装规格、包装形式、标识、运输、贮存、销售及记录管理等要求。</w:t>
      </w:r>
    </w:p>
    <w:p w14:paraId="404B1735">
      <w:pPr>
        <w:pStyle w:val="11"/>
        <w:ind w:firstLine="420"/>
        <w:rPr>
          <w:rFonts w:hint="eastAsia"/>
        </w:rPr>
      </w:pPr>
      <w:r>
        <w:rPr>
          <w:rFonts w:hint="eastAsia"/>
        </w:rPr>
        <w:t>本文件适用于“大宁宁粹苹果”区域公用品牌鲜果的包装设计、生产、使用及相关环节，旨在保障产品质量安全、提升品牌形象、规范流通管理。</w:t>
      </w:r>
    </w:p>
    <w:p w14:paraId="67AC7346">
      <w:pPr>
        <w:pStyle w:val="13"/>
        <w:spacing w:before="240" w:after="240"/>
        <w:rPr>
          <w:rFonts w:hint="eastAsia"/>
        </w:rPr>
      </w:pPr>
      <w:bookmarkStart w:id="3" w:name="_Toc20354"/>
      <w:r>
        <w:rPr>
          <w:rFonts w:hint="eastAsia"/>
        </w:rPr>
        <w:t>规范性引用文件</w:t>
      </w:r>
      <w:bookmarkEnd w:id="3"/>
    </w:p>
    <w:p w14:paraId="75ACB8BA">
      <w:pPr>
        <w:pStyle w:val="11"/>
        <w:ind w:firstLine="420"/>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EFE8712">
      <w:pPr>
        <w:pStyle w:val="11"/>
        <w:ind w:firstLine="420"/>
        <w:rPr>
          <w:rFonts w:hint="eastAsia"/>
        </w:rPr>
      </w:pPr>
      <w:r>
        <w:rPr>
          <w:rFonts w:hint="eastAsia"/>
        </w:rPr>
        <w:t>GB 2762</w:t>
      </w:r>
      <w:r>
        <w:rPr>
          <w:rFonts w:hint="eastAsia"/>
          <w:lang w:val="en-US" w:eastAsia="zh-CN"/>
        </w:rPr>
        <w:t xml:space="preserve"> </w:t>
      </w:r>
      <w:r>
        <w:rPr>
          <w:rFonts w:hint="eastAsia"/>
        </w:rPr>
        <w:t>食品安全国家标准食品中污染物限量</w:t>
      </w:r>
    </w:p>
    <w:p w14:paraId="33BF9476">
      <w:pPr>
        <w:pStyle w:val="11"/>
        <w:ind w:firstLine="420"/>
        <w:rPr>
          <w:rFonts w:hint="eastAsia"/>
        </w:rPr>
      </w:pPr>
      <w:r>
        <w:rPr>
          <w:rFonts w:hint="eastAsia"/>
        </w:rPr>
        <w:t>GB 2763</w:t>
      </w:r>
      <w:r>
        <w:rPr>
          <w:rFonts w:hint="eastAsia"/>
          <w:lang w:val="en-US" w:eastAsia="zh-CN"/>
        </w:rPr>
        <w:t xml:space="preserve"> </w:t>
      </w:r>
      <w:r>
        <w:rPr>
          <w:rFonts w:hint="eastAsia"/>
        </w:rPr>
        <w:t>食品安全国家标准食品中农药最大残留限量</w:t>
      </w:r>
    </w:p>
    <w:p w14:paraId="32739F85">
      <w:pPr>
        <w:pStyle w:val="11"/>
        <w:ind w:firstLine="420"/>
        <w:rPr>
          <w:rFonts w:hint="eastAsia"/>
        </w:rPr>
      </w:pPr>
      <w:r>
        <w:rPr>
          <w:rFonts w:hint="eastAsia"/>
        </w:rPr>
        <w:t>GB 4806</w:t>
      </w:r>
      <w:r>
        <w:rPr>
          <w:rFonts w:hint="eastAsia"/>
          <w:lang w:val="en-US" w:eastAsia="zh-CN"/>
        </w:rPr>
        <w:t xml:space="preserve"> </w:t>
      </w:r>
      <w:r>
        <w:rPr>
          <w:rFonts w:hint="eastAsia"/>
        </w:rPr>
        <w:t>食品安全国家标准食品接触用塑料材料及制品</w:t>
      </w:r>
    </w:p>
    <w:p w14:paraId="2B6884AE">
      <w:pPr>
        <w:pStyle w:val="11"/>
        <w:ind w:firstLine="420"/>
        <w:rPr>
          <w:rFonts w:hint="eastAsia"/>
        </w:rPr>
      </w:pPr>
      <w:r>
        <w:rPr>
          <w:rFonts w:hint="eastAsia"/>
        </w:rPr>
        <w:t>GB/T 5737</w:t>
      </w:r>
      <w:r>
        <w:rPr>
          <w:rFonts w:hint="eastAsia"/>
          <w:lang w:val="en-US" w:eastAsia="zh-CN"/>
        </w:rPr>
        <w:t xml:space="preserve"> </w:t>
      </w:r>
      <w:r>
        <w:rPr>
          <w:rFonts w:hint="eastAsia"/>
        </w:rPr>
        <w:t>食品塑料周转箱</w:t>
      </w:r>
    </w:p>
    <w:p w14:paraId="5197E4B8">
      <w:pPr>
        <w:pStyle w:val="11"/>
        <w:ind w:firstLine="420"/>
        <w:rPr>
          <w:rFonts w:hint="eastAsia"/>
        </w:rPr>
      </w:pPr>
      <w:r>
        <w:rPr>
          <w:rFonts w:hint="eastAsia"/>
        </w:rPr>
        <w:t>GB/T 6543</w:t>
      </w:r>
      <w:r>
        <w:rPr>
          <w:rFonts w:hint="eastAsia"/>
          <w:lang w:val="en-US" w:eastAsia="zh-CN"/>
        </w:rPr>
        <w:t xml:space="preserve"> </w:t>
      </w:r>
      <w:r>
        <w:rPr>
          <w:rFonts w:hint="eastAsia"/>
        </w:rPr>
        <w:t>运输包装用单瓦楞纸箱和双瓦楞纸箱</w:t>
      </w:r>
    </w:p>
    <w:p w14:paraId="48CE209F">
      <w:pPr>
        <w:pStyle w:val="11"/>
        <w:ind w:firstLine="420"/>
        <w:rPr>
          <w:rFonts w:hint="eastAsia"/>
        </w:rPr>
      </w:pPr>
      <w:r>
        <w:rPr>
          <w:rFonts w:hint="eastAsia"/>
        </w:rPr>
        <w:t>GB/T 10651</w:t>
      </w:r>
      <w:r>
        <w:rPr>
          <w:rFonts w:hint="eastAsia"/>
          <w:lang w:val="en-US" w:eastAsia="zh-CN"/>
        </w:rPr>
        <w:t xml:space="preserve"> </w:t>
      </w:r>
      <w:r>
        <w:rPr>
          <w:rFonts w:hint="eastAsia"/>
        </w:rPr>
        <w:t>鲜苹果</w:t>
      </w:r>
    </w:p>
    <w:p w14:paraId="5981A9FD">
      <w:pPr>
        <w:pStyle w:val="11"/>
        <w:ind w:firstLine="420"/>
        <w:rPr>
          <w:rFonts w:hint="eastAsia"/>
        </w:rPr>
      </w:pPr>
      <w:r>
        <w:rPr>
          <w:rFonts w:hint="eastAsia"/>
        </w:rPr>
        <w:t>GB/T 16862</w:t>
      </w:r>
      <w:r>
        <w:rPr>
          <w:rFonts w:hint="eastAsia"/>
          <w:lang w:val="en-US" w:eastAsia="zh-CN"/>
        </w:rPr>
        <w:t xml:space="preserve"> </w:t>
      </w:r>
      <w:r>
        <w:rPr>
          <w:rFonts w:hint="eastAsia"/>
        </w:rPr>
        <w:t>鲜食水果冷藏技术</w:t>
      </w:r>
    </w:p>
    <w:p w14:paraId="479BD5BD">
      <w:pPr>
        <w:pStyle w:val="11"/>
        <w:ind w:firstLine="420"/>
        <w:rPr>
          <w:rFonts w:hint="eastAsia"/>
        </w:rPr>
      </w:pPr>
      <w:r>
        <w:rPr>
          <w:rFonts w:hint="eastAsia"/>
        </w:rPr>
        <w:t>GB/T 38741 水果和蔬菜气调贮藏技术规范</w:t>
      </w:r>
    </w:p>
    <w:p w14:paraId="2D4BC0F7">
      <w:pPr>
        <w:pStyle w:val="11"/>
        <w:ind w:firstLine="420"/>
        <w:rPr>
          <w:rFonts w:hint="eastAsia"/>
        </w:rPr>
      </w:pPr>
      <w:r>
        <w:rPr>
          <w:rFonts w:hint="eastAsia"/>
          <w:lang w:eastAsia="zh-CN"/>
        </w:rPr>
        <w:t>GB/T 191</w:t>
      </w:r>
      <w:r>
        <w:rPr>
          <w:rFonts w:hint="eastAsia"/>
        </w:rPr>
        <w:t xml:space="preserve"> 绿色食品包装通用准则</w:t>
      </w:r>
    </w:p>
    <w:p w14:paraId="2E90CF8C">
      <w:pPr>
        <w:pStyle w:val="11"/>
        <w:ind w:firstLine="420"/>
        <w:rPr>
          <w:rFonts w:hint="eastAsia"/>
        </w:rPr>
      </w:pPr>
      <w:r>
        <w:rPr>
          <w:rFonts w:hint="eastAsia"/>
          <w:lang w:eastAsia="zh-CN"/>
        </w:rPr>
        <w:t>GB 31605</w:t>
      </w:r>
      <w:r>
        <w:rPr>
          <w:rFonts w:hint="eastAsia"/>
        </w:rPr>
        <w:t xml:space="preserve"> 绿色食品贮藏运输准则</w:t>
      </w:r>
    </w:p>
    <w:p w14:paraId="6AA66C81">
      <w:pPr>
        <w:pStyle w:val="11"/>
        <w:ind w:firstLine="420"/>
        <w:rPr>
          <w:rFonts w:hint="eastAsia"/>
        </w:rPr>
      </w:pPr>
      <w:r>
        <w:rPr>
          <w:rFonts w:hint="eastAsia"/>
        </w:rPr>
        <w:t>T/DNNC 001-</w:t>
      </w:r>
      <w:r>
        <w:rPr>
          <w:rFonts w:hint="eastAsia"/>
          <w:lang w:eastAsia="zh-CN"/>
        </w:rPr>
        <w:t>2026</w:t>
      </w:r>
      <w:r>
        <w:rPr>
          <w:rFonts w:hint="eastAsia"/>
        </w:rPr>
        <w:t xml:space="preserve"> 大宁宁粹苹果商品分等分级标准</w:t>
      </w:r>
    </w:p>
    <w:p w14:paraId="23BEC962">
      <w:pPr>
        <w:pStyle w:val="13"/>
        <w:spacing w:before="240" w:after="240"/>
        <w:rPr>
          <w:rFonts w:hint="eastAsia"/>
        </w:rPr>
      </w:pPr>
      <w:bookmarkStart w:id="4" w:name="_Toc226"/>
      <w:r>
        <w:rPr>
          <w:rFonts w:hint="eastAsia"/>
        </w:rPr>
        <w:t>术语和定义</w:t>
      </w:r>
      <w:bookmarkEnd w:id="4"/>
    </w:p>
    <w:p w14:paraId="446C33A6">
      <w:pPr>
        <w:pStyle w:val="11"/>
        <w:ind w:firstLine="420"/>
        <w:rPr>
          <w:rFonts w:hint="eastAsia"/>
        </w:rPr>
      </w:pPr>
      <w:r>
        <w:rPr>
          <w:rFonts w:hint="eastAsia"/>
        </w:rPr>
        <w:t>下列术语和定义适用于本文件。</w:t>
      </w:r>
    </w:p>
    <w:p w14:paraId="471234EA">
      <w:pPr>
        <w:pStyle w:val="14"/>
        <w:spacing w:before="120" w:after="120"/>
        <w:rPr>
          <w:rFonts w:hint="eastAsia"/>
          <w:lang w:val="en-US" w:eastAsia="zh-CN"/>
        </w:rPr>
      </w:pPr>
      <w:bookmarkStart w:id="5" w:name="_Toc1340"/>
      <w:r>
        <w:rPr>
          <w:rFonts w:hint="eastAsia"/>
          <w:lang w:val="en-US" w:eastAsia="zh-CN"/>
        </w:rPr>
        <w:t>大宁宁粹苹果</w:t>
      </w:r>
      <w:bookmarkEnd w:id="5"/>
    </w:p>
    <w:p w14:paraId="34CD3936">
      <w:pPr>
        <w:pStyle w:val="11"/>
        <w:ind w:firstLine="420"/>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指在大宁县特定生态区域内，按照矮砧集约化等特定栽培技术种植，由西北农林科技大学“秦脆”品种嫁接山西农业大学矮化“SXND-1”砧穗培育而成的本土化优良品种，具有果形端正、色泽艳丽、酥脆多汁、风味浓郁等固有品质特征的苹果品种。</w:t>
      </w:r>
    </w:p>
    <w:p w14:paraId="4E0A3F94">
      <w:pPr>
        <w:pStyle w:val="14"/>
        <w:spacing w:before="120" w:after="120"/>
        <w:rPr>
          <w:rFonts w:hint="eastAsia"/>
          <w:lang w:val="en-US" w:eastAsia="zh-CN"/>
        </w:rPr>
      </w:pPr>
      <w:bookmarkStart w:id="6" w:name="_Toc31916"/>
      <w:r>
        <w:rPr>
          <w:rFonts w:hint="eastAsia"/>
          <w:lang w:val="en-US" w:eastAsia="zh-CN"/>
        </w:rPr>
        <w:t>区域品牌标识</w:t>
      </w:r>
      <w:bookmarkEnd w:id="6"/>
    </w:p>
    <w:p w14:paraId="6E384D11">
      <w:pPr>
        <w:pStyle w:val="11"/>
        <w:ind w:firstLine="420"/>
        <w:rPr>
          <w:rFonts w:hint="eastAsia"/>
        </w:rPr>
      </w:pPr>
      <w:r>
        <w:rPr>
          <w:rFonts w:hint="eastAsia"/>
        </w:rPr>
        <w:t>由大宁区域品牌管理机构认证发布，用于标识“大宁宁粹苹果”专属产地和品质的图形、文字组合标志（如包含“大宁宁粹”字样及地理元素的LOGO）。</w:t>
      </w:r>
    </w:p>
    <w:p w14:paraId="5BF29949">
      <w:pPr>
        <w:pStyle w:val="14"/>
        <w:spacing w:before="120" w:after="120"/>
        <w:rPr>
          <w:rFonts w:hint="eastAsia"/>
          <w:lang w:val="en-US" w:eastAsia="zh-CN"/>
        </w:rPr>
      </w:pPr>
      <w:bookmarkStart w:id="7" w:name="_Toc24333"/>
      <w:r>
        <w:rPr>
          <w:rFonts w:hint="eastAsia"/>
          <w:lang w:val="en-US" w:eastAsia="zh-CN"/>
        </w:rPr>
        <w:t>溯源标识</w:t>
      </w:r>
      <w:bookmarkEnd w:id="7"/>
    </w:p>
    <w:p w14:paraId="203B5B67">
      <w:pPr>
        <w:pStyle w:val="11"/>
        <w:ind w:firstLine="420"/>
        <w:rPr>
          <w:rFonts w:hint="eastAsia"/>
        </w:rPr>
      </w:pPr>
      <w:r>
        <w:rPr>
          <w:rFonts w:hint="eastAsia"/>
        </w:rPr>
        <w:t>包含大宁宁粹苹果种植、采收、检测、包装、流通等全链条信息的二维码或条形码，可通过扫描查询追溯数据。</w:t>
      </w:r>
    </w:p>
    <w:p w14:paraId="3BDCCDBB">
      <w:pPr>
        <w:pStyle w:val="14"/>
        <w:spacing w:before="120" w:after="120"/>
        <w:rPr>
          <w:rFonts w:hint="eastAsia"/>
          <w:lang w:val="en-US" w:eastAsia="zh-CN"/>
        </w:rPr>
      </w:pPr>
      <w:bookmarkStart w:id="8" w:name="_Toc6984"/>
      <w:r>
        <w:rPr>
          <w:rFonts w:hint="eastAsia"/>
          <w:lang w:val="en-US" w:eastAsia="zh-CN"/>
        </w:rPr>
        <w:t>内包装</w:t>
      </w:r>
      <w:bookmarkEnd w:id="8"/>
    </w:p>
    <w:p w14:paraId="4518DD70">
      <w:pPr>
        <w:pStyle w:val="11"/>
        <w:ind w:firstLine="420"/>
        <w:rPr>
          <w:rFonts w:hint="eastAsia"/>
        </w:rPr>
      </w:pPr>
      <w:r>
        <w:rPr>
          <w:rFonts w:hint="eastAsia"/>
        </w:rPr>
        <w:t>直接接触果实的包装材料或容器，用于保护果实、维持鲜度。</w:t>
      </w:r>
    </w:p>
    <w:p w14:paraId="3FA4AC72">
      <w:pPr>
        <w:pStyle w:val="14"/>
        <w:spacing w:before="120" w:after="120"/>
        <w:rPr>
          <w:rFonts w:hint="eastAsia"/>
          <w:lang w:val="en-US" w:eastAsia="zh-CN"/>
        </w:rPr>
      </w:pPr>
      <w:bookmarkStart w:id="9" w:name="_Toc17453"/>
      <w:r>
        <w:rPr>
          <w:rFonts w:hint="eastAsia"/>
          <w:lang w:val="en-US" w:eastAsia="zh-CN"/>
        </w:rPr>
        <w:t>外包装</w:t>
      </w:r>
      <w:bookmarkEnd w:id="9"/>
    </w:p>
    <w:p w14:paraId="3974FF01">
      <w:pPr>
        <w:pStyle w:val="11"/>
        <w:ind w:firstLine="420"/>
        <w:rPr>
          <w:rFonts w:hint="eastAsia"/>
        </w:rPr>
      </w:pPr>
      <w:r>
        <w:rPr>
          <w:rFonts w:hint="eastAsia"/>
        </w:rPr>
        <w:t>用于集中盛装内包装或裸果的容器，主要起运输保护、堆码及品牌展示作用。</w:t>
      </w:r>
    </w:p>
    <w:p w14:paraId="7CAFB00B">
      <w:pPr>
        <w:pStyle w:val="14"/>
        <w:spacing w:before="120" w:after="120"/>
        <w:rPr>
          <w:rFonts w:hint="eastAsia"/>
        </w:rPr>
      </w:pPr>
      <w:bookmarkStart w:id="10" w:name="_Toc22959"/>
      <w:r>
        <w:rPr>
          <w:rFonts w:hint="eastAsia"/>
          <w:lang w:val="en-US" w:eastAsia="zh-CN"/>
        </w:rPr>
        <w:t>商品质量基本要求</w:t>
      </w:r>
      <w:bookmarkEnd w:id="10"/>
    </w:p>
    <w:p w14:paraId="418CE522">
      <w:pPr>
        <w:pStyle w:val="11"/>
        <w:ind w:firstLine="420"/>
        <w:rPr>
          <w:rFonts w:hint="eastAsia"/>
        </w:rPr>
      </w:pPr>
      <w:r>
        <w:rPr>
          <w:rFonts w:hint="eastAsia"/>
        </w:rPr>
        <w:t>包装用大宁宁粹苹果应符合T/DNNC</w:t>
      </w:r>
      <w:r>
        <w:rPr>
          <w:rFonts w:hint="eastAsia"/>
          <w:lang w:val="en-US" w:eastAsia="zh-CN"/>
        </w:rPr>
        <w:t xml:space="preserve"> </w:t>
      </w:r>
      <w:r>
        <w:rPr>
          <w:rFonts w:hint="eastAsia"/>
        </w:rPr>
        <w:t>001-</w:t>
      </w:r>
      <w:r>
        <w:rPr>
          <w:rFonts w:hint="eastAsia"/>
          <w:lang w:eastAsia="zh-CN"/>
        </w:rPr>
        <w:t>2026</w:t>
      </w:r>
      <w:r>
        <w:rPr>
          <w:rFonts w:hint="eastAsia"/>
          <w:lang w:val="en-US" w:eastAsia="zh-CN"/>
        </w:rPr>
        <w:t xml:space="preserve"> </w:t>
      </w:r>
      <w:r>
        <w:rPr>
          <w:rFonts w:hint="eastAsia"/>
        </w:rPr>
        <w:t>中“商品质量基本要求”及相应等级的感官、理化和安全指标，具体包括：</w:t>
      </w:r>
    </w:p>
    <w:p w14:paraId="6DCD3265">
      <w:pPr>
        <w:pStyle w:val="11"/>
        <w:keepNext w:val="0"/>
        <w:keepLines w:val="0"/>
        <w:pageBreakBefore w:val="0"/>
        <w:widowControl/>
        <w:numPr>
          <w:ilvl w:val="0"/>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果实完整，无严重畸形、破损或腐烂；</w:t>
      </w:r>
    </w:p>
    <w:p w14:paraId="2E04DDA1">
      <w:pPr>
        <w:pStyle w:val="11"/>
        <w:keepNext w:val="0"/>
        <w:keepLines w:val="0"/>
        <w:pageBreakBefore w:val="0"/>
        <w:widowControl/>
        <w:numPr>
          <w:ilvl w:val="0"/>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色泽、风味符合品种固有特征，无异味；</w:t>
      </w:r>
    </w:p>
    <w:p w14:paraId="5F87CB07">
      <w:pPr>
        <w:pStyle w:val="11"/>
        <w:keepNext w:val="0"/>
        <w:keepLines w:val="0"/>
        <w:pageBreakBefore w:val="0"/>
        <w:widowControl/>
        <w:numPr>
          <w:ilvl w:val="0"/>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安全指标符合GB 2762</w:t>
      </w:r>
      <w:r>
        <w:rPr>
          <w:rFonts w:hint="eastAsia"/>
          <w:lang w:val="en-US" w:eastAsia="zh-CN"/>
        </w:rPr>
        <w:t xml:space="preserve"> </w:t>
      </w:r>
      <w:r>
        <w:rPr>
          <w:rFonts w:hint="eastAsia"/>
        </w:rPr>
        <w:t>、GB 2763</w:t>
      </w:r>
      <w:r>
        <w:rPr>
          <w:rFonts w:hint="eastAsia"/>
          <w:lang w:val="en-US" w:eastAsia="zh-CN"/>
        </w:rPr>
        <w:t xml:space="preserve"> </w:t>
      </w:r>
      <w:r>
        <w:rPr>
          <w:rFonts w:hint="eastAsia"/>
        </w:rPr>
        <w:t>的规定；</w:t>
      </w:r>
    </w:p>
    <w:p w14:paraId="089B355B">
      <w:pPr>
        <w:pStyle w:val="11"/>
        <w:keepNext w:val="0"/>
        <w:keepLines w:val="0"/>
        <w:pageBreakBefore w:val="0"/>
        <w:widowControl/>
        <w:numPr>
          <w:ilvl w:val="0"/>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已通过分级筛选，同批次果实大小、品质均匀一致。</w:t>
      </w:r>
    </w:p>
    <w:p w14:paraId="54968399">
      <w:pPr>
        <w:pStyle w:val="13"/>
        <w:spacing w:before="240" w:after="240"/>
        <w:rPr>
          <w:rFonts w:hint="eastAsia"/>
        </w:rPr>
      </w:pPr>
      <w:bookmarkStart w:id="11" w:name="_Toc11721"/>
      <w:r>
        <w:rPr>
          <w:rFonts w:hint="eastAsia"/>
        </w:rPr>
        <w:t>包装要求</w:t>
      </w:r>
      <w:bookmarkEnd w:id="11"/>
    </w:p>
    <w:p w14:paraId="4650D387">
      <w:pPr>
        <w:pStyle w:val="14"/>
        <w:spacing w:before="120" w:after="120"/>
        <w:rPr>
          <w:rFonts w:hint="eastAsia"/>
          <w:lang w:val="en-US" w:eastAsia="zh-CN"/>
        </w:rPr>
      </w:pPr>
      <w:bookmarkStart w:id="12" w:name="_Toc25608"/>
      <w:r>
        <w:rPr>
          <w:rFonts w:hint="eastAsia"/>
          <w:lang w:val="en-US" w:eastAsia="zh-CN"/>
        </w:rPr>
        <w:t>包装原则</w:t>
      </w:r>
      <w:bookmarkEnd w:id="12"/>
    </w:p>
    <w:p w14:paraId="4CD95902">
      <w:pPr>
        <w:pStyle w:val="11"/>
        <w:ind w:firstLine="420"/>
        <w:rPr>
          <w:rFonts w:hint="eastAsia"/>
        </w:rPr>
      </w:pPr>
      <w:r>
        <w:rPr>
          <w:rFonts w:hint="eastAsia"/>
        </w:rPr>
        <w:t>——安全性：包装材料及工艺应保障果实不受污染，符合食品接触材料要求；</w:t>
      </w:r>
    </w:p>
    <w:p w14:paraId="5AFEE9C5">
      <w:pPr>
        <w:pStyle w:val="11"/>
        <w:ind w:firstLine="420"/>
        <w:rPr>
          <w:rFonts w:hint="eastAsia"/>
        </w:rPr>
      </w:pPr>
      <w:r>
        <w:rPr>
          <w:rFonts w:hint="eastAsia"/>
        </w:rPr>
        <w:t>——保护性：能有效减少运输、贮存过程中的机械损伤（挤压、碰撞等），降低失水和品质劣变；</w:t>
      </w:r>
    </w:p>
    <w:p w14:paraId="1991A7C2">
      <w:pPr>
        <w:pStyle w:val="11"/>
        <w:ind w:firstLine="420"/>
        <w:rPr>
          <w:rFonts w:hint="eastAsia"/>
        </w:rPr>
      </w:pPr>
      <w:r>
        <w:rPr>
          <w:rFonts w:hint="eastAsia"/>
        </w:rPr>
        <w:t>——品牌性：体现“大宁宁粹苹果” 区域品牌特色，设计风格统一且具有辨识度；</w:t>
      </w:r>
    </w:p>
    <w:p w14:paraId="453F79D5">
      <w:pPr>
        <w:pStyle w:val="11"/>
        <w:ind w:firstLine="420"/>
        <w:rPr>
          <w:rFonts w:hint="eastAsia"/>
        </w:rPr>
      </w:pPr>
      <w:r>
        <w:rPr>
          <w:rFonts w:hint="eastAsia"/>
        </w:rPr>
        <w:t>——环保性：优先选用可降解、可回收的绿色包装材料，符合</w:t>
      </w:r>
      <w:r>
        <w:rPr>
          <w:rFonts w:hint="eastAsia"/>
          <w:lang w:eastAsia="zh-CN"/>
        </w:rPr>
        <w:t>GB/T 191</w:t>
      </w:r>
      <w:r>
        <w:rPr>
          <w:rFonts w:hint="eastAsia"/>
        </w:rPr>
        <w:t>的要求。</w:t>
      </w:r>
    </w:p>
    <w:p w14:paraId="0A0AD65B">
      <w:pPr>
        <w:pStyle w:val="14"/>
        <w:spacing w:before="120" w:after="120"/>
        <w:rPr>
          <w:rFonts w:hint="eastAsia"/>
          <w:lang w:val="en-US" w:eastAsia="zh-CN"/>
        </w:rPr>
      </w:pPr>
      <w:bookmarkStart w:id="13" w:name="_Toc6230"/>
      <w:r>
        <w:rPr>
          <w:rFonts w:hint="eastAsia"/>
          <w:lang w:val="en-US" w:eastAsia="zh-CN"/>
        </w:rPr>
        <w:t>包装材料</w:t>
      </w:r>
      <w:bookmarkEnd w:id="13"/>
    </w:p>
    <w:p w14:paraId="3D5153F4">
      <w:pPr>
        <w:pStyle w:val="15"/>
        <w:spacing w:before="120" w:after="120"/>
        <w:rPr>
          <w:rFonts w:hint="eastAsia"/>
        </w:rPr>
      </w:pPr>
      <w:r>
        <w:rPr>
          <w:rFonts w:hint="eastAsia"/>
        </w:rPr>
        <w:t>内包装材料</w:t>
      </w:r>
    </w:p>
    <w:p w14:paraId="5382BA23">
      <w:pPr>
        <w:pStyle w:val="11"/>
        <w:ind w:firstLine="420"/>
        <w:rPr>
          <w:rFonts w:hint="eastAsia"/>
        </w:rPr>
      </w:pPr>
      <w:r>
        <w:rPr>
          <w:rFonts w:hint="eastAsia"/>
        </w:rPr>
        <w:t>直接接触果实的材料应符合GB 4806.7</w:t>
      </w:r>
      <w:r>
        <w:rPr>
          <w:rFonts w:hint="eastAsia"/>
          <w:lang w:val="en-US" w:eastAsia="zh-CN"/>
        </w:rPr>
        <w:t xml:space="preserve"> </w:t>
      </w:r>
      <w:r>
        <w:rPr>
          <w:rFonts w:hint="eastAsia"/>
        </w:rPr>
        <w:t>的规定，选用无毒、无异味、透气性好的食品级材料，包括：</w:t>
      </w:r>
    </w:p>
    <w:p w14:paraId="7CB8874D">
      <w:pPr>
        <w:pStyle w:val="11"/>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网套：聚乙烯（PE）或纸质网套，用于缓冲防震，厚度≥0.02</w:t>
      </w:r>
      <w:r>
        <w:rPr>
          <w:rFonts w:hint="eastAsia"/>
          <w:lang w:val="en-US" w:eastAsia="zh-CN"/>
        </w:rPr>
        <w:t xml:space="preserve"> </w:t>
      </w:r>
      <w:r>
        <w:rPr>
          <w:rFonts w:hint="eastAsia"/>
        </w:rPr>
        <w:t>mm</w:t>
      </w:r>
      <w:r>
        <w:rPr>
          <w:rFonts w:hint="eastAsia"/>
          <w:lang w:eastAsia="zh-CN"/>
        </w:rPr>
        <w:t>；</w:t>
      </w:r>
    </w:p>
    <w:p w14:paraId="008CC966">
      <w:pPr>
        <w:pStyle w:val="11"/>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托盘：纸浆模塑托盘、吸塑托盘（PP材质），托盘凹槽尺寸与果实大小适配，深度≥果实高度的2/3；</w:t>
      </w:r>
    </w:p>
    <w:p w14:paraId="1CD36EBC">
      <w:pPr>
        <w:pStyle w:val="11"/>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薄膜袋：透气聚乙烯薄膜袋，厚度0.03</w:t>
      </w:r>
      <w:r>
        <w:rPr>
          <w:rFonts w:hint="eastAsia"/>
          <w:lang w:val="en-US" w:eastAsia="zh-CN"/>
        </w:rPr>
        <w:t xml:space="preserve"> </w:t>
      </w:r>
      <w:r>
        <w:rPr>
          <w:rFonts w:hint="eastAsia"/>
        </w:rPr>
        <w:t>mm—0.05</w:t>
      </w:r>
      <w:r>
        <w:rPr>
          <w:rFonts w:hint="eastAsia"/>
          <w:lang w:val="en-US" w:eastAsia="zh-CN"/>
        </w:rPr>
        <w:t xml:space="preserve"> </w:t>
      </w:r>
      <w:r>
        <w:rPr>
          <w:rFonts w:hint="eastAsia"/>
        </w:rPr>
        <w:t>mm，袋面应打孔（孔径3</w:t>
      </w:r>
      <w:r>
        <w:rPr>
          <w:rFonts w:hint="eastAsia"/>
          <w:lang w:val="en-US" w:eastAsia="zh-CN"/>
        </w:rPr>
        <w:t xml:space="preserve"> </w:t>
      </w:r>
      <w:r>
        <w:rPr>
          <w:rFonts w:hint="eastAsia"/>
        </w:rPr>
        <w:t>mm—5</w:t>
      </w:r>
      <w:r>
        <w:rPr>
          <w:rFonts w:hint="eastAsia"/>
          <w:lang w:val="en-US" w:eastAsia="zh-CN"/>
        </w:rPr>
        <w:t xml:space="preserve"> </w:t>
      </w:r>
      <w:r>
        <w:rPr>
          <w:rFonts w:hint="eastAsia"/>
        </w:rPr>
        <w:t>mm，每袋≥8个孔），用于保湿防结露。</w:t>
      </w:r>
    </w:p>
    <w:p w14:paraId="627A23A2">
      <w:pPr>
        <w:pStyle w:val="15"/>
        <w:spacing w:before="120" w:after="120"/>
        <w:rPr>
          <w:rFonts w:hint="eastAsia"/>
        </w:rPr>
      </w:pPr>
      <w:r>
        <w:rPr>
          <w:rFonts w:hint="eastAsia"/>
        </w:rPr>
        <w:t>外包装材料</w:t>
      </w:r>
    </w:p>
    <w:p w14:paraId="3FC6D2D4">
      <w:pPr>
        <w:pStyle w:val="11"/>
        <w:ind w:firstLine="420"/>
        <w:rPr>
          <w:rFonts w:hint="eastAsia"/>
        </w:rPr>
      </w:pPr>
      <w:r>
        <w:rPr>
          <w:rFonts w:hint="eastAsia"/>
        </w:rPr>
        <w:t>应具有足够强度和防潮性，包括：</w:t>
      </w:r>
    </w:p>
    <w:p w14:paraId="2A737F82">
      <w:pPr>
        <w:pStyle w:val="11"/>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瓦楞纸箱：符合GB/T</w:t>
      </w:r>
      <w:r>
        <w:rPr>
          <w:rFonts w:hint="eastAsia"/>
          <w:lang w:val="en-US" w:eastAsia="zh-CN"/>
        </w:rPr>
        <w:t xml:space="preserve"> </w:t>
      </w:r>
      <w:r>
        <w:rPr>
          <w:rFonts w:hint="eastAsia"/>
        </w:rPr>
        <w:t>6543</w:t>
      </w:r>
      <w:r>
        <w:rPr>
          <w:rFonts w:hint="eastAsia"/>
          <w:lang w:val="en-US" w:eastAsia="zh-CN"/>
        </w:rPr>
        <w:t xml:space="preserve"> </w:t>
      </w:r>
      <w:r>
        <w:rPr>
          <w:rFonts w:hint="eastAsia"/>
        </w:rPr>
        <w:t>的双瓦楞纸箱，耐破强度≥1500</w:t>
      </w:r>
      <w:r>
        <w:rPr>
          <w:rFonts w:hint="eastAsia"/>
          <w:lang w:val="en-US" w:eastAsia="zh-CN"/>
        </w:rPr>
        <w:t xml:space="preserve"> </w:t>
      </w:r>
      <w:r>
        <w:rPr>
          <w:rFonts w:hint="eastAsia"/>
        </w:rPr>
        <w:t>kPa，边压强度≥6000</w:t>
      </w:r>
      <w:r>
        <w:rPr>
          <w:rFonts w:hint="eastAsia"/>
          <w:lang w:val="en-US" w:eastAsia="zh-CN"/>
        </w:rPr>
        <w:t xml:space="preserve"> </w:t>
      </w:r>
      <w:r>
        <w:rPr>
          <w:rFonts w:hint="eastAsia"/>
        </w:rPr>
        <w:t>N/m，表面应覆防潮膜；</w:t>
      </w:r>
    </w:p>
    <w:p w14:paraId="4205AF09">
      <w:pPr>
        <w:pStyle w:val="11"/>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塑料周转箱：符合GB/T</w:t>
      </w:r>
      <w:r>
        <w:rPr>
          <w:rFonts w:hint="eastAsia"/>
          <w:lang w:val="en-US" w:eastAsia="zh-CN"/>
        </w:rPr>
        <w:t xml:space="preserve"> </w:t>
      </w:r>
      <w:r>
        <w:rPr>
          <w:rFonts w:hint="eastAsia"/>
        </w:rPr>
        <w:t>5737</w:t>
      </w:r>
      <w:r>
        <w:rPr>
          <w:rFonts w:hint="eastAsia"/>
          <w:lang w:val="en-US" w:eastAsia="zh-CN"/>
        </w:rPr>
        <w:t xml:space="preserve"> </w:t>
      </w:r>
      <w:r>
        <w:rPr>
          <w:rFonts w:hint="eastAsia"/>
        </w:rPr>
        <w:t>的高密度聚乙烯（HDPE）周转箱，抗冲击强度（-20℃）≥4</w:t>
      </w:r>
      <w:r>
        <w:rPr>
          <w:rFonts w:hint="eastAsia"/>
          <w:lang w:val="en-US" w:eastAsia="zh-CN"/>
        </w:rPr>
        <w:t xml:space="preserve"> </w:t>
      </w:r>
      <w:r>
        <w:rPr>
          <w:rFonts w:hint="eastAsia"/>
        </w:rPr>
        <w:t>kJ/m²，箱底承重≥50</w:t>
      </w:r>
      <w:r>
        <w:rPr>
          <w:rFonts w:hint="eastAsia"/>
          <w:lang w:val="en-US" w:eastAsia="zh-CN"/>
        </w:rPr>
        <w:t xml:space="preserve"> </w:t>
      </w:r>
      <w:r>
        <w:rPr>
          <w:rFonts w:hint="eastAsia"/>
        </w:rPr>
        <w:t>kg；</w:t>
      </w:r>
    </w:p>
    <w:p w14:paraId="3BF59180">
      <w:pPr>
        <w:pStyle w:val="11"/>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保温箱：用于冷链运输的EPS泡沫箱，厚度≥3</w:t>
      </w:r>
      <w:r>
        <w:rPr>
          <w:rFonts w:hint="eastAsia"/>
          <w:lang w:val="en-US" w:eastAsia="zh-CN"/>
        </w:rPr>
        <w:t xml:space="preserve"> </w:t>
      </w:r>
      <w:r>
        <w:rPr>
          <w:rFonts w:hint="eastAsia"/>
        </w:rPr>
        <w:t>cm，配合冰袋使用时应预留透气空间。</w:t>
      </w:r>
    </w:p>
    <w:p w14:paraId="7B240C78">
      <w:pPr>
        <w:pStyle w:val="14"/>
        <w:spacing w:before="120" w:after="120"/>
        <w:rPr>
          <w:rFonts w:hint="eastAsia"/>
          <w:lang w:val="en-US" w:eastAsia="zh-CN"/>
        </w:rPr>
      </w:pPr>
      <w:r>
        <w:rPr>
          <w:rFonts w:hint="eastAsia"/>
          <w:lang w:val="en-US" w:eastAsia="zh-CN"/>
        </w:rPr>
        <w:t xml:space="preserve"> </w:t>
      </w:r>
      <w:bookmarkStart w:id="14" w:name="_Toc27192"/>
      <w:r>
        <w:rPr>
          <w:rFonts w:hint="eastAsia"/>
          <w:lang w:val="en-US" w:eastAsia="zh-CN"/>
        </w:rPr>
        <w:t>包装规格</w:t>
      </w:r>
      <w:bookmarkEnd w:id="14"/>
    </w:p>
    <w:p w14:paraId="6224D749">
      <w:pPr>
        <w:pStyle w:val="15"/>
        <w:spacing w:before="120" w:after="120"/>
        <w:rPr>
          <w:rFonts w:hint="eastAsia"/>
        </w:rPr>
      </w:pPr>
      <w:r>
        <w:rPr>
          <w:rFonts w:hint="eastAsia"/>
        </w:rPr>
        <w:t>零售包装（小包装）</w:t>
      </w:r>
    </w:p>
    <w:p w14:paraId="5608CFE3">
      <w:pPr>
        <w:pStyle w:val="11"/>
        <w:ind w:firstLine="420"/>
        <w:rPr>
          <w:rFonts w:hint="eastAsia"/>
        </w:rPr>
      </w:pPr>
      <w:r>
        <w:rPr>
          <w:rFonts w:hint="eastAsia"/>
        </w:rPr>
        <w:t>适用于终端销售，规格应与果实等级匹配，包装样式参考如下：</w:t>
      </w:r>
    </w:p>
    <w:p w14:paraId="2BDE8E4D">
      <w:pPr>
        <w:rPr>
          <w:rFonts w:hint="eastAsia"/>
        </w:rPr>
      </w:pPr>
    </w:p>
    <w:p w14:paraId="2BAE385C">
      <w:pPr>
        <w:pStyle w:val="18"/>
        <w:tabs>
          <w:tab w:val="left" w:pos="0"/>
        </w:tabs>
        <w:spacing w:before="120" w:after="120"/>
        <w:rPr>
          <w:rFonts w:hint="eastAsia"/>
        </w:rPr>
      </w:pPr>
      <w:r>
        <w:rPr>
          <w:rFonts w:hint="eastAsia"/>
          <w:lang w:val="en-US" w:eastAsia="zh-CN"/>
        </w:rPr>
        <w:t>礼盒</w:t>
      </w:r>
      <w:r>
        <w:rPr>
          <w:rFonts w:hint="eastAsia"/>
        </w:rPr>
        <w:t>包装形式参考示例表</w:t>
      </w:r>
    </w:p>
    <w:p w14:paraId="0C8A9689">
      <w:pPr>
        <w:pStyle w:val="11"/>
        <w:ind w:left="0" w:leftChars="0" w:firstLine="0" w:firstLineChars="0"/>
        <w:rPr>
          <w:rFonts w:hint="eastAsia"/>
        </w:rPr>
      </w:pPr>
    </w:p>
    <w:p w14:paraId="4D7E79D4">
      <w:pPr>
        <w:spacing w:line="94" w:lineRule="exact"/>
      </w:pPr>
    </w:p>
    <w:tbl>
      <w:tblPr>
        <w:tblStyle w:val="17"/>
        <w:tblW w:w="83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4"/>
        <w:gridCol w:w="2068"/>
        <w:gridCol w:w="1768"/>
        <w:gridCol w:w="2925"/>
      </w:tblGrid>
      <w:tr w14:paraId="2AF1B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blHeader/>
        </w:trPr>
        <w:tc>
          <w:tcPr>
            <w:tcW w:w="1554" w:type="dxa"/>
            <w:tcBorders>
              <w:top w:val="single" w:color="auto" w:sz="4" w:space="0"/>
              <w:bottom w:val="single" w:color="auto" w:sz="4" w:space="0"/>
            </w:tcBorders>
            <w:vAlign w:val="center"/>
          </w:tcPr>
          <w:p w14:paraId="09B85A03">
            <w:pPr>
              <w:pStyle w:val="19"/>
              <w:jc w:val="center"/>
              <w:rPr>
                <w:rFonts w:hint="eastAsia"/>
                <w:lang w:eastAsia="zh-CN"/>
              </w:rPr>
            </w:pPr>
            <w:r>
              <w:rPr>
                <w:rFonts w:hint="eastAsia"/>
              </w:rPr>
              <w:t>包装规格（净含量</w:t>
            </w:r>
            <w:r>
              <w:rPr>
                <w:rFonts w:hint="eastAsia"/>
                <w:lang w:eastAsia="zh-CN"/>
              </w:rPr>
              <w:t>）</w:t>
            </w:r>
          </w:p>
        </w:tc>
        <w:tc>
          <w:tcPr>
            <w:tcW w:w="2068" w:type="dxa"/>
            <w:tcBorders>
              <w:top w:val="single" w:color="auto" w:sz="4" w:space="0"/>
              <w:bottom w:val="single" w:color="auto" w:sz="4" w:space="0"/>
            </w:tcBorders>
            <w:vAlign w:val="center"/>
          </w:tcPr>
          <w:p w14:paraId="2C606ACF">
            <w:pPr>
              <w:pStyle w:val="19"/>
              <w:jc w:val="center"/>
              <w:rPr>
                <w:rFonts w:hint="eastAsia"/>
              </w:rPr>
            </w:pPr>
            <w:r>
              <w:rPr>
                <w:rFonts w:hint="eastAsia"/>
              </w:rPr>
              <w:t>内包装形式</w:t>
            </w:r>
          </w:p>
        </w:tc>
        <w:tc>
          <w:tcPr>
            <w:tcW w:w="1768" w:type="dxa"/>
            <w:tcBorders>
              <w:top w:val="single" w:color="auto" w:sz="4" w:space="0"/>
              <w:bottom w:val="single" w:color="auto" w:sz="4" w:space="0"/>
            </w:tcBorders>
            <w:vAlign w:val="center"/>
          </w:tcPr>
          <w:p w14:paraId="3B24AD0C">
            <w:pPr>
              <w:pStyle w:val="19"/>
              <w:jc w:val="center"/>
              <w:rPr>
                <w:rFonts w:hint="eastAsia"/>
              </w:rPr>
            </w:pPr>
            <w:r>
              <w:rPr>
                <w:rFonts w:hint="eastAsia"/>
              </w:rPr>
              <w:t>外包装形式</w:t>
            </w:r>
          </w:p>
        </w:tc>
        <w:tc>
          <w:tcPr>
            <w:tcW w:w="2925" w:type="dxa"/>
            <w:tcBorders>
              <w:top w:val="single" w:color="auto" w:sz="4" w:space="0"/>
              <w:bottom w:val="single" w:color="auto" w:sz="4" w:space="0"/>
              <w:right w:val="single" w:color="auto" w:sz="4" w:space="0"/>
            </w:tcBorders>
            <w:vAlign w:val="center"/>
          </w:tcPr>
          <w:p w14:paraId="55477934">
            <w:pPr>
              <w:pStyle w:val="19"/>
              <w:jc w:val="center"/>
              <w:rPr>
                <w:rFonts w:hint="eastAsia"/>
              </w:rPr>
            </w:pPr>
            <w:r>
              <w:rPr>
                <w:rFonts w:hint="eastAsia"/>
              </w:rPr>
              <w:t>参考示例</w:t>
            </w:r>
          </w:p>
        </w:tc>
      </w:tr>
      <w:tr w14:paraId="2345B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2" w:hRule="atLeast"/>
        </w:trPr>
        <w:tc>
          <w:tcPr>
            <w:tcW w:w="1554" w:type="dxa"/>
            <w:tcBorders>
              <w:top w:val="single" w:color="auto" w:sz="4" w:space="0"/>
            </w:tcBorders>
            <w:vAlign w:val="center"/>
          </w:tcPr>
          <w:p w14:paraId="46BD8867">
            <w:pPr>
              <w:spacing w:before="78" w:line="240" w:lineRule="auto"/>
              <w:ind w:right="3" w:rightChars="0"/>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6枚2kg</w:t>
            </w:r>
          </w:p>
        </w:tc>
        <w:tc>
          <w:tcPr>
            <w:tcW w:w="2068" w:type="dxa"/>
            <w:tcBorders>
              <w:top w:val="single" w:color="auto" w:sz="4" w:space="0"/>
            </w:tcBorders>
            <w:vAlign w:val="center"/>
          </w:tcPr>
          <w:p w14:paraId="6CC27F30">
            <w:pPr>
              <w:spacing w:before="78" w:line="240" w:lineRule="auto"/>
              <w:ind w:left="56" w:leftChars="0"/>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1768" w:type="dxa"/>
            <w:tcBorders>
              <w:top w:val="single" w:color="auto" w:sz="4" w:space="0"/>
            </w:tcBorders>
            <w:vAlign w:val="center"/>
          </w:tcPr>
          <w:p w14:paraId="5BEB0CC8">
            <w:pPr>
              <w:spacing w:before="78" w:line="240" w:lineRule="auto"/>
              <w:ind w:left="43" w:leftChars="0" w:right="15" w:righ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书本盒+手提袋</w:t>
            </w:r>
          </w:p>
        </w:tc>
        <w:tc>
          <w:tcPr>
            <w:tcW w:w="2925" w:type="dxa"/>
            <w:tcBorders>
              <w:top w:val="single" w:color="auto" w:sz="4" w:space="0"/>
              <w:right w:val="single" w:color="auto" w:sz="4" w:space="0"/>
            </w:tcBorders>
            <w:vAlign w:val="top"/>
          </w:tcPr>
          <w:p w14:paraId="2BD74174">
            <w:pPr>
              <w:spacing w:before="115" w:line="360" w:lineRule="auto"/>
              <w:jc w:val="center"/>
              <w:rPr>
                <w:rFonts w:hint="eastAsia" w:eastAsia="宋体"/>
                <w:lang w:eastAsia="zh-CN"/>
              </w:rPr>
            </w:pPr>
            <w:r>
              <w:rPr>
                <w:rFonts w:hint="eastAsia" w:eastAsia="宋体"/>
                <w:lang w:eastAsia="zh-CN"/>
              </w:rPr>
              <w:drawing>
                <wp:inline distT="0" distB="0" distL="114300" distR="114300">
                  <wp:extent cx="1250315" cy="1009650"/>
                  <wp:effectExtent l="0" t="0" r="6985" b="0"/>
                  <wp:docPr id="31" name="图片 31" descr="acfdbb55-9ae7-4839-bca7-77b1861ef7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cfdbb55-9ae7-4839-bca7-77b1861ef77c"/>
                          <pic:cNvPicPr>
                            <a:picLocks noChangeAspect="1"/>
                          </pic:cNvPicPr>
                        </pic:nvPicPr>
                        <pic:blipFill>
                          <a:blip r:embed="rId12"/>
                          <a:stretch>
                            <a:fillRect/>
                          </a:stretch>
                        </pic:blipFill>
                        <pic:spPr>
                          <a:xfrm>
                            <a:off x="0" y="0"/>
                            <a:ext cx="1250315" cy="1009650"/>
                          </a:xfrm>
                          <a:prstGeom prst="rect">
                            <a:avLst/>
                          </a:prstGeom>
                        </pic:spPr>
                      </pic:pic>
                    </a:graphicData>
                  </a:graphic>
                </wp:inline>
              </w:drawing>
            </w:r>
            <w:r>
              <w:rPr>
                <w:rFonts w:hint="eastAsia" w:eastAsia="宋体"/>
                <w:lang w:eastAsia="zh-CN"/>
              </w:rPr>
              <w:drawing>
                <wp:inline distT="0" distB="0" distL="114300" distR="114300">
                  <wp:extent cx="1249045" cy="1009650"/>
                  <wp:effectExtent l="0" t="0" r="8255" b="0"/>
                  <wp:docPr id="34" name="图片 34" descr="4c77142b-6d16-4dca-9e06-afa735272167"/>
                  <wp:cNvGraphicFramePr/>
                  <a:graphic xmlns:a="http://schemas.openxmlformats.org/drawingml/2006/main">
                    <a:graphicData uri="http://schemas.openxmlformats.org/drawingml/2006/picture">
                      <pic:pic xmlns:pic="http://schemas.openxmlformats.org/drawingml/2006/picture">
                        <pic:nvPicPr>
                          <pic:cNvPr id="34" name="图片 34" descr="4c77142b-6d16-4dca-9e06-afa735272167"/>
                          <pic:cNvPicPr/>
                        </pic:nvPicPr>
                        <pic:blipFill>
                          <a:blip r:embed="rId13"/>
                          <a:stretch>
                            <a:fillRect/>
                          </a:stretch>
                        </pic:blipFill>
                        <pic:spPr>
                          <a:xfrm>
                            <a:off x="0" y="0"/>
                            <a:ext cx="1249045" cy="1009650"/>
                          </a:xfrm>
                          <a:prstGeom prst="rect">
                            <a:avLst/>
                          </a:prstGeom>
                        </pic:spPr>
                      </pic:pic>
                    </a:graphicData>
                  </a:graphic>
                </wp:inline>
              </w:drawing>
            </w:r>
            <w:r>
              <w:rPr>
                <w:rFonts w:hint="eastAsia" w:eastAsia="宋体"/>
                <w:lang w:eastAsia="zh-CN"/>
              </w:rPr>
              <w:drawing>
                <wp:inline distT="0" distB="0" distL="114300" distR="114300">
                  <wp:extent cx="1249045" cy="1007745"/>
                  <wp:effectExtent l="0" t="0" r="8255" b="1905"/>
                  <wp:docPr id="32" name="图片 32" descr="37a93351-df7e-4bed-a43f-a41712b1597d"/>
                  <wp:cNvGraphicFramePr/>
                  <a:graphic xmlns:a="http://schemas.openxmlformats.org/drawingml/2006/main">
                    <a:graphicData uri="http://schemas.openxmlformats.org/drawingml/2006/picture">
                      <pic:pic xmlns:pic="http://schemas.openxmlformats.org/drawingml/2006/picture">
                        <pic:nvPicPr>
                          <pic:cNvPr id="32" name="图片 32" descr="37a93351-df7e-4bed-a43f-a41712b1597d"/>
                          <pic:cNvPicPr/>
                        </pic:nvPicPr>
                        <pic:blipFill>
                          <a:blip r:embed="rId14"/>
                          <a:stretch>
                            <a:fillRect/>
                          </a:stretch>
                        </pic:blipFill>
                        <pic:spPr>
                          <a:xfrm>
                            <a:off x="0" y="0"/>
                            <a:ext cx="1249045" cy="1007745"/>
                          </a:xfrm>
                          <a:prstGeom prst="rect">
                            <a:avLst/>
                          </a:prstGeom>
                        </pic:spPr>
                      </pic:pic>
                    </a:graphicData>
                  </a:graphic>
                </wp:inline>
              </w:drawing>
            </w:r>
          </w:p>
        </w:tc>
      </w:tr>
      <w:tr w14:paraId="22025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2" w:hRule="atLeast"/>
        </w:trPr>
        <w:tc>
          <w:tcPr>
            <w:tcW w:w="1554" w:type="dxa"/>
            <w:vAlign w:val="center"/>
          </w:tcPr>
          <w:p w14:paraId="0242F45C">
            <w:pPr>
              <w:spacing w:before="78" w:line="240" w:lineRule="auto"/>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9枚2.5kg</w:t>
            </w:r>
          </w:p>
        </w:tc>
        <w:tc>
          <w:tcPr>
            <w:tcW w:w="2068" w:type="dxa"/>
            <w:vAlign w:val="center"/>
          </w:tcPr>
          <w:p w14:paraId="20897F9D">
            <w:pPr>
              <w:spacing w:before="78" w:line="240" w:lineRule="auto"/>
              <w:ind w:left="56" w:leftChars="0"/>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1768" w:type="dxa"/>
            <w:vAlign w:val="center"/>
          </w:tcPr>
          <w:p w14:paraId="6F1BACB5">
            <w:pPr>
              <w:spacing w:before="78" w:line="240" w:lineRule="auto"/>
              <w:ind w:left="43" w:leftChars="0" w:right="15" w:rightChars="0"/>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彩色印刷瓦楞纸盒+手提袋</w:t>
            </w:r>
          </w:p>
        </w:tc>
        <w:tc>
          <w:tcPr>
            <w:tcW w:w="2925" w:type="dxa"/>
            <w:tcBorders>
              <w:right w:val="single" w:color="auto" w:sz="4" w:space="0"/>
            </w:tcBorders>
            <w:vAlign w:val="center"/>
          </w:tcPr>
          <w:p w14:paraId="5CC9241B">
            <w:pPr>
              <w:spacing w:before="130" w:line="240" w:lineRule="auto"/>
              <w:jc w:val="center"/>
              <w:rPr>
                <w:rFonts w:hint="eastAsia" w:eastAsia="宋体"/>
                <w:lang w:eastAsia="zh-CN"/>
              </w:rPr>
            </w:pPr>
            <w:r>
              <w:rPr>
                <w:rFonts w:hint="eastAsia" w:eastAsia="宋体"/>
                <w:lang w:eastAsia="zh-CN"/>
              </w:rPr>
              <w:drawing>
                <wp:inline distT="0" distB="0" distL="114300" distR="114300">
                  <wp:extent cx="1300480" cy="1024255"/>
                  <wp:effectExtent l="0" t="0" r="0" b="4445"/>
                  <wp:docPr id="37" name="图片 37" descr="370f1e21-d6c9-4ca2-8675-401289280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370f1e21-d6c9-4ca2-8675-401289280e88"/>
                          <pic:cNvPicPr>
                            <a:picLocks noChangeAspect="1"/>
                          </pic:cNvPicPr>
                        </pic:nvPicPr>
                        <pic:blipFill>
                          <a:blip r:embed="rId15"/>
                          <a:stretch>
                            <a:fillRect/>
                          </a:stretch>
                        </pic:blipFill>
                        <pic:spPr>
                          <a:xfrm>
                            <a:off x="0" y="0"/>
                            <a:ext cx="1300480" cy="1024255"/>
                          </a:xfrm>
                          <a:prstGeom prst="rect">
                            <a:avLst/>
                          </a:prstGeom>
                        </pic:spPr>
                      </pic:pic>
                    </a:graphicData>
                  </a:graphic>
                </wp:inline>
              </w:drawing>
            </w:r>
            <w:r>
              <w:rPr>
                <w:rFonts w:hint="eastAsia" w:eastAsia="宋体"/>
                <w:lang w:eastAsia="zh-CN"/>
              </w:rPr>
              <w:drawing>
                <wp:inline distT="0" distB="0" distL="114300" distR="114300">
                  <wp:extent cx="1238250" cy="1071880"/>
                  <wp:effectExtent l="0" t="0" r="0" b="4445"/>
                  <wp:docPr id="36" name="图片 36" descr="9efe2d84-48f0-4537-8851-87e61c871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9efe2d84-48f0-4537-8851-87e61c871bb7"/>
                          <pic:cNvPicPr>
                            <a:picLocks noChangeAspect="1"/>
                          </pic:cNvPicPr>
                        </pic:nvPicPr>
                        <pic:blipFill>
                          <a:blip r:embed="rId16"/>
                          <a:stretch>
                            <a:fillRect/>
                          </a:stretch>
                        </pic:blipFill>
                        <pic:spPr>
                          <a:xfrm>
                            <a:off x="0" y="0"/>
                            <a:ext cx="1238250" cy="1071880"/>
                          </a:xfrm>
                          <a:prstGeom prst="rect">
                            <a:avLst/>
                          </a:prstGeom>
                        </pic:spPr>
                      </pic:pic>
                    </a:graphicData>
                  </a:graphic>
                </wp:inline>
              </w:drawing>
            </w:r>
            <w:r>
              <w:rPr>
                <w:rFonts w:hint="eastAsia" w:eastAsia="宋体"/>
                <w:lang w:eastAsia="zh-CN"/>
              </w:rPr>
              <w:drawing>
                <wp:inline distT="0" distB="0" distL="114300" distR="114300">
                  <wp:extent cx="1299845" cy="1026160"/>
                  <wp:effectExtent l="0" t="0" r="5080" b="2540"/>
                  <wp:docPr id="38" name="图片 38" descr="a2bb9ba3-0f49-4239-bf3a-e418f4b25b3b"/>
                  <wp:cNvGraphicFramePr/>
                  <a:graphic xmlns:a="http://schemas.openxmlformats.org/drawingml/2006/main">
                    <a:graphicData uri="http://schemas.openxmlformats.org/drawingml/2006/picture">
                      <pic:pic xmlns:pic="http://schemas.openxmlformats.org/drawingml/2006/picture">
                        <pic:nvPicPr>
                          <pic:cNvPr id="38" name="图片 38" descr="a2bb9ba3-0f49-4239-bf3a-e418f4b25b3b"/>
                          <pic:cNvPicPr/>
                        </pic:nvPicPr>
                        <pic:blipFill>
                          <a:blip r:embed="rId17"/>
                          <a:stretch>
                            <a:fillRect/>
                          </a:stretch>
                        </pic:blipFill>
                        <pic:spPr>
                          <a:xfrm>
                            <a:off x="0" y="0"/>
                            <a:ext cx="1299845" cy="1026160"/>
                          </a:xfrm>
                          <a:prstGeom prst="rect">
                            <a:avLst/>
                          </a:prstGeom>
                        </pic:spPr>
                      </pic:pic>
                    </a:graphicData>
                  </a:graphic>
                </wp:inline>
              </w:drawing>
            </w:r>
          </w:p>
        </w:tc>
      </w:tr>
      <w:tr w14:paraId="2A7A9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0" w:hRule="atLeast"/>
        </w:trPr>
        <w:tc>
          <w:tcPr>
            <w:tcW w:w="1554" w:type="dxa"/>
            <w:shd w:val="clear" w:color="auto" w:fill="auto"/>
            <w:vAlign w:val="center"/>
          </w:tcPr>
          <w:p w14:paraId="53479A91">
            <w:pPr>
              <w:spacing w:before="78" w:line="240" w:lineRule="auto"/>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12枚2.75kg</w:t>
            </w:r>
          </w:p>
        </w:tc>
        <w:tc>
          <w:tcPr>
            <w:tcW w:w="2068" w:type="dxa"/>
            <w:shd w:val="clear" w:color="auto" w:fill="auto"/>
            <w:vAlign w:val="center"/>
          </w:tcPr>
          <w:p w14:paraId="14904EAF">
            <w:pPr>
              <w:spacing w:before="78" w:line="240" w:lineRule="auto"/>
              <w:ind w:left="56" w:leftChars="0"/>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1768" w:type="dxa"/>
            <w:shd w:val="clear" w:color="auto" w:fill="auto"/>
            <w:vAlign w:val="center"/>
          </w:tcPr>
          <w:p w14:paraId="429474BB">
            <w:pPr>
              <w:spacing w:before="78" w:line="240" w:lineRule="auto"/>
              <w:ind w:left="43" w:leftChars="0" w:right="15" w:rightChars="0"/>
              <w:jc w:val="center"/>
              <w:rPr>
                <w:rFonts w:hint="eastAsia" w:ascii="宋体" w:hAnsi="Times New Roman" w:eastAsia="宋体" w:cs="Times New Roman"/>
                <w:snapToGrid/>
                <w:color w:val="auto"/>
                <w:kern w:val="0"/>
                <w:sz w:val="18"/>
                <w:szCs w:val="20"/>
                <w:lang w:val="en-US" w:eastAsia="en-US" w:bidi="ar-SA"/>
              </w:rPr>
            </w:pPr>
            <w:r>
              <w:rPr>
                <w:rFonts w:hint="eastAsia" w:ascii="宋体" w:hAnsi="Times New Roman" w:eastAsia="宋体" w:cs="Times New Roman"/>
                <w:snapToGrid/>
                <w:color w:val="auto"/>
                <w:kern w:val="0"/>
                <w:sz w:val="18"/>
                <w:szCs w:val="20"/>
                <w:lang w:val="en-US" w:eastAsia="zh-CN" w:bidi="ar-SA"/>
              </w:rPr>
              <w:t>彩色印刷瓦楞纸盒+手提袋</w:t>
            </w:r>
          </w:p>
        </w:tc>
        <w:tc>
          <w:tcPr>
            <w:tcW w:w="2925" w:type="dxa"/>
            <w:tcBorders>
              <w:right w:val="single" w:color="auto" w:sz="4" w:space="0"/>
            </w:tcBorders>
            <w:vAlign w:val="center"/>
          </w:tcPr>
          <w:p w14:paraId="05B54687">
            <w:pPr>
              <w:spacing w:before="130" w:line="240" w:lineRule="auto"/>
              <w:jc w:val="center"/>
              <w:rPr>
                <w:rFonts w:hint="eastAsia" w:eastAsia="宋体"/>
                <w:lang w:eastAsia="zh-CN"/>
              </w:rPr>
            </w:pPr>
            <w:r>
              <w:rPr>
                <w:rFonts w:hint="eastAsia" w:eastAsia="宋体"/>
                <w:lang w:eastAsia="zh-CN"/>
              </w:rPr>
              <w:drawing>
                <wp:inline distT="0" distB="0" distL="114300" distR="114300">
                  <wp:extent cx="1299845" cy="1026160"/>
                  <wp:effectExtent l="0" t="0" r="5080" b="2540"/>
                  <wp:docPr id="39" name="图片 39" descr="ea8e499a-3f94-46e4-a4ad-cdf724205866"/>
                  <wp:cNvGraphicFramePr/>
                  <a:graphic xmlns:a="http://schemas.openxmlformats.org/drawingml/2006/main">
                    <a:graphicData uri="http://schemas.openxmlformats.org/drawingml/2006/picture">
                      <pic:pic xmlns:pic="http://schemas.openxmlformats.org/drawingml/2006/picture">
                        <pic:nvPicPr>
                          <pic:cNvPr id="39" name="图片 39" descr="ea8e499a-3f94-46e4-a4ad-cdf724205866"/>
                          <pic:cNvPicPr/>
                        </pic:nvPicPr>
                        <pic:blipFill>
                          <a:blip r:embed="rId18"/>
                          <a:stretch>
                            <a:fillRect/>
                          </a:stretch>
                        </pic:blipFill>
                        <pic:spPr>
                          <a:xfrm>
                            <a:off x="0" y="0"/>
                            <a:ext cx="1299845" cy="1026160"/>
                          </a:xfrm>
                          <a:prstGeom prst="rect">
                            <a:avLst/>
                          </a:prstGeom>
                        </pic:spPr>
                      </pic:pic>
                    </a:graphicData>
                  </a:graphic>
                </wp:inline>
              </w:drawing>
            </w:r>
            <w:r>
              <w:rPr>
                <w:rFonts w:hint="eastAsia" w:eastAsia="宋体"/>
                <w:lang w:eastAsia="zh-CN"/>
              </w:rPr>
              <w:drawing>
                <wp:inline distT="0" distB="0" distL="114300" distR="114300">
                  <wp:extent cx="1299845" cy="1026160"/>
                  <wp:effectExtent l="0" t="0" r="5080" b="2540"/>
                  <wp:docPr id="40" name="图片 40" descr="3db0af86-8f8f-4ef8-8035-3cf7c5486dbb"/>
                  <wp:cNvGraphicFramePr/>
                  <a:graphic xmlns:a="http://schemas.openxmlformats.org/drawingml/2006/main">
                    <a:graphicData uri="http://schemas.openxmlformats.org/drawingml/2006/picture">
                      <pic:pic xmlns:pic="http://schemas.openxmlformats.org/drawingml/2006/picture">
                        <pic:nvPicPr>
                          <pic:cNvPr id="40" name="图片 40" descr="3db0af86-8f8f-4ef8-8035-3cf7c5486dbb"/>
                          <pic:cNvPicPr/>
                        </pic:nvPicPr>
                        <pic:blipFill>
                          <a:blip r:embed="rId19"/>
                          <a:stretch>
                            <a:fillRect/>
                          </a:stretch>
                        </pic:blipFill>
                        <pic:spPr>
                          <a:xfrm>
                            <a:off x="0" y="0"/>
                            <a:ext cx="1299845" cy="1026160"/>
                          </a:xfrm>
                          <a:prstGeom prst="rect">
                            <a:avLst/>
                          </a:prstGeom>
                        </pic:spPr>
                      </pic:pic>
                    </a:graphicData>
                  </a:graphic>
                </wp:inline>
              </w:drawing>
            </w:r>
            <w:r>
              <w:rPr>
                <w:rFonts w:hint="eastAsia" w:eastAsia="宋体"/>
                <w:lang w:eastAsia="zh-CN"/>
              </w:rPr>
              <w:drawing>
                <wp:inline distT="0" distB="0" distL="114300" distR="114300">
                  <wp:extent cx="1299845" cy="1026160"/>
                  <wp:effectExtent l="0" t="0" r="5080" b="2540"/>
                  <wp:docPr id="41" name="图片 41" descr="1d62b83a-3cd9-41cf-80f5-676addbaf16c"/>
                  <wp:cNvGraphicFramePr/>
                  <a:graphic xmlns:a="http://schemas.openxmlformats.org/drawingml/2006/main">
                    <a:graphicData uri="http://schemas.openxmlformats.org/drawingml/2006/picture">
                      <pic:pic xmlns:pic="http://schemas.openxmlformats.org/drawingml/2006/picture">
                        <pic:nvPicPr>
                          <pic:cNvPr id="41" name="图片 41" descr="1d62b83a-3cd9-41cf-80f5-676addbaf16c"/>
                          <pic:cNvPicPr/>
                        </pic:nvPicPr>
                        <pic:blipFill>
                          <a:blip r:embed="rId20"/>
                          <a:stretch>
                            <a:fillRect/>
                          </a:stretch>
                        </pic:blipFill>
                        <pic:spPr>
                          <a:xfrm>
                            <a:off x="0" y="0"/>
                            <a:ext cx="1299845" cy="1026160"/>
                          </a:xfrm>
                          <a:prstGeom prst="rect">
                            <a:avLst/>
                          </a:prstGeom>
                        </pic:spPr>
                      </pic:pic>
                    </a:graphicData>
                  </a:graphic>
                </wp:inline>
              </w:drawing>
            </w:r>
          </w:p>
        </w:tc>
      </w:tr>
      <w:tr w14:paraId="09AB3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0" w:hRule="atLeast"/>
        </w:trPr>
        <w:tc>
          <w:tcPr>
            <w:tcW w:w="1554" w:type="dxa"/>
            <w:shd w:val="clear" w:color="auto" w:fill="auto"/>
            <w:vAlign w:val="center"/>
          </w:tcPr>
          <w:p w14:paraId="29F2AE48">
            <w:pPr>
              <w:spacing w:before="78" w:line="240" w:lineRule="auto"/>
              <w:ind w:right="3" w:righ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6枚2kg</w:t>
            </w:r>
          </w:p>
        </w:tc>
        <w:tc>
          <w:tcPr>
            <w:tcW w:w="2068" w:type="dxa"/>
            <w:shd w:val="clear" w:color="auto" w:fill="auto"/>
            <w:vAlign w:val="center"/>
          </w:tcPr>
          <w:p w14:paraId="65B71E95">
            <w:pPr>
              <w:spacing w:before="78" w:line="240" w:lineRule="auto"/>
              <w:ind w:left="56" w:lef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1768" w:type="dxa"/>
            <w:shd w:val="clear" w:color="auto" w:fill="auto"/>
            <w:vAlign w:val="center"/>
          </w:tcPr>
          <w:p w14:paraId="37375F4B">
            <w:pPr>
              <w:spacing w:before="78" w:line="240" w:lineRule="auto"/>
              <w:ind w:left="43" w:leftChars="0" w:right="15" w:righ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彩色印刷瓦楞纸盒+手提袋</w:t>
            </w:r>
          </w:p>
        </w:tc>
        <w:tc>
          <w:tcPr>
            <w:tcW w:w="2925" w:type="dxa"/>
            <w:tcBorders>
              <w:right w:val="single" w:color="auto" w:sz="4" w:space="0"/>
            </w:tcBorders>
            <w:vAlign w:val="center"/>
          </w:tcPr>
          <w:p w14:paraId="184A3C73">
            <w:pPr>
              <w:spacing w:before="130" w:line="240" w:lineRule="auto"/>
              <w:jc w:val="center"/>
              <w:rPr>
                <w:rFonts w:hint="eastAsia" w:eastAsia="宋体"/>
                <w:lang w:eastAsia="zh-CN"/>
              </w:rPr>
            </w:pPr>
            <w:r>
              <w:rPr>
                <w:rFonts w:hint="eastAsia" w:eastAsia="宋体"/>
                <w:lang w:eastAsia="zh-CN"/>
              </w:rPr>
              <w:drawing>
                <wp:inline distT="0" distB="0" distL="114300" distR="114300">
                  <wp:extent cx="1299845" cy="1026160"/>
                  <wp:effectExtent l="0" t="0" r="5080" b="2540"/>
                  <wp:docPr id="43" name="图片 43" descr="4d5faea5-9430-4dd7-8e80-1c30da3331aa"/>
                  <wp:cNvGraphicFramePr/>
                  <a:graphic xmlns:a="http://schemas.openxmlformats.org/drawingml/2006/main">
                    <a:graphicData uri="http://schemas.openxmlformats.org/drawingml/2006/picture">
                      <pic:pic xmlns:pic="http://schemas.openxmlformats.org/drawingml/2006/picture">
                        <pic:nvPicPr>
                          <pic:cNvPr id="43" name="图片 43" descr="4d5faea5-9430-4dd7-8e80-1c30da3331aa"/>
                          <pic:cNvPicPr/>
                        </pic:nvPicPr>
                        <pic:blipFill>
                          <a:blip r:embed="rId21"/>
                          <a:stretch>
                            <a:fillRect/>
                          </a:stretch>
                        </pic:blipFill>
                        <pic:spPr>
                          <a:xfrm>
                            <a:off x="0" y="0"/>
                            <a:ext cx="1299845" cy="1026160"/>
                          </a:xfrm>
                          <a:prstGeom prst="rect">
                            <a:avLst/>
                          </a:prstGeom>
                        </pic:spPr>
                      </pic:pic>
                    </a:graphicData>
                  </a:graphic>
                </wp:inline>
              </w:drawing>
            </w:r>
            <w:r>
              <w:rPr>
                <w:rFonts w:hint="eastAsia" w:eastAsia="宋体"/>
                <w:lang w:eastAsia="zh-CN"/>
              </w:rPr>
              <w:drawing>
                <wp:inline distT="0" distB="0" distL="114300" distR="114300">
                  <wp:extent cx="1299845" cy="1026160"/>
                  <wp:effectExtent l="0" t="0" r="5080" b="2540"/>
                  <wp:docPr id="42" name="图片 42" descr="4a6b4082-ef9f-4c39-b678-246036246426"/>
                  <wp:cNvGraphicFramePr/>
                  <a:graphic xmlns:a="http://schemas.openxmlformats.org/drawingml/2006/main">
                    <a:graphicData uri="http://schemas.openxmlformats.org/drawingml/2006/picture">
                      <pic:pic xmlns:pic="http://schemas.openxmlformats.org/drawingml/2006/picture">
                        <pic:nvPicPr>
                          <pic:cNvPr id="42" name="图片 42" descr="4a6b4082-ef9f-4c39-b678-246036246426"/>
                          <pic:cNvPicPr/>
                        </pic:nvPicPr>
                        <pic:blipFill>
                          <a:blip r:embed="rId22"/>
                          <a:stretch>
                            <a:fillRect/>
                          </a:stretch>
                        </pic:blipFill>
                        <pic:spPr>
                          <a:xfrm>
                            <a:off x="0" y="0"/>
                            <a:ext cx="1299845" cy="1026160"/>
                          </a:xfrm>
                          <a:prstGeom prst="rect">
                            <a:avLst/>
                          </a:prstGeom>
                        </pic:spPr>
                      </pic:pic>
                    </a:graphicData>
                  </a:graphic>
                </wp:inline>
              </w:drawing>
            </w:r>
            <w:r>
              <w:rPr>
                <w:rFonts w:hint="eastAsia" w:eastAsia="宋体"/>
                <w:lang w:eastAsia="zh-CN"/>
              </w:rPr>
              <w:drawing>
                <wp:inline distT="0" distB="0" distL="114300" distR="114300">
                  <wp:extent cx="1299845" cy="1026160"/>
                  <wp:effectExtent l="0" t="0" r="5080" b="2540"/>
                  <wp:docPr id="44" name="图片 44" descr="e783ef4c-325a-4e04-97f0-6d538b33a132"/>
                  <wp:cNvGraphicFramePr/>
                  <a:graphic xmlns:a="http://schemas.openxmlformats.org/drawingml/2006/main">
                    <a:graphicData uri="http://schemas.openxmlformats.org/drawingml/2006/picture">
                      <pic:pic xmlns:pic="http://schemas.openxmlformats.org/drawingml/2006/picture">
                        <pic:nvPicPr>
                          <pic:cNvPr id="44" name="图片 44" descr="e783ef4c-325a-4e04-97f0-6d538b33a132"/>
                          <pic:cNvPicPr/>
                        </pic:nvPicPr>
                        <pic:blipFill>
                          <a:blip r:embed="rId23"/>
                          <a:stretch>
                            <a:fillRect/>
                          </a:stretch>
                        </pic:blipFill>
                        <pic:spPr>
                          <a:xfrm>
                            <a:off x="0" y="0"/>
                            <a:ext cx="1299845" cy="1026160"/>
                          </a:xfrm>
                          <a:prstGeom prst="rect">
                            <a:avLst/>
                          </a:prstGeom>
                        </pic:spPr>
                      </pic:pic>
                    </a:graphicData>
                  </a:graphic>
                </wp:inline>
              </w:drawing>
            </w:r>
          </w:p>
        </w:tc>
      </w:tr>
      <w:tr w14:paraId="48925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4" w:hRule="atLeast"/>
        </w:trPr>
        <w:tc>
          <w:tcPr>
            <w:tcW w:w="1554" w:type="dxa"/>
            <w:shd w:val="clear" w:color="auto" w:fill="auto"/>
            <w:vAlign w:val="center"/>
          </w:tcPr>
          <w:p w14:paraId="6C806C64">
            <w:pPr>
              <w:spacing w:before="78" w:line="240" w:lineRule="auto"/>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9枚2.5kg</w:t>
            </w:r>
          </w:p>
        </w:tc>
        <w:tc>
          <w:tcPr>
            <w:tcW w:w="2068" w:type="dxa"/>
            <w:shd w:val="clear" w:color="auto" w:fill="auto"/>
            <w:vAlign w:val="center"/>
          </w:tcPr>
          <w:p w14:paraId="234B7D20">
            <w:pPr>
              <w:spacing w:before="78" w:line="240" w:lineRule="auto"/>
              <w:ind w:left="56" w:lef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1768" w:type="dxa"/>
            <w:shd w:val="clear" w:color="auto" w:fill="auto"/>
            <w:vAlign w:val="center"/>
          </w:tcPr>
          <w:p w14:paraId="2FCB0BEB">
            <w:pPr>
              <w:spacing w:before="78" w:line="240" w:lineRule="auto"/>
              <w:ind w:left="43" w:leftChars="0" w:right="15" w:righ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彩色印刷瓦楞纸盒+手提袋</w:t>
            </w:r>
          </w:p>
        </w:tc>
        <w:tc>
          <w:tcPr>
            <w:tcW w:w="2925" w:type="dxa"/>
            <w:tcBorders>
              <w:right w:val="single" w:color="auto" w:sz="4" w:space="0"/>
            </w:tcBorders>
            <w:vAlign w:val="center"/>
          </w:tcPr>
          <w:p w14:paraId="6B7BA200">
            <w:pPr>
              <w:spacing w:before="130" w:line="240" w:lineRule="auto"/>
              <w:jc w:val="center"/>
              <w:rPr>
                <w:rFonts w:hint="eastAsia" w:eastAsia="宋体"/>
                <w:lang w:eastAsia="zh-CN"/>
              </w:rPr>
            </w:pPr>
            <w:r>
              <w:rPr>
                <w:rFonts w:hint="eastAsia" w:eastAsia="宋体"/>
                <w:lang w:eastAsia="zh-CN"/>
              </w:rPr>
              <w:drawing>
                <wp:inline distT="0" distB="0" distL="114300" distR="114300">
                  <wp:extent cx="1224915" cy="1026160"/>
                  <wp:effectExtent l="0" t="0" r="3810" b="2540"/>
                  <wp:docPr id="49" name="图片 49" descr="f384b6ce-add3-4570-9b92-a7e41c274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f384b6ce-add3-4570-9b92-a7e41c274321"/>
                          <pic:cNvPicPr>
                            <a:picLocks noChangeAspect="1"/>
                          </pic:cNvPicPr>
                        </pic:nvPicPr>
                        <pic:blipFill>
                          <a:blip r:embed="rId24"/>
                          <a:stretch>
                            <a:fillRect/>
                          </a:stretch>
                        </pic:blipFill>
                        <pic:spPr>
                          <a:xfrm>
                            <a:off x="0" y="0"/>
                            <a:ext cx="1224915" cy="1026160"/>
                          </a:xfrm>
                          <a:prstGeom prst="rect">
                            <a:avLst/>
                          </a:prstGeom>
                        </pic:spPr>
                      </pic:pic>
                    </a:graphicData>
                  </a:graphic>
                </wp:inline>
              </w:drawing>
            </w:r>
            <w:r>
              <w:rPr>
                <w:rFonts w:hint="eastAsia" w:eastAsia="宋体"/>
                <w:lang w:eastAsia="zh-CN"/>
              </w:rPr>
              <w:drawing>
                <wp:inline distT="0" distB="0" distL="114300" distR="114300">
                  <wp:extent cx="1433195" cy="1026160"/>
                  <wp:effectExtent l="0" t="0" r="5080" b="2540"/>
                  <wp:docPr id="48" name="图片 48" descr="26a83d06-925a-4e38-ace2-298259f9b7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26a83d06-925a-4e38-ace2-298259f9b7af"/>
                          <pic:cNvPicPr>
                            <a:picLocks noChangeAspect="1"/>
                          </pic:cNvPicPr>
                        </pic:nvPicPr>
                        <pic:blipFill>
                          <a:blip r:embed="rId25"/>
                          <a:stretch>
                            <a:fillRect/>
                          </a:stretch>
                        </pic:blipFill>
                        <pic:spPr>
                          <a:xfrm>
                            <a:off x="0" y="0"/>
                            <a:ext cx="1433195" cy="1026160"/>
                          </a:xfrm>
                          <a:prstGeom prst="rect">
                            <a:avLst/>
                          </a:prstGeom>
                        </pic:spPr>
                      </pic:pic>
                    </a:graphicData>
                  </a:graphic>
                </wp:inline>
              </w:drawing>
            </w:r>
            <w:r>
              <w:rPr>
                <w:rFonts w:hint="eastAsia" w:eastAsia="宋体"/>
                <w:lang w:eastAsia="zh-CN"/>
              </w:rPr>
              <w:drawing>
                <wp:inline distT="0" distB="0" distL="114300" distR="114300">
                  <wp:extent cx="1030605" cy="1026160"/>
                  <wp:effectExtent l="0" t="0" r="7620" b="2540"/>
                  <wp:docPr id="50" name="图片 50" descr="037daef1-93d7-4a80-9f38-7c51d521d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037daef1-93d7-4a80-9f38-7c51d521de43"/>
                          <pic:cNvPicPr>
                            <a:picLocks noChangeAspect="1"/>
                          </pic:cNvPicPr>
                        </pic:nvPicPr>
                        <pic:blipFill>
                          <a:blip r:embed="rId26"/>
                          <a:stretch>
                            <a:fillRect/>
                          </a:stretch>
                        </pic:blipFill>
                        <pic:spPr>
                          <a:xfrm>
                            <a:off x="0" y="0"/>
                            <a:ext cx="1030605" cy="1026160"/>
                          </a:xfrm>
                          <a:prstGeom prst="rect">
                            <a:avLst/>
                          </a:prstGeom>
                        </pic:spPr>
                      </pic:pic>
                    </a:graphicData>
                  </a:graphic>
                </wp:inline>
              </w:drawing>
            </w:r>
          </w:p>
        </w:tc>
      </w:tr>
      <w:tr w14:paraId="1FBC1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0" w:hRule="atLeast"/>
        </w:trPr>
        <w:tc>
          <w:tcPr>
            <w:tcW w:w="1554" w:type="dxa"/>
            <w:shd w:val="clear" w:color="auto" w:fill="auto"/>
            <w:vAlign w:val="center"/>
          </w:tcPr>
          <w:p w14:paraId="56068E72">
            <w:pPr>
              <w:spacing w:before="78" w:line="240" w:lineRule="auto"/>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12枚2.75kg</w:t>
            </w:r>
          </w:p>
        </w:tc>
        <w:tc>
          <w:tcPr>
            <w:tcW w:w="2068" w:type="dxa"/>
            <w:shd w:val="clear" w:color="auto" w:fill="auto"/>
            <w:vAlign w:val="center"/>
          </w:tcPr>
          <w:p w14:paraId="6A14FF2B">
            <w:pPr>
              <w:spacing w:before="78" w:line="240" w:lineRule="auto"/>
              <w:ind w:left="56" w:lef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1768" w:type="dxa"/>
            <w:shd w:val="clear" w:color="auto" w:fill="auto"/>
            <w:vAlign w:val="center"/>
          </w:tcPr>
          <w:p w14:paraId="4C42AF25">
            <w:pPr>
              <w:spacing w:before="78" w:line="240" w:lineRule="auto"/>
              <w:ind w:left="43" w:leftChars="0" w:right="15" w:rightChars="0"/>
              <w:jc w:val="center"/>
              <w:rPr>
                <w:rFonts w:hint="eastAsia" w:ascii="宋体" w:hAnsi="Times New Roman" w:eastAsia="宋体" w:cs="Times New Roman"/>
                <w:snapToGrid/>
                <w:color w:val="auto"/>
                <w:kern w:val="0"/>
                <w:sz w:val="18"/>
                <w:szCs w:val="20"/>
                <w:lang w:val="en-US" w:eastAsia="zh-CN" w:bidi="ar-SA"/>
              </w:rPr>
            </w:pPr>
            <w:r>
              <w:rPr>
                <w:rFonts w:hint="eastAsia" w:ascii="宋体" w:hAnsi="Times New Roman" w:eastAsia="宋体" w:cs="Times New Roman"/>
                <w:snapToGrid/>
                <w:color w:val="auto"/>
                <w:kern w:val="0"/>
                <w:sz w:val="18"/>
                <w:szCs w:val="20"/>
                <w:lang w:val="en-US" w:eastAsia="zh-CN" w:bidi="ar-SA"/>
              </w:rPr>
              <w:t>彩色印刷瓦楞纸盒+手提袋</w:t>
            </w:r>
          </w:p>
        </w:tc>
        <w:tc>
          <w:tcPr>
            <w:tcW w:w="2925" w:type="dxa"/>
            <w:tcBorders>
              <w:right w:val="single" w:color="auto" w:sz="4" w:space="0"/>
            </w:tcBorders>
            <w:vAlign w:val="center"/>
          </w:tcPr>
          <w:p w14:paraId="2369D548">
            <w:pPr>
              <w:spacing w:before="130" w:line="240" w:lineRule="auto"/>
              <w:jc w:val="center"/>
              <w:rPr>
                <w:rFonts w:hint="eastAsia" w:eastAsia="宋体"/>
                <w:lang w:eastAsia="zh-CN"/>
              </w:rPr>
            </w:pPr>
            <w:r>
              <w:rPr>
                <w:rFonts w:hint="eastAsia" w:eastAsia="宋体"/>
                <w:lang w:eastAsia="zh-CN"/>
              </w:rPr>
              <w:drawing>
                <wp:inline distT="0" distB="0" distL="114300" distR="114300">
                  <wp:extent cx="1365885" cy="1026160"/>
                  <wp:effectExtent l="0" t="0" r="5715" b="2540"/>
                  <wp:docPr id="47" name="图片 47" descr="815350d2-6e9e-453b-9d98-83e1e0af25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815350d2-6e9e-453b-9d98-83e1e0af25dc"/>
                          <pic:cNvPicPr>
                            <a:picLocks noChangeAspect="1"/>
                          </pic:cNvPicPr>
                        </pic:nvPicPr>
                        <pic:blipFill>
                          <a:blip r:embed="rId27"/>
                          <a:stretch>
                            <a:fillRect/>
                          </a:stretch>
                        </pic:blipFill>
                        <pic:spPr>
                          <a:xfrm>
                            <a:off x="0" y="0"/>
                            <a:ext cx="1365885" cy="1026160"/>
                          </a:xfrm>
                          <a:prstGeom prst="rect">
                            <a:avLst/>
                          </a:prstGeom>
                        </pic:spPr>
                      </pic:pic>
                    </a:graphicData>
                  </a:graphic>
                </wp:inline>
              </w:drawing>
            </w:r>
            <w:r>
              <w:rPr>
                <w:rFonts w:hint="eastAsia" w:eastAsia="宋体"/>
                <w:lang w:eastAsia="zh-CN"/>
              </w:rPr>
              <w:drawing>
                <wp:inline distT="0" distB="0" distL="114300" distR="114300">
                  <wp:extent cx="1243330" cy="1026160"/>
                  <wp:effectExtent l="0" t="0" r="4445" b="2540"/>
                  <wp:docPr id="45" name="图片 45" descr="d88e7570-2689-404f-95df-938988b355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d88e7570-2689-404f-95df-938988b3552d"/>
                          <pic:cNvPicPr>
                            <a:picLocks noChangeAspect="1"/>
                          </pic:cNvPicPr>
                        </pic:nvPicPr>
                        <pic:blipFill>
                          <a:blip r:embed="rId28"/>
                          <a:stretch>
                            <a:fillRect/>
                          </a:stretch>
                        </pic:blipFill>
                        <pic:spPr>
                          <a:xfrm>
                            <a:off x="0" y="0"/>
                            <a:ext cx="1243330" cy="1026160"/>
                          </a:xfrm>
                          <a:prstGeom prst="rect">
                            <a:avLst/>
                          </a:prstGeom>
                        </pic:spPr>
                      </pic:pic>
                    </a:graphicData>
                  </a:graphic>
                </wp:inline>
              </w:drawing>
            </w:r>
            <w:r>
              <w:rPr>
                <w:rFonts w:hint="eastAsia" w:eastAsia="宋体"/>
                <w:lang w:eastAsia="zh-CN"/>
              </w:rPr>
              <w:drawing>
                <wp:inline distT="0" distB="0" distL="114300" distR="114300">
                  <wp:extent cx="1202690" cy="1026160"/>
                  <wp:effectExtent l="0" t="0" r="6985" b="2540"/>
                  <wp:docPr id="46" name="图片 46" descr="a9ff1de5-f2d0-46a8-97e4-950fb70b3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a9ff1de5-f2d0-46a8-97e4-950fb70b35c0"/>
                          <pic:cNvPicPr>
                            <a:picLocks noChangeAspect="1"/>
                          </pic:cNvPicPr>
                        </pic:nvPicPr>
                        <pic:blipFill>
                          <a:blip r:embed="rId29"/>
                          <a:stretch>
                            <a:fillRect/>
                          </a:stretch>
                        </pic:blipFill>
                        <pic:spPr>
                          <a:xfrm>
                            <a:off x="0" y="0"/>
                            <a:ext cx="1202690" cy="1026160"/>
                          </a:xfrm>
                          <a:prstGeom prst="rect">
                            <a:avLst/>
                          </a:prstGeom>
                        </pic:spPr>
                      </pic:pic>
                    </a:graphicData>
                  </a:graphic>
                </wp:inline>
              </w:drawing>
            </w:r>
          </w:p>
        </w:tc>
      </w:tr>
    </w:tbl>
    <w:p w14:paraId="2C7F6BC6">
      <w:pPr>
        <w:rPr>
          <w:rFonts w:hint="eastAsia"/>
        </w:rPr>
      </w:pPr>
      <w:r>
        <w:rPr>
          <w:rFonts w:hint="eastAsia"/>
        </w:rPr>
        <w:br w:type="page"/>
      </w:r>
    </w:p>
    <w:p w14:paraId="7EB70966">
      <w:pPr>
        <w:pStyle w:val="15"/>
        <w:spacing w:before="120" w:after="120"/>
        <w:rPr>
          <w:rFonts w:hint="eastAsia"/>
          <w:lang w:eastAsia="zh-CN"/>
        </w:rPr>
      </w:pPr>
      <w:r>
        <w:rPr>
          <w:rFonts w:hint="eastAsia"/>
        </w:rPr>
        <w:t>批发/运输包装（大包装</w:t>
      </w:r>
      <w:r>
        <w:rPr>
          <w:rFonts w:hint="eastAsia"/>
          <w:lang w:eastAsia="zh-CN"/>
        </w:rPr>
        <w:t>）</w:t>
      </w:r>
    </w:p>
    <w:p w14:paraId="71F9AF76">
      <w:pPr>
        <w:pStyle w:val="11"/>
        <w:ind w:firstLine="420"/>
        <w:rPr>
          <w:rFonts w:hint="eastAsia"/>
        </w:rPr>
      </w:pPr>
      <w:r>
        <w:rPr>
          <w:rFonts w:hint="eastAsia"/>
        </w:rPr>
        <w:t>适用于仓储和长途运输，规格如下：</w:t>
      </w:r>
    </w:p>
    <w:p w14:paraId="157F2B3A">
      <w:pPr>
        <w:pStyle w:val="18"/>
        <w:tabs>
          <w:tab w:val="left" w:pos="0"/>
        </w:tabs>
        <w:spacing w:before="120" w:after="120"/>
        <w:rPr>
          <w:rFonts w:hint="eastAsia"/>
        </w:rPr>
      </w:pPr>
      <w:r>
        <w:rPr>
          <w:rFonts w:hint="eastAsia"/>
        </w:rPr>
        <w:t>批发/运输包装样式参考示例表</w:t>
      </w:r>
    </w:p>
    <w:tbl>
      <w:tblPr>
        <w:tblStyle w:val="8"/>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2257"/>
        <w:gridCol w:w="1906"/>
        <w:gridCol w:w="2199"/>
      </w:tblGrid>
      <w:tr w14:paraId="4AFA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932" w:type="dxa"/>
            <w:vAlign w:val="center"/>
          </w:tcPr>
          <w:p w14:paraId="4E4AFE79">
            <w:pPr>
              <w:pStyle w:val="19"/>
              <w:widowControl w:val="0"/>
              <w:ind w:firstLine="0" w:firstLineChars="0"/>
              <w:jc w:val="center"/>
              <w:rPr>
                <w:rFonts w:hint="eastAsia"/>
                <w:vertAlign w:val="baseline"/>
              </w:rPr>
            </w:pPr>
            <w:r>
              <w:rPr>
                <w:rFonts w:hint="eastAsia"/>
              </w:rPr>
              <w:t>包装形式</w:t>
            </w:r>
          </w:p>
        </w:tc>
        <w:tc>
          <w:tcPr>
            <w:tcW w:w="2257" w:type="dxa"/>
            <w:vAlign w:val="center"/>
          </w:tcPr>
          <w:p w14:paraId="1650352D">
            <w:pPr>
              <w:pStyle w:val="19"/>
              <w:widowControl w:val="0"/>
              <w:ind w:firstLine="0" w:firstLineChars="0"/>
              <w:jc w:val="center"/>
              <w:rPr>
                <w:rFonts w:hint="eastAsia"/>
                <w:vertAlign w:val="baseline"/>
              </w:rPr>
            </w:pPr>
            <w:r>
              <w:rPr>
                <w:rFonts w:hint="eastAsia"/>
              </w:rPr>
              <w:t>净含量</w:t>
            </w:r>
          </w:p>
        </w:tc>
        <w:tc>
          <w:tcPr>
            <w:tcW w:w="1906" w:type="dxa"/>
            <w:vAlign w:val="center"/>
          </w:tcPr>
          <w:p w14:paraId="60B3521D">
            <w:pPr>
              <w:pStyle w:val="19"/>
              <w:widowControl w:val="0"/>
              <w:ind w:firstLine="0" w:firstLineChars="0"/>
              <w:jc w:val="center"/>
              <w:rPr>
                <w:rFonts w:hint="eastAsia"/>
                <w:vertAlign w:val="baseline"/>
              </w:rPr>
            </w:pPr>
            <w:r>
              <w:rPr>
                <w:rFonts w:hint="eastAsia"/>
              </w:rPr>
              <w:t>堆码极限</w:t>
            </w:r>
          </w:p>
        </w:tc>
        <w:tc>
          <w:tcPr>
            <w:tcW w:w="2199" w:type="dxa"/>
            <w:vAlign w:val="center"/>
          </w:tcPr>
          <w:p w14:paraId="7FF98248">
            <w:pPr>
              <w:pStyle w:val="19"/>
              <w:widowControl w:val="0"/>
              <w:ind w:firstLine="0" w:firstLineChars="0"/>
              <w:jc w:val="center"/>
              <w:rPr>
                <w:rFonts w:hint="eastAsia"/>
                <w:vertAlign w:val="baseline"/>
              </w:rPr>
            </w:pPr>
            <w:r>
              <w:rPr>
                <w:rFonts w:hint="eastAsia"/>
              </w:rPr>
              <w:t>备注</w:t>
            </w:r>
          </w:p>
        </w:tc>
      </w:tr>
      <w:tr w14:paraId="457C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932" w:type="dxa"/>
            <w:vAlign w:val="center"/>
          </w:tcPr>
          <w:p w14:paraId="1DCF1FA7">
            <w:pPr>
              <w:pStyle w:val="19"/>
              <w:widowControl w:val="0"/>
              <w:ind w:firstLine="0" w:firstLineChars="0"/>
              <w:jc w:val="center"/>
              <w:rPr>
                <w:rFonts w:hint="eastAsia"/>
                <w:vertAlign w:val="baseline"/>
              </w:rPr>
            </w:pPr>
            <w:r>
              <w:rPr>
                <w:rFonts w:hint="eastAsia"/>
              </w:rPr>
              <w:t>瓦楞纸箱</w:t>
            </w:r>
          </w:p>
        </w:tc>
        <w:tc>
          <w:tcPr>
            <w:tcW w:w="2257" w:type="dxa"/>
            <w:vAlign w:val="center"/>
          </w:tcPr>
          <w:p w14:paraId="6F26C6A2">
            <w:pPr>
              <w:pStyle w:val="19"/>
              <w:widowControl w:val="0"/>
              <w:ind w:firstLine="0" w:firstLineChars="0"/>
              <w:jc w:val="center"/>
              <w:rPr>
                <w:rFonts w:hint="eastAsia"/>
                <w:vertAlign w:val="baseline"/>
              </w:rPr>
            </w:pPr>
            <w:r>
              <w:rPr>
                <w:rFonts w:hint="eastAsia"/>
                <w:vertAlign w:val="baseline"/>
                <w:lang w:val="en-US" w:eastAsia="zh-CN"/>
              </w:rPr>
              <w:t>10kg、15kg</w:t>
            </w:r>
          </w:p>
        </w:tc>
        <w:tc>
          <w:tcPr>
            <w:tcW w:w="1906" w:type="dxa"/>
            <w:vAlign w:val="center"/>
          </w:tcPr>
          <w:p w14:paraId="64F0CB62">
            <w:pPr>
              <w:pStyle w:val="19"/>
              <w:widowControl w:val="0"/>
              <w:ind w:firstLine="0" w:firstLineChars="0"/>
              <w:jc w:val="center"/>
              <w:rPr>
                <w:rFonts w:hint="eastAsia"/>
                <w:vertAlign w:val="baseline"/>
              </w:rPr>
            </w:pPr>
            <w:r>
              <w:rPr>
                <w:rFonts w:hint="eastAsia"/>
                <w:vertAlign w:val="baseline"/>
                <w:lang w:val="en-US" w:eastAsia="zh-CN"/>
              </w:rPr>
              <w:t>≤5层</w:t>
            </w:r>
          </w:p>
        </w:tc>
        <w:tc>
          <w:tcPr>
            <w:tcW w:w="2199" w:type="dxa"/>
            <w:vAlign w:val="center"/>
          </w:tcPr>
          <w:p w14:paraId="0D6686E7">
            <w:pPr>
              <w:pStyle w:val="19"/>
              <w:widowControl w:val="0"/>
              <w:ind w:firstLine="0" w:firstLineChars="0"/>
              <w:jc w:val="center"/>
              <w:rPr>
                <w:rFonts w:hint="eastAsia"/>
                <w:vertAlign w:val="baseline"/>
              </w:rPr>
            </w:pPr>
            <w:r>
              <w:rPr>
                <w:rFonts w:hint="eastAsia"/>
                <w:vertAlign w:val="baseline"/>
              </w:rPr>
              <w:t>箱内用隔板分隔成</w:t>
            </w:r>
            <w:r>
              <w:rPr>
                <w:rFonts w:hint="eastAsia"/>
                <w:vertAlign w:val="baseline"/>
                <w:lang w:val="en-US" w:eastAsia="zh-CN"/>
              </w:rPr>
              <w:t>3层</w:t>
            </w:r>
          </w:p>
        </w:tc>
      </w:tr>
      <w:tr w14:paraId="6FEA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932" w:type="dxa"/>
            <w:vAlign w:val="center"/>
          </w:tcPr>
          <w:p w14:paraId="1E98C532">
            <w:pPr>
              <w:pStyle w:val="19"/>
              <w:widowControl w:val="0"/>
              <w:ind w:firstLine="0" w:firstLineChars="0"/>
              <w:jc w:val="center"/>
              <w:rPr>
                <w:rFonts w:hint="eastAsia"/>
                <w:vertAlign w:val="baseline"/>
              </w:rPr>
            </w:pPr>
            <w:r>
              <w:rPr>
                <w:rFonts w:hint="eastAsia"/>
              </w:rPr>
              <w:t>塑料周转箱</w:t>
            </w:r>
          </w:p>
        </w:tc>
        <w:tc>
          <w:tcPr>
            <w:tcW w:w="2257" w:type="dxa"/>
            <w:vAlign w:val="center"/>
          </w:tcPr>
          <w:p w14:paraId="73964AF1">
            <w:pPr>
              <w:pStyle w:val="19"/>
              <w:widowControl w:val="0"/>
              <w:ind w:firstLine="0" w:firstLineChars="0"/>
              <w:jc w:val="center"/>
              <w:rPr>
                <w:rFonts w:hint="eastAsia"/>
                <w:vertAlign w:val="baseline"/>
              </w:rPr>
            </w:pPr>
            <w:r>
              <w:rPr>
                <w:rFonts w:hint="eastAsia"/>
                <w:vertAlign w:val="baseline"/>
                <w:lang w:val="en-US" w:eastAsia="zh-CN"/>
              </w:rPr>
              <w:t>10kg、15kg</w:t>
            </w:r>
          </w:p>
        </w:tc>
        <w:tc>
          <w:tcPr>
            <w:tcW w:w="1906" w:type="dxa"/>
            <w:vAlign w:val="center"/>
          </w:tcPr>
          <w:p w14:paraId="2A176859">
            <w:pPr>
              <w:pStyle w:val="19"/>
              <w:widowControl w:val="0"/>
              <w:ind w:firstLine="0" w:firstLineChars="0"/>
              <w:jc w:val="center"/>
              <w:rPr>
                <w:rFonts w:hint="eastAsia"/>
                <w:vertAlign w:val="baseline"/>
              </w:rPr>
            </w:pPr>
            <w:r>
              <w:rPr>
                <w:rFonts w:hint="eastAsia"/>
                <w:vertAlign w:val="baseline"/>
                <w:lang w:val="en-US" w:eastAsia="zh-CN"/>
              </w:rPr>
              <w:t>≤4层</w:t>
            </w:r>
          </w:p>
        </w:tc>
        <w:tc>
          <w:tcPr>
            <w:tcW w:w="2199" w:type="dxa"/>
            <w:vAlign w:val="center"/>
          </w:tcPr>
          <w:p w14:paraId="549498DA">
            <w:pPr>
              <w:pStyle w:val="19"/>
              <w:widowControl w:val="0"/>
              <w:ind w:firstLine="0" w:firstLineChars="0"/>
              <w:jc w:val="center"/>
              <w:rPr>
                <w:rFonts w:hint="eastAsia"/>
                <w:vertAlign w:val="baseline"/>
              </w:rPr>
            </w:pPr>
            <w:r>
              <w:rPr>
                <w:rFonts w:hint="eastAsia"/>
                <w:vertAlign w:val="baseline"/>
              </w:rPr>
              <w:t>箱盖与箱体应扣合紧密</w:t>
            </w:r>
          </w:p>
        </w:tc>
      </w:tr>
      <w:tr w14:paraId="22B34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932" w:type="dxa"/>
            <w:vAlign w:val="center"/>
          </w:tcPr>
          <w:p w14:paraId="1DC6A23C">
            <w:pPr>
              <w:pStyle w:val="19"/>
              <w:widowControl w:val="0"/>
              <w:ind w:firstLine="0" w:firstLineChars="0"/>
              <w:jc w:val="center"/>
              <w:rPr>
                <w:rFonts w:hint="eastAsia"/>
                <w:vertAlign w:val="baseline"/>
              </w:rPr>
            </w:pPr>
            <w:r>
              <w:rPr>
                <w:rFonts w:hint="eastAsia"/>
              </w:rPr>
              <w:t>保温箱（冷链</w:t>
            </w:r>
            <w:r>
              <w:rPr>
                <w:rFonts w:hint="eastAsia"/>
                <w:lang w:eastAsia="zh-CN"/>
              </w:rPr>
              <w:t>）</w:t>
            </w:r>
          </w:p>
        </w:tc>
        <w:tc>
          <w:tcPr>
            <w:tcW w:w="2257" w:type="dxa"/>
            <w:vAlign w:val="center"/>
          </w:tcPr>
          <w:p w14:paraId="680FFD47">
            <w:pPr>
              <w:pStyle w:val="19"/>
              <w:widowControl w:val="0"/>
              <w:ind w:firstLine="0" w:firstLineChars="0"/>
              <w:jc w:val="center"/>
              <w:rPr>
                <w:rFonts w:hint="eastAsia"/>
                <w:vertAlign w:val="baseline"/>
              </w:rPr>
            </w:pPr>
            <w:r>
              <w:rPr>
                <w:rFonts w:hint="eastAsia"/>
                <w:vertAlign w:val="baseline"/>
                <w:lang w:val="en-US" w:eastAsia="zh-CN"/>
              </w:rPr>
              <w:t>5kg、10kg</w:t>
            </w:r>
          </w:p>
        </w:tc>
        <w:tc>
          <w:tcPr>
            <w:tcW w:w="1906" w:type="dxa"/>
            <w:vAlign w:val="center"/>
          </w:tcPr>
          <w:p w14:paraId="08B48FC0">
            <w:pPr>
              <w:pStyle w:val="19"/>
              <w:widowControl w:val="0"/>
              <w:ind w:firstLine="0" w:firstLineChars="0"/>
              <w:jc w:val="center"/>
              <w:rPr>
                <w:rFonts w:hint="eastAsia"/>
                <w:vertAlign w:val="baseline"/>
              </w:rPr>
            </w:pPr>
            <w:r>
              <w:rPr>
                <w:rFonts w:hint="eastAsia"/>
                <w:vertAlign w:val="baseline"/>
              </w:rPr>
              <w:t>≤3层</w:t>
            </w:r>
          </w:p>
        </w:tc>
        <w:tc>
          <w:tcPr>
            <w:tcW w:w="2199" w:type="dxa"/>
            <w:vAlign w:val="center"/>
          </w:tcPr>
          <w:p w14:paraId="21A65C58">
            <w:pPr>
              <w:pStyle w:val="19"/>
              <w:widowControl w:val="0"/>
              <w:ind w:firstLine="0" w:firstLineChars="0"/>
              <w:jc w:val="center"/>
              <w:rPr>
                <w:rFonts w:hint="eastAsia"/>
                <w:vertAlign w:val="baseline"/>
              </w:rPr>
            </w:pPr>
            <w:r>
              <w:rPr>
                <w:rFonts w:hint="eastAsia"/>
                <w:vertAlign w:val="baseline"/>
              </w:rPr>
              <w:t>配套冰袋数量≥1个/5kg</w:t>
            </w:r>
          </w:p>
        </w:tc>
      </w:tr>
    </w:tbl>
    <w:p w14:paraId="1FAA6CD3">
      <w:pPr>
        <w:pStyle w:val="11"/>
        <w:ind w:left="0" w:leftChars="0" w:firstLine="0" w:firstLineChars="0"/>
        <w:rPr>
          <w:rFonts w:hint="eastAsia"/>
        </w:rPr>
      </w:pPr>
    </w:p>
    <w:p w14:paraId="68DBC6E0">
      <w:pPr>
        <w:spacing w:line="114" w:lineRule="exact"/>
      </w:pPr>
    </w:p>
    <w:p w14:paraId="1988B386">
      <w:pPr>
        <w:pStyle w:val="14"/>
        <w:spacing w:before="120" w:after="120"/>
        <w:rPr>
          <w:rFonts w:hint="eastAsia"/>
          <w:lang w:val="en-US" w:eastAsia="zh-CN"/>
        </w:rPr>
      </w:pPr>
      <w:bookmarkStart w:id="15" w:name="_Toc3168"/>
      <w:r>
        <w:rPr>
          <w:rFonts w:hint="eastAsia"/>
          <w:lang w:val="en-US" w:eastAsia="zh-CN"/>
        </w:rPr>
        <w:t>包装形式</w:t>
      </w:r>
      <w:bookmarkEnd w:id="15"/>
    </w:p>
    <w:p w14:paraId="125267A4">
      <w:pPr>
        <w:pStyle w:val="11"/>
        <w:ind w:firstLine="420"/>
        <w:rPr>
          <w:rFonts w:hint="eastAsia"/>
        </w:rPr>
      </w:pPr>
      <w:r>
        <w:rPr>
          <w:rFonts w:hint="eastAsia"/>
        </w:rPr>
        <w:t>根据流通场景不同，包装组合形式如下表所示：</w:t>
      </w:r>
    </w:p>
    <w:p w14:paraId="6B84931A">
      <w:pPr>
        <w:pStyle w:val="18"/>
        <w:tabs>
          <w:tab w:val="left" w:pos="0"/>
        </w:tabs>
        <w:spacing w:before="120" w:after="120"/>
        <w:rPr>
          <w:rFonts w:hint="eastAsia"/>
        </w:rPr>
      </w:pPr>
      <w:r>
        <w:rPr>
          <w:rFonts w:hint="eastAsia"/>
        </w:rPr>
        <w:t>大宁宁粹苹果包装形式组合表</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8"/>
        <w:gridCol w:w="3579"/>
        <w:gridCol w:w="2786"/>
      </w:tblGrid>
      <w:tr w14:paraId="5E6D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vAlign w:val="center"/>
          </w:tcPr>
          <w:p w14:paraId="7788D542">
            <w:pPr>
              <w:pStyle w:val="19"/>
              <w:widowControl w:val="0"/>
              <w:ind w:firstLine="0" w:firstLineChars="0"/>
              <w:jc w:val="center"/>
              <w:rPr>
                <w:rFonts w:hint="eastAsia"/>
                <w:vertAlign w:val="baseline"/>
              </w:rPr>
            </w:pPr>
            <w:r>
              <w:rPr>
                <w:rFonts w:hint="eastAsia"/>
              </w:rPr>
              <w:t>流通场景</w:t>
            </w:r>
          </w:p>
        </w:tc>
        <w:tc>
          <w:tcPr>
            <w:tcW w:w="3579" w:type="dxa"/>
            <w:vAlign w:val="center"/>
          </w:tcPr>
          <w:p w14:paraId="084006D8">
            <w:pPr>
              <w:pStyle w:val="19"/>
              <w:widowControl w:val="0"/>
              <w:ind w:firstLine="0" w:firstLineChars="0"/>
              <w:jc w:val="center"/>
              <w:rPr>
                <w:rFonts w:hint="eastAsia"/>
                <w:vertAlign w:val="baseline"/>
              </w:rPr>
            </w:pPr>
            <w:r>
              <w:rPr>
                <w:rFonts w:hint="eastAsia"/>
              </w:rPr>
              <w:t>内包装组合</w:t>
            </w:r>
          </w:p>
        </w:tc>
        <w:tc>
          <w:tcPr>
            <w:tcW w:w="2786" w:type="dxa"/>
            <w:vAlign w:val="center"/>
          </w:tcPr>
          <w:p w14:paraId="0D6268C8">
            <w:pPr>
              <w:pStyle w:val="19"/>
              <w:widowControl w:val="0"/>
              <w:ind w:firstLine="0" w:firstLineChars="0"/>
              <w:jc w:val="center"/>
              <w:rPr>
                <w:rFonts w:hint="eastAsia"/>
                <w:vertAlign w:val="baseline"/>
              </w:rPr>
            </w:pPr>
            <w:r>
              <w:rPr>
                <w:rFonts w:hint="eastAsia"/>
              </w:rPr>
              <w:t>外包装形式</w:t>
            </w:r>
          </w:p>
        </w:tc>
      </w:tr>
      <w:tr w14:paraId="55E4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vAlign w:val="center"/>
          </w:tcPr>
          <w:p w14:paraId="7144A303">
            <w:pPr>
              <w:pStyle w:val="19"/>
              <w:widowControl w:val="0"/>
              <w:ind w:firstLine="0" w:firstLineChars="0"/>
              <w:jc w:val="center"/>
              <w:rPr>
                <w:rFonts w:hint="eastAsia"/>
                <w:vertAlign w:val="baseline"/>
              </w:rPr>
            </w:pPr>
            <w:r>
              <w:rPr>
                <w:rFonts w:hint="eastAsia"/>
              </w:rPr>
              <w:t>超市/电商零售</w:t>
            </w:r>
          </w:p>
        </w:tc>
        <w:tc>
          <w:tcPr>
            <w:tcW w:w="3579" w:type="dxa"/>
            <w:vAlign w:val="center"/>
          </w:tcPr>
          <w:p w14:paraId="16C72F8D">
            <w:pPr>
              <w:pStyle w:val="19"/>
              <w:widowControl w:val="0"/>
              <w:ind w:firstLine="0" w:firstLineChars="0"/>
              <w:jc w:val="center"/>
              <w:rPr>
                <w:rFonts w:hint="eastAsia"/>
                <w:vertAlign w:val="baseline"/>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2786" w:type="dxa"/>
            <w:vAlign w:val="center"/>
          </w:tcPr>
          <w:p w14:paraId="7201BD4C">
            <w:pPr>
              <w:pStyle w:val="19"/>
              <w:widowControl w:val="0"/>
              <w:ind w:firstLine="0" w:firstLineChars="0"/>
              <w:jc w:val="center"/>
              <w:rPr>
                <w:rFonts w:hint="eastAsia"/>
                <w:vertAlign w:val="baseline"/>
              </w:rPr>
            </w:pPr>
            <w:r>
              <w:rPr>
                <w:rFonts w:hint="eastAsia"/>
                <w:vertAlign w:val="baseline"/>
              </w:rPr>
              <w:t>彩色瓦楞纸盒</w:t>
            </w:r>
          </w:p>
          <w:p w14:paraId="041B7C26">
            <w:pPr>
              <w:pStyle w:val="19"/>
              <w:widowControl w:val="0"/>
              <w:ind w:firstLine="0" w:firstLineChars="0"/>
              <w:jc w:val="center"/>
              <w:rPr>
                <w:rFonts w:hint="eastAsia"/>
                <w:vertAlign w:val="baseline"/>
              </w:rPr>
            </w:pPr>
            <w:r>
              <w:rPr>
                <w:rFonts w:hint="eastAsia"/>
                <w:vertAlign w:val="baseline"/>
                <w:lang w:eastAsia="zh-CN"/>
              </w:rPr>
              <w:t>（</w:t>
            </w:r>
            <w:r>
              <w:rPr>
                <w:rFonts w:hint="eastAsia"/>
                <w:vertAlign w:val="baseline"/>
              </w:rPr>
              <w:t>带区域品牌标识</w:t>
            </w:r>
            <w:r>
              <w:rPr>
                <w:rFonts w:hint="eastAsia"/>
                <w:vertAlign w:val="baseline"/>
                <w:lang w:eastAsia="zh-CN"/>
              </w:rPr>
              <w:t>）</w:t>
            </w:r>
          </w:p>
        </w:tc>
      </w:tr>
      <w:tr w14:paraId="5917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vAlign w:val="center"/>
          </w:tcPr>
          <w:p w14:paraId="71370CC5">
            <w:pPr>
              <w:pStyle w:val="19"/>
              <w:widowControl w:val="0"/>
              <w:ind w:firstLine="0" w:firstLineChars="0"/>
              <w:jc w:val="center"/>
              <w:rPr>
                <w:rFonts w:hint="eastAsia"/>
                <w:vertAlign w:val="baseline"/>
              </w:rPr>
            </w:pPr>
            <w:r>
              <w:rPr>
                <w:rFonts w:hint="eastAsia"/>
              </w:rPr>
              <w:t>农贸市场零售</w:t>
            </w:r>
          </w:p>
        </w:tc>
        <w:tc>
          <w:tcPr>
            <w:tcW w:w="3579" w:type="dxa"/>
            <w:vAlign w:val="center"/>
          </w:tcPr>
          <w:p w14:paraId="1A4774A6">
            <w:pPr>
              <w:pStyle w:val="19"/>
              <w:widowControl w:val="0"/>
              <w:ind w:firstLine="0" w:firstLineChars="0"/>
              <w:jc w:val="center"/>
              <w:rPr>
                <w:rFonts w:hint="eastAsia"/>
                <w:vertAlign w:val="baseline"/>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2786" w:type="dxa"/>
            <w:vAlign w:val="center"/>
          </w:tcPr>
          <w:p w14:paraId="034EB325">
            <w:pPr>
              <w:pStyle w:val="19"/>
              <w:widowControl w:val="0"/>
              <w:ind w:firstLine="0" w:firstLineChars="0"/>
              <w:jc w:val="center"/>
              <w:rPr>
                <w:rFonts w:hint="eastAsia"/>
                <w:vertAlign w:val="baseline"/>
              </w:rPr>
            </w:pPr>
            <w:r>
              <w:rPr>
                <w:rFonts w:hint="eastAsia"/>
                <w:vertAlign w:val="baseline"/>
              </w:rPr>
              <w:t>彩色瓦楞纸盒</w:t>
            </w:r>
          </w:p>
          <w:p w14:paraId="6F6452C7">
            <w:pPr>
              <w:pStyle w:val="19"/>
              <w:widowControl w:val="0"/>
              <w:ind w:firstLine="0" w:firstLineChars="0"/>
              <w:jc w:val="center"/>
              <w:rPr>
                <w:rFonts w:hint="eastAsia"/>
                <w:vertAlign w:val="baseline"/>
              </w:rPr>
            </w:pPr>
            <w:r>
              <w:rPr>
                <w:rFonts w:hint="eastAsia"/>
                <w:vertAlign w:val="baseline"/>
                <w:lang w:eastAsia="zh-CN"/>
              </w:rPr>
              <w:t>（</w:t>
            </w:r>
            <w:r>
              <w:rPr>
                <w:rFonts w:hint="eastAsia"/>
                <w:vertAlign w:val="baseline"/>
              </w:rPr>
              <w:t>带区域品牌标识</w:t>
            </w:r>
            <w:r>
              <w:rPr>
                <w:rFonts w:hint="eastAsia"/>
                <w:vertAlign w:val="baseline"/>
                <w:lang w:eastAsia="zh-CN"/>
              </w:rPr>
              <w:t>）</w:t>
            </w:r>
          </w:p>
        </w:tc>
      </w:tr>
      <w:tr w14:paraId="0834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vAlign w:val="center"/>
          </w:tcPr>
          <w:p w14:paraId="4DA28B26">
            <w:pPr>
              <w:pStyle w:val="19"/>
              <w:widowControl w:val="0"/>
              <w:ind w:firstLine="0" w:firstLineChars="0"/>
              <w:jc w:val="center"/>
              <w:rPr>
                <w:rFonts w:hint="eastAsia"/>
                <w:vertAlign w:val="baseline"/>
              </w:rPr>
            </w:pPr>
            <w:r>
              <w:rPr>
                <w:rFonts w:hint="eastAsia"/>
              </w:rPr>
              <w:t>长途运输</w:t>
            </w:r>
          </w:p>
        </w:tc>
        <w:tc>
          <w:tcPr>
            <w:tcW w:w="3579" w:type="dxa"/>
            <w:vAlign w:val="center"/>
          </w:tcPr>
          <w:p w14:paraId="455E745E">
            <w:pPr>
              <w:pStyle w:val="19"/>
              <w:widowControl w:val="0"/>
              <w:ind w:firstLine="0" w:firstLineChars="0"/>
              <w:jc w:val="center"/>
              <w:rPr>
                <w:rFonts w:hint="eastAsia"/>
                <w:vertAlign w:val="baseline"/>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2786" w:type="dxa"/>
            <w:vAlign w:val="center"/>
          </w:tcPr>
          <w:p w14:paraId="301CCF71">
            <w:pPr>
              <w:pStyle w:val="19"/>
              <w:widowControl w:val="0"/>
              <w:ind w:firstLine="0" w:firstLineChars="0"/>
              <w:jc w:val="center"/>
              <w:rPr>
                <w:rFonts w:hint="eastAsia"/>
                <w:vertAlign w:val="baseline"/>
              </w:rPr>
            </w:pPr>
            <w:r>
              <w:rPr>
                <w:rFonts w:hint="eastAsia"/>
                <w:vertAlign w:val="baseline"/>
              </w:rPr>
              <w:t>彩色瓦楞纸盒</w:t>
            </w:r>
          </w:p>
          <w:p w14:paraId="6C30A163">
            <w:pPr>
              <w:pStyle w:val="19"/>
              <w:widowControl w:val="0"/>
              <w:ind w:firstLine="0" w:firstLineChars="0"/>
              <w:jc w:val="center"/>
              <w:rPr>
                <w:rFonts w:hint="eastAsia"/>
                <w:vertAlign w:val="baseline"/>
              </w:rPr>
            </w:pPr>
            <w:r>
              <w:rPr>
                <w:rFonts w:hint="eastAsia"/>
                <w:vertAlign w:val="baseline"/>
                <w:lang w:eastAsia="zh-CN"/>
              </w:rPr>
              <w:t>（</w:t>
            </w:r>
            <w:r>
              <w:rPr>
                <w:rFonts w:hint="eastAsia"/>
                <w:vertAlign w:val="baseline"/>
              </w:rPr>
              <w:t>带区域品牌标识</w:t>
            </w:r>
            <w:r>
              <w:rPr>
                <w:rFonts w:hint="eastAsia"/>
                <w:vertAlign w:val="baseline"/>
                <w:lang w:eastAsia="zh-CN"/>
              </w:rPr>
              <w:t>）</w:t>
            </w:r>
          </w:p>
        </w:tc>
      </w:tr>
      <w:tr w14:paraId="5D2D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vAlign w:val="center"/>
          </w:tcPr>
          <w:p w14:paraId="2F42A41C">
            <w:pPr>
              <w:pStyle w:val="19"/>
              <w:widowControl w:val="0"/>
              <w:ind w:firstLine="0" w:firstLineChars="0"/>
              <w:jc w:val="center"/>
              <w:rPr>
                <w:rFonts w:hint="eastAsia"/>
                <w:vertAlign w:val="baseline"/>
              </w:rPr>
            </w:pPr>
            <w:r>
              <w:rPr>
                <w:rFonts w:hint="eastAsia"/>
              </w:rPr>
              <w:t>冷链配送</w:t>
            </w:r>
          </w:p>
        </w:tc>
        <w:tc>
          <w:tcPr>
            <w:tcW w:w="3579" w:type="dxa"/>
            <w:vAlign w:val="center"/>
          </w:tcPr>
          <w:p w14:paraId="5B1D1107">
            <w:pPr>
              <w:pStyle w:val="19"/>
              <w:widowControl w:val="0"/>
              <w:ind w:firstLine="0" w:firstLineChars="0"/>
              <w:jc w:val="center"/>
              <w:rPr>
                <w:rFonts w:hint="eastAsia"/>
                <w:vertAlign w:val="baseline"/>
              </w:rPr>
            </w:pPr>
            <w:r>
              <w:rPr>
                <w:rFonts w:hint="eastAsia" w:ascii="宋体" w:hAnsi="Times New Roman" w:eastAsia="宋体" w:cs="Times New Roman"/>
                <w:snapToGrid/>
                <w:color w:val="auto"/>
                <w:kern w:val="0"/>
                <w:sz w:val="18"/>
                <w:szCs w:val="20"/>
                <w:lang w:val="en-US" w:eastAsia="zh-CN" w:bidi="ar-SA"/>
              </w:rPr>
              <w:t>网套+珍珠棉+降解膜+硫酸纸+售后卡</w:t>
            </w:r>
          </w:p>
        </w:tc>
        <w:tc>
          <w:tcPr>
            <w:tcW w:w="2786" w:type="dxa"/>
            <w:vAlign w:val="center"/>
          </w:tcPr>
          <w:p w14:paraId="3DBBE1D6">
            <w:pPr>
              <w:pStyle w:val="19"/>
              <w:widowControl w:val="0"/>
              <w:ind w:firstLine="0" w:firstLineChars="0"/>
              <w:jc w:val="center"/>
              <w:rPr>
                <w:rFonts w:hint="eastAsia"/>
                <w:vertAlign w:val="baseline"/>
              </w:rPr>
            </w:pPr>
            <w:r>
              <w:rPr>
                <w:rFonts w:hint="eastAsia"/>
                <w:vertAlign w:val="baseline"/>
              </w:rPr>
              <w:t>彩色瓦楞纸盒</w:t>
            </w:r>
          </w:p>
          <w:p w14:paraId="12D726DF">
            <w:pPr>
              <w:pStyle w:val="19"/>
              <w:widowControl w:val="0"/>
              <w:ind w:firstLine="0" w:firstLineChars="0"/>
              <w:jc w:val="center"/>
              <w:rPr>
                <w:rFonts w:hint="eastAsia"/>
                <w:vertAlign w:val="baseline"/>
              </w:rPr>
            </w:pPr>
            <w:r>
              <w:rPr>
                <w:rFonts w:hint="eastAsia"/>
                <w:vertAlign w:val="baseline"/>
                <w:lang w:eastAsia="zh-CN"/>
              </w:rPr>
              <w:t>（</w:t>
            </w:r>
            <w:r>
              <w:rPr>
                <w:rFonts w:hint="eastAsia"/>
                <w:vertAlign w:val="baseline"/>
              </w:rPr>
              <w:t>带区域品牌标识</w:t>
            </w:r>
            <w:r>
              <w:rPr>
                <w:rFonts w:hint="eastAsia"/>
                <w:vertAlign w:val="baseline"/>
                <w:lang w:eastAsia="zh-CN"/>
              </w:rPr>
              <w:t>）</w:t>
            </w:r>
          </w:p>
        </w:tc>
      </w:tr>
    </w:tbl>
    <w:p w14:paraId="25723D9A">
      <w:pPr>
        <w:pStyle w:val="11"/>
        <w:ind w:left="0" w:leftChars="0" w:firstLine="0" w:firstLineChars="0"/>
        <w:rPr>
          <w:rFonts w:hint="eastAsia"/>
        </w:rPr>
      </w:pPr>
    </w:p>
    <w:p w14:paraId="54310840">
      <w:pPr>
        <w:spacing w:line="94" w:lineRule="exact"/>
      </w:pPr>
    </w:p>
    <w:p w14:paraId="790A0409">
      <w:pPr>
        <w:rPr>
          <w:rFonts w:hint="eastAsia"/>
        </w:rPr>
      </w:pPr>
      <w:r>
        <w:rPr>
          <w:rFonts w:hint="eastAsia"/>
        </w:rPr>
        <w:br w:type="page"/>
      </w:r>
    </w:p>
    <w:p w14:paraId="50B3A643">
      <w:pPr>
        <w:pStyle w:val="14"/>
        <w:spacing w:before="120" w:after="120"/>
        <w:rPr>
          <w:rFonts w:hint="eastAsia"/>
          <w:lang w:val="en-US" w:eastAsia="zh-CN"/>
        </w:rPr>
      </w:pPr>
      <w:bookmarkStart w:id="16" w:name="_Toc29166"/>
      <w:r>
        <w:rPr>
          <w:rFonts w:hint="eastAsia"/>
          <w:lang w:val="en-US" w:eastAsia="zh-CN"/>
        </w:rPr>
        <w:t>包装工艺要求</w:t>
      </w:r>
      <w:bookmarkEnd w:id="16"/>
    </w:p>
    <w:p w14:paraId="6A7EA051">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果实装入内包装前应剔除破损、畸形果，确保同批次果实大小差异≤5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mm（横径）；</w:t>
      </w:r>
    </w:p>
    <w:p w14:paraId="4860890D">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网套应完全包裹果实，托盘凹槽内不得放置超过1个果实；</w:t>
      </w:r>
    </w:p>
    <w:p w14:paraId="291A6B80">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瓦楞纸箱封箱应采用胶带（宽度≥5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cm）或钉合（钉距≤5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cm），确保封口牢固；</w:t>
      </w:r>
    </w:p>
    <w:p w14:paraId="5FE17212">
      <w:pPr>
        <w:pStyle w:val="15"/>
        <w:spacing w:before="120" w:after="120"/>
        <w:rPr>
          <w:rFonts w:hint="eastAsia"/>
        </w:rPr>
      </w:pPr>
      <w:r>
        <w:rPr>
          <w:rFonts w:hint="eastAsia" w:ascii="宋体" w:hAnsi="Times New Roman" w:eastAsia="宋体" w:cs="Times New Roman"/>
          <w:sz w:val="21"/>
          <w:lang w:val="en-US" w:eastAsia="zh-CN" w:bidi="ar-SA"/>
        </w:rPr>
        <w:t>保温箱包装时，冰袋应与果实包装隔开（用隔板或薄膜），避免果实受冻。</w:t>
      </w:r>
    </w:p>
    <w:p w14:paraId="562A27BB">
      <w:pPr>
        <w:pStyle w:val="13"/>
        <w:spacing w:before="240" w:after="240"/>
        <w:rPr>
          <w:rFonts w:hint="eastAsia"/>
        </w:rPr>
      </w:pPr>
      <w:bookmarkStart w:id="17" w:name="_Toc25316"/>
      <w:r>
        <w:rPr>
          <w:rFonts w:hint="eastAsia"/>
        </w:rPr>
        <w:t>标识</w:t>
      </w:r>
      <w:bookmarkEnd w:id="17"/>
    </w:p>
    <w:p w14:paraId="53948DDF">
      <w:pPr>
        <w:pStyle w:val="14"/>
        <w:spacing w:before="120" w:after="120"/>
        <w:rPr>
          <w:rFonts w:hint="eastAsia"/>
          <w:lang w:val="en-US" w:eastAsia="zh-CN"/>
        </w:rPr>
      </w:pPr>
      <w:bookmarkStart w:id="18" w:name="_Toc23060"/>
      <w:r>
        <w:rPr>
          <w:rFonts w:hint="eastAsia"/>
          <w:lang w:val="en-US" w:eastAsia="zh-CN"/>
        </w:rPr>
        <w:t>基本标识</w:t>
      </w:r>
      <w:bookmarkEnd w:id="18"/>
    </w:p>
    <w:p w14:paraId="7101EACD">
      <w:pPr>
        <w:pStyle w:val="11"/>
        <w:ind w:firstLine="420"/>
        <w:rPr>
          <w:rFonts w:hint="eastAsia"/>
        </w:rPr>
      </w:pPr>
      <w:r>
        <w:rPr>
          <w:rFonts w:hint="eastAsia"/>
        </w:rPr>
        <w:t>每个包装单元（内包装或外包装）应标注以下内容：</w:t>
      </w:r>
    </w:p>
    <w:p w14:paraId="7615875C">
      <w:pPr>
        <w:pStyle w:val="11"/>
        <w:ind w:firstLine="420"/>
        <w:rPr>
          <w:rFonts w:hint="eastAsia"/>
        </w:rPr>
      </w:pPr>
      <w:r>
        <w:rPr>
          <w:rFonts w:hint="eastAsia"/>
        </w:rPr>
        <w:t>——产品名称：“大宁宁粹苹果”（需突出区域品牌名称）；</w:t>
      </w:r>
    </w:p>
    <w:p w14:paraId="6BD314F1">
      <w:pPr>
        <w:pStyle w:val="11"/>
        <w:ind w:firstLine="420"/>
        <w:rPr>
          <w:rFonts w:hint="eastAsia"/>
        </w:rPr>
      </w:pPr>
      <w:r>
        <w:rPr>
          <w:rFonts w:hint="eastAsia"/>
        </w:rPr>
        <w:t>——等级：明确标注“特级”“一级”或“二级”；</w:t>
      </w:r>
    </w:p>
    <w:p w14:paraId="21A570BB">
      <w:pPr>
        <w:pStyle w:val="11"/>
        <w:ind w:firstLine="420"/>
        <w:rPr>
          <w:rFonts w:hint="eastAsia"/>
        </w:rPr>
      </w:pPr>
      <w:r>
        <w:rPr>
          <w:rFonts w:hint="eastAsia"/>
        </w:rPr>
        <w:t>——净含量：以“kg”或“g”为单位，误差符合《定量包装商品计量监督管理办法》；</w:t>
      </w:r>
    </w:p>
    <w:p w14:paraId="2D090FD9">
      <w:pPr>
        <w:pStyle w:val="11"/>
        <w:ind w:firstLine="420"/>
        <w:rPr>
          <w:rFonts w:hint="eastAsia"/>
        </w:rPr>
      </w:pPr>
      <w:r>
        <w:rPr>
          <w:rFonts w:hint="eastAsia"/>
        </w:rPr>
        <w:t>——生产者信息：名称、地址、联系方式；</w:t>
      </w:r>
    </w:p>
    <w:p w14:paraId="6E978584">
      <w:pPr>
        <w:pStyle w:val="11"/>
        <w:ind w:firstLine="420"/>
        <w:rPr>
          <w:rFonts w:hint="eastAsia"/>
        </w:rPr>
      </w:pPr>
      <w:r>
        <w:rPr>
          <w:rFonts w:hint="eastAsia"/>
        </w:rPr>
        <w:t>——采收日期：精确到日；</w:t>
      </w:r>
    </w:p>
    <w:p w14:paraId="2E29E144">
      <w:pPr>
        <w:pStyle w:val="11"/>
        <w:ind w:firstLine="420"/>
        <w:rPr>
          <w:rFonts w:hint="eastAsia"/>
        </w:rPr>
      </w:pPr>
      <w:r>
        <w:rPr>
          <w:rFonts w:hint="eastAsia"/>
        </w:rPr>
        <w:t>——贮存条件：“冷藏</w:t>
      </w:r>
      <w:r>
        <w:rPr>
          <w:rFonts w:hint="eastAsia"/>
          <w:lang w:val="en-US" w:eastAsia="zh-CN"/>
        </w:rPr>
        <w:t xml:space="preserve">-1 </w:t>
      </w:r>
      <w:r>
        <w:rPr>
          <w:rFonts w:hint="eastAsia"/>
        </w:rPr>
        <w:t>℃～</w:t>
      </w:r>
      <w:r>
        <w:rPr>
          <w:rFonts w:hint="eastAsia"/>
          <w:lang w:val="en-US" w:eastAsia="zh-CN"/>
        </w:rPr>
        <w:t xml:space="preserve"> -2 </w:t>
      </w:r>
      <w:r>
        <w:rPr>
          <w:rFonts w:hint="eastAsia"/>
        </w:rPr>
        <w:t>℃，相对湿度</w:t>
      </w:r>
      <w:r>
        <w:rPr>
          <w:rFonts w:hint="eastAsia"/>
          <w:lang w:val="en-US" w:eastAsia="zh-CN"/>
        </w:rPr>
        <w:t xml:space="preserve">90 </w:t>
      </w:r>
      <w:r>
        <w:rPr>
          <w:rFonts w:hint="eastAsia"/>
        </w:rPr>
        <w:t>%～9</w:t>
      </w:r>
      <w:r>
        <w:rPr>
          <w:rFonts w:hint="eastAsia"/>
          <w:lang w:val="en-US" w:eastAsia="zh-CN"/>
        </w:rPr>
        <w:t xml:space="preserve">5 </w:t>
      </w:r>
      <w:r>
        <w:rPr>
          <w:rFonts w:hint="eastAsia"/>
        </w:rPr>
        <w:t>%”。</w:t>
      </w:r>
    </w:p>
    <w:p w14:paraId="6CE40A48">
      <w:pPr>
        <w:pStyle w:val="14"/>
        <w:spacing w:before="120" w:after="120"/>
        <w:rPr>
          <w:rFonts w:hint="eastAsia"/>
          <w:lang w:val="en-US" w:eastAsia="zh-CN"/>
        </w:rPr>
      </w:pPr>
      <w:bookmarkStart w:id="19" w:name="_Toc18812"/>
      <w:r>
        <w:rPr>
          <w:rFonts w:hint="eastAsia"/>
          <w:lang w:val="en-US" w:eastAsia="zh-CN"/>
        </w:rPr>
        <w:t>品牌与溯源标识</w:t>
      </w:r>
      <w:bookmarkEnd w:id="19"/>
    </w:p>
    <w:p w14:paraId="227F36F3">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区域品牌标识：应在包装正面显著位置印制，图案、字体应与品牌授权版本一致；</w:t>
      </w:r>
    </w:p>
    <w:p w14:paraId="288DB03C">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溯源标识：外包装侧面应加贴二维码溯源标签，包含以下可查询信息：</w:t>
      </w:r>
    </w:p>
    <w:p w14:paraId="537A2601">
      <w:pPr>
        <w:pStyle w:val="11"/>
        <w:keepNext w:val="0"/>
        <w:keepLines w:val="0"/>
        <w:pageBreakBefore w:val="0"/>
        <w:widowControl/>
        <w:numPr>
          <w:ilvl w:val="0"/>
          <w:numId w:val="7"/>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种植地块编号、农事记录（施肥、病虫害防治）；</w:t>
      </w:r>
    </w:p>
    <w:p w14:paraId="778E1DE0">
      <w:pPr>
        <w:pStyle w:val="11"/>
        <w:keepNext w:val="0"/>
        <w:keepLines w:val="0"/>
        <w:pageBreakBefore w:val="0"/>
        <w:widowControl/>
        <w:numPr>
          <w:ilvl w:val="0"/>
          <w:numId w:val="7"/>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采收时间、检测报告（农残、可溶性固形物等）；</w:t>
      </w:r>
    </w:p>
    <w:p w14:paraId="362DB78C">
      <w:pPr>
        <w:pStyle w:val="11"/>
        <w:keepNext w:val="0"/>
        <w:keepLines w:val="0"/>
        <w:pageBreakBefore w:val="0"/>
        <w:widowControl/>
        <w:numPr>
          <w:ilvl w:val="0"/>
          <w:numId w:val="7"/>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包装日期、物流信息。</w:t>
      </w:r>
    </w:p>
    <w:p w14:paraId="3F7A551E">
      <w:pPr>
        <w:pStyle w:val="14"/>
        <w:spacing w:before="120" w:after="120"/>
        <w:rPr>
          <w:rFonts w:hint="eastAsia"/>
          <w:lang w:val="en-US" w:eastAsia="zh-CN"/>
        </w:rPr>
      </w:pPr>
      <w:bookmarkStart w:id="20" w:name="_Toc8912"/>
      <w:r>
        <w:rPr>
          <w:rFonts w:hint="eastAsia"/>
          <w:lang w:val="en-US" w:eastAsia="zh-CN"/>
        </w:rPr>
        <w:t>标识要求</w:t>
      </w:r>
      <w:bookmarkEnd w:id="20"/>
    </w:p>
    <w:p w14:paraId="1400D269">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标识文字应清晰易读，字体高度≥3</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mm；</w:t>
      </w:r>
    </w:p>
    <w:p w14:paraId="2568C775">
      <w:pPr>
        <w:pStyle w:val="15"/>
        <w:spacing w:before="120" w:after="120"/>
        <w:rPr>
          <w:rFonts w:hint="eastAsia"/>
        </w:rPr>
      </w:pPr>
      <w:r>
        <w:rPr>
          <w:rFonts w:hint="eastAsia" w:ascii="宋体" w:hAnsi="Times New Roman" w:eastAsia="宋体" w:cs="Times New Roman"/>
          <w:sz w:val="21"/>
          <w:lang w:val="en-US" w:eastAsia="zh-CN" w:bidi="ar-SA"/>
        </w:rPr>
        <w:t>印刷油墨应符合食品接触材料要求，不得脱色。</w:t>
      </w:r>
    </w:p>
    <w:p w14:paraId="43D60A14">
      <w:pPr>
        <w:pStyle w:val="13"/>
        <w:spacing w:before="240" w:after="240"/>
        <w:rPr>
          <w:rFonts w:hint="eastAsia"/>
        </w:rPr>
      </w:pPr>
      <w:bookmarkStart w:id="21" w:name="_Toc27873"/>
      <w:r>
        <w:rPr>
          <w:rFonts w:hint="eastAsia"/>
        </w:rPr>
        <w:t>运输</w:t>
      </w:r>
      <w:bookmarkEnd w:id="21"/>
    </w:p>
    <w:p w14:paraId="19DD6EE8">
      <w:pPr>
        <w:pStyle w:val="14"/>
        <w:spacing w:before="120" w:after="120"/>
        <w:rPr>
          <w:rFonts w:hint="eastAsia"/>
          <w:lang w:val="en-US" w:eastAsia="zh-CN"/>
        </w:rPr>
      </w:pPr>
      <w:bookmarkStart w:id="22" w:name="_Toc26229"/>
      <w:r>
        <w:rPr>
          <w:rFonts w:hint="eastAsia"/>
          <w:lang w:val="en-US" w:eastAsia="zh-CN"/>
        </w:rPr>
        <w:t>运输工具</w:t>
      </w:r>
      <w:bookmarkEnd w:id="22"/>
    </w:p>
    <w:p w14:paraId="064D7253">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短途运输（≤200</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km）：使用封闭货车，车厢内应清洁、无异味，避免 日晒雨淋；</w:t>
      </w:r>
    </w:p>
    <w:p w14:paraId="25B6811D">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长途运输（＞200</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km）：采用冷藏车，符合GB/T</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29753要求，制冷机组应能将车厢温度控制在</w:t>
      </w:r>
      <w:r>
        <w:rPr>
          <w:rFonts w:hint="eastAsia" w:ascii="宋体" w:eastAsia="宋体" w:cs="Times New Roman"/>
          <w:sz w:val="21"/>
          <w:lang w:val="en-US" w:eastAsia="zh-CN" w:bidi="ar-SA"/>
        </w:rPr>
        <w:t xml:space="preserve">-1 </w:t>
      </w:r>
      <w:r>
        <w:rPr>
          <w:rFonts w:hint="eastAsia" w:ascii="宋体" w:hAnsi="Times New Roman" w:eastAsia="宋体" w:cs="Times New Roman"/>
          <w:sz w:val="21"/>
          <w:lang w:val="en-US" w:eastAsia="zh-CN" w:bidi="ar-SA"/>
        </w:rPr>
        <w:t>℃</w:t>
      </w:r>
      <w:r>
        <w:rPr>
          <w:rFonts w:hint="eastAsia"/>
        </w:rPr>
        <w:t>～</w:t>
      </w:r>
      <w:r>
        <w:rPr>
          <w:rFonts w:hint="eastAsia"/>
          <w:lang w:val="en-US" w:eastAsia="zh-CN"/>
        </w:rPr>
        <w:t xml:space="preserve"> </w:t>
      </w:r>
      <w:r>
        <w:rPr>
          <w:rFonts w:hint="eastAsia" w:ascii="宋体" w:eastAsia="宋体" w:cs="Times New Roman"/>
          <w:sz w:val="21"/>
          <w:lang w:val="en-US" w:eastAsia="zh-CN" w:bidi="ar-SA"/>
        </w:rPr>
        <w:t>-2</w:t>
      </w:r>
      <w:r>
        <w:rPr>
          <w:rFonts w:hint="eastAsia" w:ascii="宋体" w:hAnsi="Times New Roman" w:eastAsia="宋体" w:cs="Times New Roman"/>
          <w:sz w:val="21"/>
          <w:lang w:val="en-US" w:eastAsia="zh-CN" w:bidi="ar-SA"/>
        </w:rPr>
        <w:t>℃，温度波动≤±1</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w:t>
      </w:r>
    </w:p>
    <w:p w14:paraId="316C93D5">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 xml:space="preserve"> 运输管理；</w:t>
      </w:r>
    </w:p>
    <w:p w14:paraId="79EA49B5">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装车前应检查包装完整性，破损包装不得装车；</w:t>
      </w:r>
    </w:p>
    <w:p w14:paraId="7D0947FD">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堆码时应按包装标识方向放置，瓦楞纸箱堆码间隙≥5cm，塑料周转箱不得倒置；</w:t>
      </w:r>
    </w:p>
    <w:p w14:paraId="5D5AE0D5">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运输过程中应记录温度（每2小时一次），冷藏车温度记录应存档备查；</w:t>
      </w:r>
    </w:p>
    <w:p w14:paraId="52498955">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不得与有毒、有害、有异味的物品混运。</w:t>
      </w:r>
    </w:p>
    <w:p w14:paraId="332F352A">
      <w:pPr>
        <w:pStyle w:val="13"/>
        <w:spacing w:before="240" w:after="240"/>
        <w:rPr>
          <w:rFonts w:hint="eastAsia"/>
        </w:rPr>
      </w:pPr>
      <w:bookmarkStart w:id="23" w:name="_Toc9363"/>
      <w:r>
        <w:rPr>
          <w:rFonts w:hint="eastAsia"/>
        </w:rPr>
        <w:t>贮存</w:t>
      </w:r>
      <w:bookmarkEnd w:id="23"/>
    </w:p>
    <w:p w14:paraId="02A1E5C1">
      <w:pPr>
        <w:pStyle w:val="14"/>
        <w:spacing w:before="120" w:after="120"/>
        <w:rPr>
          <w:rFonts w:hint="eastAsia"/>
          <w:lang w:val="en-US" w:eastAsia="zh-CN"/>
        </w:rPr>
      </w:pPr>
      <w:bookmarkStart w:id="24" w:name="_Toc4885"/>
      <w:r>
        <w:rPr>
          <w:rFonts w:hint="eastAsia"/>
          <w:lang w:val="en-US" w:eastAsia="zh-CN"/>
        </w:rPr>
        <w:t>预冷处理</w:t>
      </w:r>
      <w:bookmarkEnd w:id="24"/>
    </w:p>
    <w:p w14:paraId="142D903D">
      <w:pPr>
        <w:pStyle w:val="11"/>
        <w:ind w:firstLine="420"/>
        <w:rPr>
          <w:rFonts w:hint="eastAsia"/>
        </w:rPr>
      </w:pPr>
      <w:r>
        <w:rPr>
          <w:rFonts w:hint="eastAsia"/>
        </w:rPr>
        <w:t>果实包装前应进行预冷，采用强制通风预冷或真空预冷，使果实中心温度降至0</w:t>
      </w:r>
      <w:r>
        <w:rPr>
          <w:rFonts w:hint="eastAsia"/>
          <w:lang w:val="en-US" w:eastAsia="zh-CN"/>
        </w:rPr>
        <w:t xml:space="preserve"> </w:t>
      </w:r>
      <w:r>
        <w:rPr>
          <w:rFonts w:hint="eastAsia"/>
        </w:rPr>
        <w:t>℃-2</w:t>
      </w:r>
      <w:r>
        <w:rPr>
          <w:rFonts w:hint="eastAsia"/>
          <w:lang w:val="en-US" w:eastAsia="zh-CN"/>
        </w:rPr>
        <w:t xml:space="preserve"> </w:t>
      </w:r>
      <w:r>
        <w:rPr>
          <w:rFonts w:hint="eastAsia"/>
        </w:rPr>
        <w:t>℃，预冷时间≤24小时。</w:t>
      </w:r>
    </w:p>
    <w:p w14:paraId="2F6B079C">
      <w:pPr>
        <w:pStyle w:val="14"/>
        <w:spacing w:before="120" w:after="120"/>
        <w:rPr>
          <w:rFonts w:hint="eastAsia"/>
          <w:lang w:val="en-US" w:eastAsia="zh-CN"/>
        </w:rPr>
      </w:pPr>
      <w:bookmarkStart w:id="25" w:name="_Toc4264"/>
      <w:r>
        <w:rPr>
          <w:rFonts w:hint="eastAsia"/>
          <w:lang w:val="en-US" w:eastAsia="zh-CN"/>
        </w:rPr>
        <w:t>原料冷库贮存</w:t>
      </w:r>
      <w:bookmarkEnd w:id="25"/>
    </w:p>
    <w:p w14:paraId="4FD2F1D8">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温度：保持</w:t>
      </w:r>
      <w:r>
        <w:rPr>
          <w:rFonts w:hint="eastAsia" w:ascii="宋体" w:eastAsia="宋体" w:cs="Times New Roman"/>
          <w:sz w:val="21"/>
          <w:lang w:val="en-US" w:eastAsia="zh-CN" w:bidi="ar-SA"/>
        </w:rPr>
        <w:t xml:space="preserve">-1 </w:t>
      </w:r>
      <w:r>
        <w:rPr>
          <w:rFonts w:hint="eastAsia" w:ascii="宋体" w:hAnsi="Times New Roman" w:eastAsia="宋体" w:cs="Times New Roman"/>
          <w:sz w:val="21"/>
          <w:lang w:val="en-US" w:eastAsia="zh-CN" w:bidi="ar-SA"/>
        </w:rPr>
        <w:t>℃</w:t>
      </w:r>
      <w:r>
        <w:rPr>
          <w:rFonts w:hint="eastAsia"/>
        </w:rPr>
        <w:t>～</w:t>
      </w:r>
      <w:r>
        <w:rPr>
          <w:rFonts w:hint="eastAsia"/>
          <w:lang w:val="en-US" w:eastAsia="zh-CN"/>
        </w:rPr>
        <w:t xml:space="preserve"> </w:t>
      </w:r>
      <w:r>
        <w:rPr>
          <w:rFonts w:hint="eastAsia" w:ascii="宋体" w:eastAsia="宋体" w:cs="Times New Roman"/>
          <w:sz w:val="21"/>
          <w:lang w:val="en-US" w:eastAsia="zh-CN" w:bidi="ar-SA"/>
        </w:rPr>
        <w:t xml:space="preserve">-2.5 </w:t>
      </w:r>
      <w:r>
        <w:rPr>
          <w:rFonts w:hint="eastAsia" w:ascii="宋体" w:hAnsi="Times New Roman" w:eastAsia="宋体" w:cs="Times New Roman"/>
          <w:sz w:val="21"/>
          <w:lang w:val="en-US" w:eastAsia="zh-CN" w:bidi="ar-SA"/>
        </w:rPr>
        <w:t>℃，波动≤±0.5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w:t>
      </w:r>
    </w:p>
    <w:p w14:paraId="081354C3">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湿度：相对湿度</w:t>
      </w:r>
      <w:r>
        <w:rPr>
          <w:rFonts w:hint="eastAsia" w:ascii="宋体" w:eastAsia="宋体" w:cs="Times New Roman"/>
          <w:sz w:val="21"/>
          <w:lang w:val="en-US" w:eastAsia="zh-CN" w:bidi="ar-SA"/>
        </w:rPr>
        <w:t xml:space="preserve">90 </w:t>
      </w:r>
      <w:r>
        <w:rPr>
          <w:rFonts w:hint="eastAsia" w:ascii="宋体" w:hAnsi="Times New Roman" w:eastAsia="宋体" w:cs="Times New Roman"/>
          <w:sz w:val="21"/>
          <w:lang w:val="en-US" w:eastAsia="zh-CN" w:bidi="ar-SA"/>
        </w:rPr>
        <w:t>%</w:t>
      </w:r>
      <w:r>
        <w:rPr>
          <w:rFonts w:hint="eastAsia"/>
        </w:rPr>
        <w:t>～</w:t>
      </w:r>
      <w:r>
        <w:rPr>
          <w:rFonts w:hint="eastAsia" w:ascii="宋体" w:hAnsi="Times New Roman" w:eastAsia="宋体" w:cs="Times New Roman"/>
          <w:sz w:val="21"/>
          <w:lang w:val="en-US" w:eastAsia="zh-CN" w:bidi="ar-SA"/>
        </w:rPr>
        <w:t>9</w:t>
      </w:r>
      <w:r>
        <w:rPr>
          <w:rFonts w:hint="eastAsia" w:ascii="宋体" w:eastAsia="宋体" w:cs="Times New Roman"/>
          <w:sz w:val="21"/>
          <w:lang w:val="en-US" w:eastAsia="zh-CN" w:bidi="ar-SA"/>
        </w:rPr>
        <w:t xml:space="preserve">5 </w:t>
      </w:r>
      <w:r>
        <w:rPr>
          <w:rFonts w:hint="eastAsia" w:ascii="宋体" w:hAnsi="Times New Roman" w:eastAsia="宋体" w:cs="Times New Roman"/>
          <w:sz w:val="21"/>
          <w:lang w:val="en-US" w:eastAsia="zh-CN" w:bidi="ar-SA"/>
        </w:rPr>
        <w:t>%，避免果实失水皱缩；</w:t>
      </w:r>
    </w:p>
    <w:p w14:paraId="1ADE49F0">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堆码：码垛的排列方式、走向及间隙应与库内空气循环方向一致</w:t>
      </w:r>
      <w:r>
        <w:rPr>
          <w:rFonts w:hint="eastAsia" w:ascii="宋体" w:eastAsia="宋体" w:cs="Times New Roman"/>
          <w:sz w:val="21"/>
          <w:lang w:val="en-US" w:eastAsia="zh-CN" w:bidi="ar-SA"/>
        </w:rPr>
        <w:t>，</w:t>
      </w:r>
      <w:r>
        <w:rPr>
          <w:rFonts w:hint="eastAsia" w:ascii="宋体" w:hAnsi="Times New Roman" w:eastAsia="宋体" w:cs="Times New Roman"/>
          <w:sz w:val="21"/>
          <w:lang w:val="en-US" w:eastAsia="zh-CN" w:bidi="ar-SA"/>
        </w:rPr>
        <w:t>垛底架空加 10 cm～20 cm 的托盘，垛与墙壁间隙 20 cm～30 cm，垛与顶间隙 50 cm～60 cm，垛与垛间隙 30 cm～50 cm.，垛与冷风机距离≥1.5 m，库内通道宽 1.2 m～1.8 m</w:t>
      </w:r>
      <w:r>
        <w:rPr>
          <w:rFonts w:hint="eastAsia" w:ascii="宋体" w:eastAsia="宋体" w:cs="Times New Roman"/>
          <w:sz w:val="21"/>
          <w:lang w:val="en-US" w:eastAsia="zh-CN" w:bidi="ar-SA"/>
        </w:rPr>
        <w:t>；</w:t>
      </w:r>
    </w:p>
    <w:p w14:paraId="79191481">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贮存期限：≤</w:t>
      </w:r>
      <w:r>
        <w:rPr>
          <w:rFonts w:hint="eastAsia" w:ascii="宋体" w:eastAsia="宋体" w:cs="Times New Roman"/>
          <w:sz w:val="21"/>
          <w:lang w:val="en-US" w:eastAsia="zh-CN" w:bidi="ar-SA"/>
        </w:rPr>
        <w:t>120</w:t>
      </w:r>
      <w:r>
        <w:rPr>
          <w:rFonts w:hint="eastAsia" w:ascii="宋体" w:hAnsi="Times New Roman" w:eastAsia="宋体" w:cs="Times New Roman"/>
          <w:sz w:val="21"/>
          <w:lang w:val="en-US" w:eastAsia="zh-CN" w:bidi="ar-SA"/>
        </w:rPr>
        <w:t>天，定期检查并剔除变质果。</w:t>
      </w:r>
    </w:p>
    <w:p w14:paraId="315D4141">
      <w:pPr>
        <w:pStyle w:val="14"/>
        <w:spacing w:before="120" w:after="120"/>
        <w:rPr>
          <w:rFonts w:hint="eastAsia"/>
          <w:lang w:val="en-US" w:eastAsia="zh-CN"/>
        </w:rPr>
      </w:pPr>
      <w:bookmarkStart w:id="26" w:name="_Toc12696"/>
      <w:r>
        <w:rPr>
          <w:rFonts w:hint="eastAsia"/>
          <w:lang w:val="en-US" w:eastAsia="zh-CN"/>
        </w:rPr>
        <w:t>成品冷库贮存</w:t>
      </w:r>
    </w:p>
    <w:p w14:paraId="5E08BACD">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温度：保持</w:t>
      </w:r>
      <w:r>
        <w:rPr>
          <w:rFonts w:hint="eastAsia" w:ascii="宋体" w:eastAsia="宋体" w:cs="Times New Roman"/>
          <w:sz w:val="21"/>
          <w:lang w:val="en-US" w:eastAsia="zh-CN" w:bidi="ar-SA"/>
        </w:rPr>
        <w:t xml:space="preserve">-1 </w:t>
      </w:r>
      <w:r>
        <w:rPr>
          <w:rFonts w:hint="eastAsia" w:ascii="宋体" w:hAnsi="Times New Roman" w:eastAsia="宋体" w:cs="Times New Roman"/>
          <w:sz w:val="21"/>
          <w:lang w:val="en-US" w:eastAsia="zh-CN" w:bidi="ar-SA"/>
        </w:rPr>
        <w:t>℃</w:t>
      </w:r>
      <w:r>
        <w:rPr>
          <w:rFonts w:hint="eastAsia"/>
        </w:rPr>
        <w:t>～</w:t>
      </w:r>
      <w:r>
        <w:rPr>
          <w:rFonts w:hint="eastAsia"/>
          <w:lang w:val="en-US" w:eastAsia="zh-CN"/>
        </w:rPr>
        <w:t xml:space="preserve"> </w:t>
      </w:r>
      <w:r>
        <w:rPr>
          <w:rFonts w:hint="eastAsia" w:ascii="宋体" w:eastAsia="宋体" w:cs="Times New Roman"/>
          <w:sz w:val="21"/>
          <w:lang w:val="en-US" w:eastAsia="zh-CN" w:bidi="ar-SA"/>
        </w:rPr>
        <w:t xml:space="preserve">-3 </w:t>
      </w:r>
      <w:r>
        <w:rPr>
          <w:rFonts w:hint="eastAsia" w:ascii="宋体" w:hAnsi="Times New Roman" w:eastAsia="宋体" w:cs="Times New Roman"/>
          <w:sz w:val="21"/>
          <w:lang w:val="en-US" w:eastAsia="zh-CN" w:bidi="ar-SA"/>
        </w:rPr>
        <w:t>℃，波动≤±0.5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w:t>
      </w:r>
    </w:p>
    <w:p w14:paraId="244BCF14">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湿度：相对湿度</w:t>
      </w:r>
      <w:r>
        <w:rPr>
          <w:rFonts w:hint="eastAsia" w:ascii="宋体" w:eastAsia="宋体" w:cs="Times New Roman"/>
          <w:sz w:val="21"/>
          <w:lang w:val="en-US" w:eastAsia="zh-CN" w:bidi="ar-SA"/>
        </w:rPr>
        <w:t xml:space="preserve">90 </w:t>
      </w:r>
      <w:r>
        <w:rPr>
          <w:rFonts w:hint="eastAsia" w:ascii="宋体" w:hAnsi="Times New Roman" w:eastAsia="宋体" w:cs="Times New Roman"/>
          <w:sz w:val="21"/>
          <w:lang w:val="en-US" w:eastAsia="zh-CN" w:bidi="ar-SA"/>
        </w:rPr>
        <w:t>%</w:t>
      </w:r>
      <w:r>
        <w:rPr>
          <w:rFonts w:hint="eastAsia"/>
        </w:rPr>
        <w:t>～</w:t>
      </w:r>
      <w:r>
        <w:rPr>
          <w:rFonts w:hint="eastAsia" w:ascii="宋体" w:hAnsi="Times New Roman" w:eastAsia="宋体" w:cs="Times New Roman"/>
          <w:sz w:val="21"/>
          <w:lang w:val="en-US" w:eastAsia="zh-CN" w:bidi="ar-SA"/>
        </w:rPr>
        <w:t>9</w:t>
      </w:r>
      <w:r>
        <w:rPr>
          <w:rFonts w:hint="eastAsia" w:ascii="宋体" w:eastAsia="宋体" w:cs="Times New Roman"/>
          <w:sz w:val="21"/>
          <w:lang w:val="en-US" w:eastAsia="zh-CN" w:bidi="ar-SA"/>
        </w:rPr>
        <w:t xml:space="preserve">5 </w:t>
      </w:r>
      <w:r>
        <w:rPr>
          <w:rFonts w:hint="eastAsia" w:ascii="宋体" w:hAnsi="Times New Roman" w:eastAsia="宋体" w:cs="Times New Roman"/>
          <w:sz w:val="21"/>
          <w:lang w:val="en-US" w:eastAsia="zh-CN" w:bidi="ar-SA"/>
        </w:rPr>
        <w:t>%，避免果实失水皱缩；</w:t>
      </w:r>
    </w:p>
    <w:p w14:paraId="3D7F6197">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堆码：码垛的排列方式、走向及间隙应与库内空气循环方向一致</w:t>
      </w:r>
      <w:r>
        <w:rPr>
          <w:rFonts w:hint="eastAsia" w:ascii="宋体" w:eastAsia="宋体" w:cs="Times New Roman"/>
          <w:sz w:val="21"/>
          <w:lang w:val="en-US" w:eastAsia="zh-CN" w:bidi="ar-SA"/>
        </w:rPr>
        <w:t>，</w:t>
      </w:r>
      <w:r>
        <w:rPr>
          <w:rFonts w:hint="eastAsia" w:ascii="宋体" w:hAnsi="Times New Roman" w:eastAsia="宋体" w:cs="Times New Roman"/>
          <w:sz w:val="21"/>
          <w:lang w:val="en-US" w:eastAsia="zh-CN" w:bidi="ar-SA"/>
        </w:rPr>
        <w:t>垛底架空加 10 cm～20 cm 的托盘，垛与墙壁间隙 20 cm～30 cm，垛与顶间隙 50 cm～60 cm，垛与垛间隙 30 cm～50 cm.，垛与冷风机距离≥1.5 m，库内通道宽 1.2 m～1.8 m</w:t>
      </w:r>
      <w:r>
        <w:rPr>
          <w:rFonts w:hint="eastAsia" w:ascii="宋体" w:eastAsia="宋体" w:cs="Times New Roman"/>
          <w:sz w:val="21"/>
          <w:lang w:val="en-US" w:eastAsia="zh-CN" w:bidi="ar-SA"/>
        </w:rPr>
        <w:t>；</w:t>
      </w:r>
    </w:p>
    <w:p w14:paraId="0F758C94">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贮存期限：≤</w:t>
      </w:r>
      <w:r>
        <w:rPr>
          <w:rFonts w:hint="eastAsia" w:ascii="宋体" w:eastAsia="宋体" w:cs="Times New Roman"/>
          <w:sz w:val="21"/>
          <w:lang w:val="en-US" w:eastAsia="zh-CN" w:bidi="ar-SA"/>
        </w:rPr>
        <w:t>15</w:t>
      </w:r>
      <w:r>
        <w:rPr>
          <w:rFonts w:hint="eastAsia" w:ascii="宋体" w:hAnsi="Times New Roman" w:eastAsia="宋体" w:cs="Times New Roman"/>
          <w:sz w:val="21"/>
          <w:lang w:val="en-US" w:eastAsia="zh-CN" w:bidi="ar-SA"/>
        </w:rPr>
        <w:t>天，定期检查并剔除变质果。</w:t>
      </w:r>
      <w:bookmarkStart w:id="33" w:name="_GoBack"/>
      <w:bookmarkEnd w:id="33"/>
    </w:p>
    <w:p w14:paraId="792D1FE9">
      <w:pPr>
        <w:pStyle w:val="14"/>
        <w:spacing w:before="120" w:after="120"/>
        <w:rPr>
          <w:rFonts w:hint="eastAsia"/>
          <w:lang w:val="en-US" w:eastAsia="zh-CN"/>
        </w:rPr>
      </w:pPr>
      <w:r>
        <w:rPr>
          <w:rFonts w:hint="eastAsia"/>
          <w:lang w:val="en-US" w:eastAsia="zh-CN"/>
        </w:rPr>
        <w:t>销售端临时贮存</w:t>
      </w:r>
      <w:bookmarkEnd w:id="26"/>
    </w:p>
    <w:p w14:paraId="1A3CFC1E">
      <w:pPr>
        <w:pStyle w:val="11"/>
        <w:ind w:firstLine="420"/>
        <w:rPr>
          <w:rFonts w:hint="eastAsia"/>
        </w:rPr>
      </w:pPr>
      <w:r>
        <w:rPr>
          <w:rFonts w:hint="eastAsia"/>
        </w:rPr>
        <w:t>零售端临时贮存（如超市货架）应置于冷藏柜，避免阳光直射。</w:t>
      </w:r>
    </w:p>
    <w:p w14:paraId="12B18925">
      <w:pPr>
        <w:pStyle w:val="13"/>
        <w:spacing w:before="240" w:after="240"/>
        <w:rPr>
          <w:rFonts w:hint="eastAsia"/>
        </w:rPr>
      </w:pPr>
      <w:bookmarkStart w:id="27" w:name="_Toc25349"/>
      <w:r>
        <w:rPr>
          <w:rFonts w:hint="eastAsia"/>
        </w:rPr>
        <w:t>销售</w:t>
      </w:r>
      <w:bookmarkEnd w:id="27"/>
    </w:p>
    <w:p w14:paraId="0A3F3102">
      <w:pPr>
        <w:pStyle w:val="14"/>
        <w:spacing w:before="120" w:after="120"/>
        <w:rPr>
          <w:rFonts w:hint="eastAsia"/>
          <w:lang w:val="en-US" w:eastAsia="zh-CN"/>
        </w:rPr>
      </w:pPr>
      <w:bookmarkStart w:id="28" w:name="_Toc11896"/>
      <w:r>
        <w:rPr>
          <w:rFonts w:hint="eastAsia"/>
          <w:lang w:val="en-US" w:eastAsia="zh-CN"/>
        </w:rPr>
        <w:t>销售渠道</w:t>
      </w:r>
      <w:bookmarkEnd w:id="28"/>
    </w:p>
    <w:p w14:paraId="1A9F1C75">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应通过授权经销商、品牌专卖店、电商平台（标注“大宁宁粹苹果”官方旗舰店）等正规渠道销售；</w:t>
      </w:r>
    </w:p>
    <w:p w14:paraId="3BCE0BD7">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线下销售点应设置品牌展示区，统一陈列包装规范的产品；</w:t>
      </w:r>
    </w:p>
    <w:p w14:paraId="25EE06B6">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电商销售时，包裹外应附加“生鲜易碎”标识。</w:t>
      </w:r>
    </w:p>
    <w:p w14:paraId="1B2A0F08">
      <w:pPr>
        <w:pStyle w:val="14"/>
        <w:spacing w:before="120" w:after="120"/>
        <w:rPr>
          <w:rFonts w:hint="eastAsia"/>
          <w:lang w:val="en-US" w:eastAsia="zh-CN"/>
        </w:rPr>
      </w:pPr>
      <w:bookmarkStart w:id="29" w:name="_Toc6044"/>
      <w:r>
        <w:rPr>
          <w:rFonts w:hint="eastAsia"/>
          <w:lang w:val="en-US" w:eastAsia="zh-CN"/>
        </w:rPr>
        <w:t>售后服务</w:t>
      </w:r>
      <w:bookmarkEnd w:id="29"/>
    </w:p>
    <w:p w14:paraId="2962DE9C">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建立客户投诉处理机制，记录投诉内容、处理结果，响应时间≤24 小时；</w:t>
      </w:r>
    </w:p>
    <w:p w14:paraId="389D0347">
      <w:pPr>
        <w:pStyle w:val="15"/>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发现产品质量问题时，应立即下架并召回，按《中华人民共和国食品安全法》规定处理，记录召回过程。</w:t>
      </w:r>
    </w:p>
    <w:p w14:paraId="601665B3">
      <w:pPr>
        <w:pStyle w:val="13"/>
        <w:spacing w:before="240" w:after="240"/>
        <w:rPr>
          <w:rFonts w:hint="eastAsia"/>
        </w:rPr>
      </w:pPr>
      <w:bookmarkStart w:id="30" w:name="_Toc31140"/>
      <w:r>
        <w:rPr>
          <w:rFonts w:hint="eastAsia"/>
        </w:rPr>
        <w:t>记录和文件管理</w:t>
      </w:r>
      <w:bookmarkEnd w:id="30"/>
    </w:p>
    <w:p w14:paraId="1ED73BBE">
      <w:pPr>
        <w:pStyle w:val="11"/>
        <w:ind w:firstLine="420"/>
        <w:rPr>
          <w:rFonts w:hint="eastAsia"/>
        </w:rPr>
      </w:pPr>
      <w:r>
        <w:rPr>
          <w:rFonts w:hint="eastAsia"/>
        </w:rPr>
        <w:t>建立全链条记录制度，包括：</w:t>
      </w:r>
    </w:p>
    <w:p w14:paraId="34085333">
      <w:pPr>
        <w:pStyle w:val="11"/>
        <w:ind w:firstLine="420"/>
        <w:rPr>
          <w:rFonts w:hint="eastAsia"/>
        </w:rPr>
      </w:pPr>
      <w:r>
        <w:rPr>
          <w:rFonts w:hint="eastAsia"/>
        </w:rPr>
        <w:t>——包装材料采购记录（供应商资质、产品合格证明）；</w:t>
      </w:r>
    </w:p>
    <w:p w14:paraId="6E301911">
      <w:pPr>
        <w:pStyle w:val="11"/>
        <w:ind w:firstLine="420"/>
        <w:rPr>
          <w:rFonts w:hint="eastAsia"/>
        </w:rPr>
      </w:pPr>
      <w:r>
        <w:rPr>
          <w:rFonts w:hint="eastAsia"/>
        </w:rPr>
        <w:t>——包装过程记录（日期、操作人员、产品等级、数量）；</w:t>
      </w:r>
    </w:p>
    <w:p w14:paraId="70863E1B">
      <w:pPr>
        <w:pStyle w:val="11"/>
        <w:ind w:firstLine="420"/>
        <w:rPr>
          <w:rFonts w:hint="eastAsia"/>
        </w:rPr>
      </w:pPr>
      <w:r>
        <w:rPr>
          <w:rFonts w:hint="eastAsia"/>
        </w:rPr>
        <w:t>——运输记录（车辆信息、温度记录、起止时间）；</w:t>
      </w:r>
    </w:p>
    <w:p w14:paraId="4FAB6643">
      <w:pPr>
        <w:pStyle w:val="11"/>
        <w:ind w:firstLine="420"/>
        <w:rPr>
          <w:rFonts w:hint="eastAsia"/>
        </w:rPr>
      </w:pPr>
      <w:r>
        <w:rPr>
          <w:rFonts w:hint="eastAsia"/>
        </w:rPr>
        <w:t>——贮存记录（冷库温度、湿度、出入库数量）；</w:t>
      </w:r>
    </w:p>
    <w:p w14:paraId="21DE3805">
      <w:pPr>
        <w:pStyle w:val="11"/>
        <w:ind w:firstLine="420"/>
        <w:rPr>
          <w:rFonts w:hint="eastAsia"/>
        </w:rPr>
      </w:pPr>
      <w:r>
        <w:rPr>
          <w:rFonts w:hint="eastAsia"/>
        </w:rPr>
        <w:t>——所有记录应真实、完整，保存期限≥</w:t>
      </w:r>
      <w:r>
        <w:rPr>
          <w:rFonts w:hint="eastAsia"/>
          <w:lang w:val="en-US" w:eastAsia="zh-CN"/>
        </w:rPr>
        <w:t>3</w:t>
      </w:r>
      <w:r>
        <w:rPr>
          <w:rFonts w:hint="eastAsia"/>
        </w:rPr>
        <w:t>年，可采用电子档案管理。</w:t>
      </w:r>
    </w:p>
    <w:p w14:paraId="49A00F85">
      <w:pPr>
        <w:pStyle w:val="13"/>
        <w:spacing w:before="240" w:after="240"/>
        <w:rPr>
          <w:rFonts w:hint="eastAsia"/>
        </w:rPr>
      </w:pPr>
      <w:bookmarkStart w:id="31" w:name="_Toc15204"/>
      <w:r>
        <w:rPr>
          <w:rFonts w:hint="eastAsia"/>
        </w:rPr>
        <w:t>销售服务</w:t>
      </w:r>
      <w:bookmarkEnd w:id="31"/>
    </w:p>
    <w:p w14:paraId="661FEC39">
      <w:pPr>
        <w:pStyle w:val="11"/>
        <w:ind w:firstLine="420"/>
        <w:rPr>
          <w:rFonts w:hint="eastAsia"/>
        </w:rPr>
      </w:pPr>
      <w:r>
        <w:rPr>
          <w:rFonts w:hint="eastAsia"/>
        </w:rPr>
        <w:t>应建立受理客户投诉通道受理顾客投诉；当发现产品不符合食品安全标准或存在其他不适于食用的情况时，应当立即下架，停止销售，并通知相关经营者和消费者进行无害化处理，并记录通知和产品处理情况，同时按《中华人民共和国消费者权益保护法》的规定，予以妥善解决。</w:t>
      </w:r>
    </w:p>
    <w:p w14:paraId="6283C9D5">
      <w:pPr>
        <w:pStyle w:val="11"/>
        <w:ind w:firstLine="0" w:firstLineChars="0"/>
        <w:jc w:val="center"/>
      </w:pPr>
      <w:bookmarkStart w:id="32" w:name="BookMark8"/>
      <w:r>
        <w:rPr>
          <w:rFonts w:hint="eastAsia"/>
        </w:rPr>
        <w:drawing>
          <wp:inline distT="0" distB="0" distL="0" distR="0">
            <wp:extent cx="1485900" cy="317500"/>
            <wp:effectExtent l="0" t="0" r="0" b="6350"/>
            <wp:docPr id="832391137" name="图片 2"/>
            <wp:cNvGraphicFramePr/>
            <a:graphic xmlns:a="http://schemas.openxmlformats.org/drawingml/2006/main">
              <a:graphicData uri="http://schemas.openxmlformats.org/drawingml/2006/picture">
                <pic:pic xmlns:pic="http://schemas.openxmlformats.org/drawingml/2006/picture">
                  <pic:nvPicPr>
                    <pic:cNvPr id="832391137" name="图片 2"/>
                    <pic:cNvPicPr/>
                  </pic:nvPicPr>
                  <pic:blipFill>
                    <a:blip r:embed="rId3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2"/>
    </w:p>
    <w:p w14:paraId="3CE5537E">
      <w:pPr>
        <w:pStyle w:val="11"/>
        <w:rPr>
          <w:rFonts w:hint="eastAsia"/>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9D4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8EB21">
                          <w:pPr>
                            <w:pStyle w:val="3"/>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1B8EB21">
                    <w:pPr>
                      <w:pStyle w:val="3"/>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BA6EF">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1E2F4">
                          <w:pPr>
                            <w:pStyle w:val="3"/>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31E2F4">
                    <w:pPr>
                      <w:pStyle w:val="3"/>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B7AB6">
    <w:pPr>
      <w:pStyle w:val="2"/>
      <w:spacing w:before="137" w:line="265" w:lineRule="exact"/>
      <w:jc w:val="right"/>
      <w:rPr>
        <w:sz w:val="20"/>
        <w:szCs w:val="20"/>
      </w:rPr>
    </w:pPr>
    <w:r>
      <w:rPr>
        <w:rFonts w:hint="eastAsia" w:eastAsia="宋体"/>
        <w:lang w:eastAsia="zh-CN"/>
      </w:rPr>
      <w:tab/>
    </w:r>
    <w:r>
      <w:rPr>
        <w:spacing w:val="6"/>
        <w:position w:val="1"/>
        <w:sz w:val="20"/>
        <w:szCs w:val="20"/>
      </w:rPr>
      <w:t>T/</w:t>
    </w:r>
    <w:r>
      <w:rPr>
        <w:position w:val="1"/>
        <w:sz w:val="20"/>
        <w:szCs w:val="20"/>
      </w:rPr>
      <w:t>DNNC</w:t>
    </w:r>
    <w:r>
      <w:rPr>
        <w:spacing w:val="6"/>
        <w:position w:val="1"/>
        <w:sz w:val="20"/>
        <w:szCs w:val="20"/>
      </w:rPr>
      <w:t xml:space="preserve"> 002</w:t>
    </w:r>
    <w:r>
      <w:rPr>
        <w:rFonts w:ascii="宋体" w:hAnsi="宋体" w:eastAsia="宋体" w:cs="宋体"/>
        <w:spacing w:val="6"/>
        <w:position w:val="1"/>
        <w:sz w:val="20"/>
        <w:szCs w:val="20"/>
      </w:rPr>
      <w:t>—</w:t>
    </w:r>
    <w:r>
      <w:rPr>
        <w:spacing w:val="6"/>
        <w:position w:val="1"/>
        <w:sz w:val="20"/>
        <w:szCs w:val="20"/>
      </w:rPr>
      <w:t>2026</w:t>
    </w:r>
  </w:p>
  <w:p w14:paraId="0E252CCE">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5DB672"/>
    <w:multiLevelType w:val="singleLevel"/>
    <w:tmpl w:val="895DB672"/>
    <w:lvl w:ilvl="0" w:tentative="0">
      <w:start w:val="1"/>
      <w:numFmt w:val="lowerLetter"/>
      <w:suff w:val="space"/>
      <w:lvlText w:val="%1."/>
      <w:lvlJc w:val="left"/>
      <w:pPr>
        <w:ind w:left="425" w:hanging="425"/>
      </w:pPr>
      <w:rPr>
        <w:rFonts w:hint="default"/>
      </w:rPr>
    </w:lvl>
  </w:abstractNum>
  <w:abstractNum w:abstractNumId="1">
    <w:nsid w:val="06225889"/>
    <w:multiLevelType w:val="singleLevel"/>
    <w:tmpl w:val="06225889"/>
    <w:lvl w:ilvl="0" w:tentative="0">
      <w:start w:val="1"/>
      <w:numFmt w:val="lowerLetter"/>
      <w:suff w:val="space"/>
      <w:lvlText w:val="%1."/>
      <w:lvlJc w:val="left"/>
      <w:pPr>
        <w:ind w:left="425" w:hanging="425"/>
      </w:pPr>
      <w:rPr>
        <w:rFonts w:hint="default"/>
      </w:rPr>
    </w:lvl>
  </w:abstractNum>
  <w:abstractNum w:abstractNumId="2">
    <w:nsid w:val="07ED3FEA"/>
    <w:multiLevelType w:val="multilevel"/>
    <w:tmpl w:val="07ED3FEA"/>
    <w:lvl w:ilvl="0" w:tentative="0">
      <w:start w:val="1"/>
      <w:numFmt w:val="none"/>
      <w:pStyle w:val="1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424E5863"/>
    <w:multiLevelType w:val="singleLevel"/>
    <w:tmpl w:val="424E5863"/>
    <w:lvl w:ilvl="0" w:tentative="0">
      <w:start w:val="1"/>
      <w:numFmt w:val="lowerLetter"/>
      <w:suff w:val="space"/>
      <w:lvlText w:val="%1."/>
      <w:lvlJc w:val="left"/>
      <w:pPr>
        <w:ind w:left="425" w:hanging="425"/>
      </w:pPr>
      <w:rPr>
        <w:rFonts w:hint="default"/>
      </w:rPr>
    </w:lvl>
  </w:abstractNum>
  <w:abstractNum w:abstractNumId="4">
    <w:nsid w:val="646260FA"/>
    <w:multiLevelType w:val="multilevel"/>
    <w:tmpl w:val="646260FA"/>
    <w:lvl w:ilvl="0" w:tentative="0">
      <w:start w:val="1"/>
      <w:numFmt w:val="decimal"/>
      <w:pStyle w:val="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3"/>
      <w:suff w:val="nothing"/>
      <w:lvlText w:val="%1%2　"/>
      <w:lvlJc w:val="left"/>
      <w:pPr>
        <w:ind w:left="0" w:firstLine="0"/>
      </w:pPr>
      <w:rPr>
        <w:rFonts w:hint="eastAsia" w:ascii="黑体" w:eastAsia="黑体"/>
        <w:b w:val="0"/>
        <w:i w:val="0"/>
        <w:sz w:val="21"/>
      </w:rPr>
    </w:lvl>
    <w:lvl w:ilvl="2" w:tentative="0">
      <w:start w:val="1"/>
      <w:numFmt w:val="decimal"/>
      <w:pStyle w:val="14"/>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5"/>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79E1B37E"/>
    <w:multiLevelType w:val="singleLevel"/>
    <w:tmpl w:val="79E1B37E"/>
    <w:lvl w:ilvl="0" w:tentative="0">
      <w:start w:val="1"/>
      <w:numFmt w:val="lowerLetter"/>
      <w:suff w:val="space"/>
      <w:lvlText w:val="%1."/>
      <w:lvlJc w:val="left"/>
      <w:pPr>
        <w:ind w:left="425" w:hanging="425"/>
      </w:pPr>
      <w:rPr>
        <w:rFonts w:hint="default"/>
      </w:rPr>
    </w:lvl>
  </w:abstractNum>
  <w:num w:numId="1">
    <w:abstractNumId w:val="2"/>
  </w:num>
  <w:num w:numId="2">
    <w:abstractNumId w:val="5"/>
  </w:num>
  <w:num w:numId="3">
    <w:abstractNumId w:val="4"/>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BE4BFD"/>
    <w:rsid w:val="050E3A44"/>
    <w:rsid w:val="0A621193"/>
    <w:rsid w:val="0D0C4AB5"/>
    <w:rsid w:val="0E653000"/>
    <w:rsid w:val="10256733"/>
    <w:rsid w:val="12F43FF8"/>
    <w:rsid w:val="14C413B4"/>
    <w:rsid w:val="165A3FD0"/>
    <w:rsid w:val="16E73B9B"/>
    <w:rsid w:val="1A35310B"/>
    <w:rsid w:val="1B215C6E"/>
    <w:rsid w:val="20116307"/>
    <w:rsid w:val="206155F1"/>
    <w:rsid w:val="23C64248"/>
    <w:rsid w:val="25A350FB"/>
    <w:rsid w:val="25B85CB3"/>
    <w:rsid w:val="2A876CB4"/>
    <w:rsid w:val="2ADC07EE"/>
    <w:rsid w:val="2CED6B8B"/>
    <w:rsid w:val="2E9B04EE"/>
    <w:rsid w:val="2EC33170"/>
    <w:rsid w:val="34BE4BFD"/>
    <w:rsid w:val="3FE1636F"/>
    <w:rsid w:val="46706CEB"/>
    <w:rsid w:val="46F71EA4"/>
    <w:rsid w:val="4BB14C65"/>
    <w:rsid w:val="4C6B4E6A"/>
    <w:rsid w:val="4E7D544E"/>
    <w:rsid w:val="50AB3CAA"/>
    <w:rsid w:val="53EF309E"/>
    <w:rsid w:val="55FF1662"/>
    <w:rsid w:val="589668C2"/>
    <w:rsid w:val="59030A18"/>
    <w:rsid w:val="59345806"/>
    <w:rsid w:val="597E09E7"/>
    <w:rsid w:val="5B9266A5"/>
    <w:rsid w:val="5DA03B0E"/>
    <w:rsid w:val="5DF4314F"/>
    <w:rsid w:val="5E7647E3"/>
    <w:rsid w:val="5EEA2A69"/>
    <w:rsid w:val="604C141E"/>
    <w:rsid w:val="625E4E76"/>
    <w:rsid w:val="69BB0E40"/>
    <w:rsid w:val="6BCB7ABB"/>
    <w:rsid w:val="6F2D45E9"/>
    <w:rsid w:val="71B462BE"/>
    <w:rsid w:val="74145D78"/>
    <w:rsid w:val="74A73931"/>
    <w:rsid w:val="75602EC3"/>
    <w:rsid w:val="75CB690A"/>
    <w:rsid w:val="77EB6DF0"/>
    <w:rsid w:val="79156E57"/>
    <w:rsid w:val="7C9D54AD"/>
    <w:rsid w:val="7E2A0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8"/>
      <w:szCs w:val="2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11">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3">
    <w:name w:val="标准文件_章标题"/>
    <w:next w:val="11"/>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4">
    <w:name w:val="标准文件_一级条标题"/>
    <w:basedOn w:val="13"/>
    <w:next w:val="11"/>
    <w:qFormat/>
    <w:uiPriority w:val="0"/>
    <w:pPr>
      <w:numPr>
        <w:ilvl w:val="2"/>
      </w:numPr>
      <w:spacing w:beforeLines="50" w:afterLines="50"/>
      <w:outlineLvl w:val="1"/>
    </w:pPr>
  </w:style>
  <w:style w:type="paragraph" w:customStyle="1" w:styleId="15">
    <w:name w:val="标准文件_二级条标题"/>
    <w:next w:val="11"/>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paragraph" w:customStyle="1" w:styleId="16">
    <w:name w:val="Table Text"/>
    <w:basedOn w:val="1"/>
    <w:semiHidden/>
    <w:qFormat/>
    <w:uiPriority w:val="0"/>
    <w:rPr>
      <w:rFonts w:ascii="Arial" w:hAnsi="Arial" w:eastAsia="Arial" w:cs="Arial"/>
      <w:sz w:val="21"/>
      <w:szCs w:val="21"/>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标准文件_正文表标题"/>
    <w:next w:val="11"/>
    <w:qFormat/>
    <w:uiPriority w:val="0"/>
    <w:pPr>
      <w:numPr>
        <w:ilvl w:val="0"/>
        <w:numId w:val="3"/>
      </w:numPr>
      <w:spacing w:beforeLines="50" w:afterLines="50"/>
      <w:jc w:val="center"/>
    </w:pPr>
    <w:rPr>
      <w:rFonts w:ascii="黑体" w:hAnsi="Times New Roman" w:eastAsia="黑体" w:cs="Times New Roman"/>
      <w:sz w:val="21"/>
      <w:lang w:val="en-US" w:eastAsia="zh-CN" w:bidi="ar-SA"/>
    </w:rPr>
  </w:style>
  <w:style w:type="paragraph" w:customStyle="1" w:styleId="19">
    <w:name w:val="标准文件_表格"/>
    <w:basedOn w:val="11"/>
    <w:qFormat/>
    <w:uiPriority w:val="0"/>
    <w:pPr>
      <w:ind w:firstLine="0" w:firstLineChars="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2463</Words>
  <Characters>2765</Characters>
  <Lines>0</Lines>
  <Paragraphs>0</Paragraphs>
  <TotalTime>4</TotalTime>
  <ScaleCrop>false</ScaleCrop>
  <LinksUpToDate>false</LinksUpToDate>
  <CharactersWithSpaces>2949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2026-03-11T03:10:00Z</dcterms:created>
  <dc:creator>李亚</dc:creator>
  <cp:lastModifiedBy>Administrator</cp:lastModifiedBy>
  <dcterms:modified xsi:type="dcterms:W3CDTF">2026-07-01T03:11:39Z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CD7F5ABC79F54D5D884C4834D047D450_13</vt:lpwstr>
  </property>
  <property fmtid="{D5CDD505-2E9C-101B-9397-08002B2CF9AE}" pid="4" name="KSOTemplateDocerSaveRecord">
    <vt:lpwstr>eyJoZGlkIjoiZjc5NzMxODZmMDFkZDE3MjliZmU4MmU0Njc4YjliNDQifQ==</vt:lpwstr>
  </property>
</Properties>
</file>